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4925"/>
        <w:gridCol w:w="4925"/>
      </w:tblGrid>
      <w:tr>
        <w:tc>
          <w:tcPr>
            <w:tcW w:type="dxa" w:w="2268"/>
            <w:shd w:fill="12263A"/>
            <w:tcMar>
              <w:top w:w="520" w:type="dxa"/>
              <w:start w:w="260" w:type="dxa"/>
              <w:bottom w:w="520" w:type="dxa"/>
              <w:end w:w="260" w:type="dxa"/>
            </w:tcMar>
            <w:vAlign w:val="center"/>
          </w:tcPr>
          <w:p>
            <w:pPr>
              <w:jc w:val="center"/>
            </w:pPr>
            <w:r/>
            <w:r>
              <w:drawing>
                <wp:inline xmlns:a="http://schemas.openxmlformats.org/drawingml/2006/main" xmlns:pic="http://schemas.openxmlformats.org/drawingml/2006/picture">
                  <wp:extent cx="810000" cy="810000"/>
                  <wp:docPr id="1" name="Picture 1"/>
                  <wp:cNvGraphicFramePr>
                    <a:graphicFrameLocks noChangeAspect="1"/>
                  </wp:cNvGraphicFramePr>
                  <a:graphic>
                    <a:graphicData uri="http://schemas.openxmlformats.org/drawingml/2006/picture">
                      <pic:pic>
                        <pic:nvPicPr>
                          <pic:cNvPr id="0" name="site-icon.png"/>
                          <pic:cNvPicPr/>
                        </pic:nvPicPr>
                        <pic:blipFill>
                          <a:blip r:embed="rId11"/>
                          <a:stretch>
                            <a:fillRect/>
                          </a:stretch>
                        </pic:blipFill>
                        <pic:spPr>
                          <a:xfrm>
                            <a:off x="0" y="0"/>
                            <a:ext cx="810000" cy="810000"/>
                          </a:xfrm>
                          <a:prstGeom prst="rect"/>
                        </pic:spPr>
                      </pic:pic>
                    </a:graphicData>
                  </a:graphic>
                </wp:inline>
              </w:drawing>
            </w:r>
          </w:p>
        </w:tc>
        <w:tc>
          <w:tcPr>
            <w:tcW w:type="dxa" w:w="7087"/>
            <w:shd w:fill="12263A"/>
            <w:tcMar>
              <w:top w:w="520" w:type="dxa"/>
              <w:start w:w="260" w:type="dxa"/>
              <w:bottom w:w="520" w:type="dxa"/>
              <w:end w:w="260" w:type="dxa"/>
            </w:tcMar>
            <w:vAlign w:val="center"/>
          </w:tcPr>
          <w:p>
            <w:pPr>
              <w:spacing w:after="100"/>
            </w:pPr>
            <w:r/>
            <w:r>
              <w:rPr>
                <w:rFonts w:ascii="Calibri" w:hAnsi="Calibri"/>
                <w:b/>
                <w:color w:val="8FC6D4"/>
                <w:sz w:val="26"/>
              </w:rPr>
              <w:t>BUSINESSPLAN</w:t>
            </w:r>
          </w:p>
          <w:p>
            <w:r>
              <w:rPr>
                <w:rFonts w:ascii="Calibri" w:hAnsi="Calibri"/>
                <w:b/>
                <w:color w:val="FFFFFF"/>
                <w:sz w:val="56"/>
              </w:rPr>
              <w:t>AI Sports Prediction</w:t>
            </w:r>
          </w:p>
          <w:p>
            <w:r>
              <w:rPr>
                <w:color w:val="FFFFFF"/>
                <w:sz w:val="24"/>
              </w:rPr>
              <w:t>Arbeitstitel · KI-gestützte Sportprognosen und Publisher-Widgets</w:t>
            </w:r>
          </w:p>
        </w:tc>
      </w:tr>
    </w:tbl>
    <w:p/>
    <w:p>
      <w:pPr>
        <w:jc w:val="left"/>
      </w:pPr>
      <w:r>
        <w:rPr>
          <w:b/>
          <w:color w:val="1F5A7A"/>
          <w:sz w:val="26"/>
        </w:rPr>
        <w:t>Finale, nach Investment-Committee-Kritik überarbeitete Fassung</w:t>
      </w:r>
    </w:p>
    <w:p>
      <w:pPr>
        <w:pStyle w:val="Subtitle"/>
      </w:pPr>
      <w:r>
        <w:t>Planungszeitraum: August 2026 bis Juli 2031</w:t>
      </w:r>
    </w:p>
    <w:p>
      <w:r>
        <w:t>Zweck: interne Unternehmensplanung sowie Gesprächsgrundlage für Steuerberatung, Versicherungen, Banken, Förderstellen und spätere Investoren.</w:t>
      </w:r>
    </w:p>
    <w:p>
      <w:r>
        <w:t>Gründer: Jonas Schröder und Jonas Schweisthal · je 50%, vorbehaltlich der IP- und Beteiligungsklärung mit der Universität.</w:t>
      </w:r>
    </w:p>
    <w:p>
      <w:pPr>
        <w:spacing w:after="600"/>
      </w:pPr>
    </w:p>
    <w:tbl>
      <w:tblPr>
        <w:tblW w:type="auto" w:w="0"/>
        <w:jc w:val="center"/>
        <w:tblLook w:firstColumn="1" w:firstRow="1" w:lastColumn="0" w:lastRow="0" w:noHBand="0" w:noVBand="1" w:val="04A0"/>
      </w:tblPr>
      <w:tblGrid>
        <w:gridCol w:w="9850"/>
      </w:tblGrid>
      <w:tr>
        <w:tc>
          <w:tcPr>
            <w:tcW w:type="dxa" w:w="9850"/>
            <w:shd w:fill="F3F7F9"/>
            <w:tcMar>
              <w:top w:w="140" w:type="dxa"/>
              <w:start w:w="180" w:type="dxa"/>
              <w:bottom w:w="140" w:type="dxa"/>
              <w:end w:w="180" w:type="dxa"/>
            </w:tcMar>
          </w:tcPr>
          <w:p>
            <w:pPr>
              <w:pStyle w:val="Callout"/>
            </w:pPr>
            <w:r>
              <w:rPr>
                <w:b/>
              </w:rPr>
              <w:t xml:space="preserve">Vertraulichkeit und Haftung — </w:t>
            </w:r>
            <w:r>
              <w:t>Dieses Dokument ist eine interne Planungsunterlage und keine Rechts-, Steuer-, Anlage- oder Versicherungsberatung. Zahlen sind Modellrechnungen; Verträge, Steuern, Lizenzen und Deckungskonzepte sind von qualifizierten Beratern zu bestätigen.</w:t>
            </w:r>
          </w:p>
        </w:tc>
      </w:tr>
    </w:tbl>
    <w:p>
      <w:pPr>
        <w:spacing w:after="20"/>
      </w:pPr>
    </w:p>
    <w:p>
      <w:pPr>
        <w:pStyle w:val="SmallNote"/>
      </w:pPr>
      <w:r>
        <w:t>Stand: 20. Juli 2026 · geplanter Gründungsmonat: August 2026</w:t>
      </w:r>
    </w:p>
    <w:p>
      <w:r>
        <w:br w:type="page"/>
      </w:r>
    </w:p>
    <w:p>
      <w:pPr>
        <w:pStyle w:val="Heading1"/>
      </w:pPr>
      <w:r>
        <w:t>Dokumentenlogik und Evidenzklassen</w:t>
      </w:r>
    </w:p>
    <w:p>
      <w:r>
        <w:t>Der Plan trennt nachprüfbare Fakten, eigene Berechnungen und noch zu validierende Annahmen. Dadurch bleibt sichtbar, was bereits belegt ist und welche Aussagen vor externen Gesprächen nachgeschärft werden müssen.</w:t>
      </w:r>
    </w:p>
    <w:tbl>
      <w:tblPr>
        <w:tblStyle w:val="TableGrid"/>
        <w:tblW w:type="auto" w:w="0"/>
        <w:jc w:val="center"/>
        <w:tblLayout w:type="fixed"/>
        <w:tblLook w:firstColumn="1" w:firstRow="1" w:lastColumn="0" w:lastRow="0" w:noHBand="0" w:noVBand="1" w:val="04A0"/>
      </w:tblPr>
      <w:tblGrid>
        <w:gridCol w:w="3283"/>
        <w:gridCol w:w="3283"/>
        <w:gridCol w:w="3283"/>
      </w:tblGrid>
      <w:tr>
        <w:trPr>
          <w:tblHeader w:val="true"/>
        </w:trPr>
        <w:tc>
          <w:tcPr>
            <w:tcW w:type="dxa" w:w="1701"/>
            <w:shd w:fill="1F5A7A"/>
            <w:vAlign w:val="center"/>
            <w:tcMar>
              <w:top w:w="80" w:type="dxa"/>
              <w:start w:w="100" w:type="dxa"/>
              <w:bottom w:w="80" w:type="dxa"/>
              <w:end w:w="100" w:type="dxa"/>
            </w:tcMar>
          </w:tcPr>
          <w:p>
            <w:pPr>
              <w:spacing w:after="0"/>
              <w:jc w:val="center"/>
            </w:pPr>
            <w:r>
              <w:rPr>
                <w:rFonts w:ascii="Calibri" w:hAnsi="Calibri"/>
                <w:b/>
                <w:color w:val="FFFFFF"/>
                <w:sz w:val="17"/>
              </w:rPr>
              <w:t>Kennzeichnung</w:t>
            </w:r>
          </w:p>
        </w:tc>
        <w:tc>
          <w:tcPr>
            <w:tcW w:type="dxa" w:w="3969"/>
            <w:shd w:fill="1F5A7A"/>
            <w:vAlign w:val="center"/>
            <w:tcMar>
              <w:top w:w="80" w:type="dxa"/>
              <w:start w:w="100" w:type="dxa"/>
              <w:bottom w:w="80" w:type="dxa"/>
              <w:end w:w="100" w:type="dxa"/>
            </w:tcMar>
          </w:tcPr>
          <w:p>
            <w:pPr>
              <w:spacing w:after="0"/>
              <w:jc w:val="center"/>
            </w:pPr>
            <w:r>
              <w:rPr>
                <w:rFonts w:ascii="Calibri" w:hAnsi="Calibri"/>
                <w:b/>
                <w:color w:val="FFFFFF"/>
                <w:sz w:val="17"/>
              </w:rPr>
              <w:t>Bedeutung</w:t>
            </w:r>
          </w:p>
        </w:tc>
        <w:tc>
          <w:tcPr>
            <w:tcW w:type="dxa" w:w="4082"/>
            <w:shd w:fill="1F5A7A"/>
            <w:vAlign w:val="center"/>
            <w:tcMar>
              <w:top w:w="80" w:type="dxa"/>
              <w:start w:w="100" w:type="dxa"/>
              <w:bottom w:w="80" w:type="dxa"/>
              <w:end w:w="100" w:type="dxa"/>
            </w:tcMar>
          </w:tcPr>
          <w:p>
            <w:pPr>
              <w:spacing w:after="0"/>
              <w:jc w:val="center"/>
            </w:pPr>
            <w:r>
              <w:rPr>
                <w:rFonts w:ascii="Calibri" w:hAnsi="Calibri"/>
                <w:b/>
                <w:color w:val="FFFFFF"/>
                <w:sz w:val="17"/>
              </w:rPr>
              <w:t>Beispiel</w:t>
            </w:r>
          </w:p>
        </w:tc>
      </w:tr>
      <w:tr>
        <w:trPr>
          <w:cantSplit/>
        </w:trPr>
        <w:tc>
          <w:tcPr>
            <w:tcW w:type="dxa" w:w="1701"/>
            <w:vAlign w:val="center"/>
            <w:tcMar>
              <w:top w:w="80" w:type="dxa"/>
              <w:start w:w="100" w:type="dxa"/>
              <w:bottom w:w="80" w:type="dxa"/>
              <w:end w:w="100" w:type="dxa"/>
            </w:tcMar>
          </w:tcPr>
          <w:p>
            <w:pPr>
              <w:spacing w:after="0"/>
              <w:jc w:val="left"/>
            </w:pPr>
            <w:r>
              <w:rPr>
                <w:rFonts w:ascii="Calibri" w:hAnsi="Calibri"/>
                <w:b/>
                <w:sz w:val="17"/>
              </w:rPr>
              <w:t>Belegt</w:t>
            </w:r>
          </w:p>
        </w:tc>
        <w:tc>
          <w:tcPr>
            <w:tcW w:type="dxa" w:w="3969"/>
            <w:vAlign w:val="center"/>
            <w:tcMar>
              <w:top w:w="80" w:type="dxa"/>
              <w:start w:w="100" w:type="dxa"/>
              <w:bottom w:w="80" w:type="dxa"/>
              <w:end w:w="100" w:type="dxa"/>
            </w:tcMar>
          </w:tcPr>
          <w:p>
            <w:pPr>
              <w:spacing w:after="0"/>
              <w:jc w:val="right"/>
            </w:pPr>
            <w:r>
              <w:rPr>
                <w:rFonts w:ascii="Calibri" w:hAnsi="Calibri"/>
                <w:sz w:val="17"/>
              </w:rPr>
              <w:t>Externe Primär-/Branchenquelle oder vorgelegter Screenshot</w:t>
            </w:r>
          </w:p>
        </w:tc>
        <w:tc>
          <w:tcPr>
            <w:tcW w:type="dxa" w:w="4082"/>
            <w:vAlign w:val="center"/>
            <w:tcMar>
              <w:top w:w="80" w:type="dxa"/>
              <w:start w:w="100" w:type="dxa"/>
              <w:bottom w:w="80" w:type="dxa"/>
              <w:end w:w="100" w:type="dxa"/>
            </w:tcMar>
          </w:tcPr>
          <w:p>
            <w:pPr>
              <w:spacing w:after="0"/>
              <w:jc w:val="right"/>
            </w:pPr>
            <w:r>
              <w:rPr>
                <w:rFonts w:ascii="Calibri" w:hAnsi="Calibri"/>
                <w:sz w:val="17"/>
              </w:rPr>
              <w:t>69.919 Pageviews im dokumentierten Zeitraum</w:t>
            </w:r>
          </w:p>
        </w:tc>
      </w:tr>
      <w:tr>
        <w:trPr>
          <w:cantSplit/>
        </w:trPr>
        <w:tc>
          <w:tcPr>
            <w:tcW w:type="dxa" w:w="1701"/>
            <w:vAlign w:val="center"/>
            <w:tcMar>
              <w:top w:w="80" w:type="dxa"/>
              <w:start w:w="100" w:type="dxa"/>
              <w:bottom w:w="80" w:type="dxa"/>
              <w:end w:w="100" w:type="dxa"/>
            </w:tcMar>
            <w:shd w:fill="F3F7F9"/>
          </w:tcPr>
          <w:p>
            <w:pPr>
              <w:spacing w:after="0"/>
              <w:jc w:val="left"/>
            </w:pPr>
            <w:r>
              <w:rPr>
                <w:rFonts w:ascii="Calibri" w:hAnsi="Calibri"/>
                <w:b/>
                <w:sz w:val="17"/>
              </w:rPr>
              <w:t>Gründerangabe</w:t>
            </w:r>
          </w:p>
        </w:tc>
        <w:tc>
          <w:tcPr>
            <w:tcW w:type="dxa" w:w="3969"/>
            <w:vAlign w:val="center"/>
            <w:tcMar>
              <w:top w:w="80" w:type="dxa"/>
              <w:start w:w="100" w:type="dxa"/>
              <w:bottom w:w="80" w:type="dxa"/>
              <w:end w:w="100" w:type="dxa"/>
            </w:tcMar>
            <w:shd w:fill="F3F7F9"/>
          </w:tcPr>
          <w:p>
            <w:pPr>
              <w:spacing w:after="0"/>
              <w:jc w:val="right"/>
            </w:pPr>
            <w:r>
              <w:rPr>
                <w:rFonts w:ascii="Calibri" w:hAnsi="Calibri"/>
                <w:sz w:val="17"/>
              </w:rPr>
              <w:t>Vom Team berichtet, aber noch ohne prüffähiges Originaldokument</w:t>
            </w:r>
          </w:p>
        </w:tc>
        <w:tc>
          <w:tcPr>
            <w:tcW w:type="dxa" w:w="4082"/>
            <w:vAlign w:val="center"/>
            <w:tcMar>
              <w:top w:w="80" w:type="dxa"/>
              <w:start w:w="100" w:type="dxa"/>
              <w:bottom w:w="80" w:type="dxa"/>
              <w:end w:w="100" w:type="dxa"/>
            </w:tcMar>
            <w:shd w:fill="F3F7F9"/>
          </w:tcPr>
          <w:p>
            <w:pPr>
              <w:spacing w:after="0"/>
              <w:jc w:val="right"/>
            </w:pPr>
            <w:r>
              <w:rPr>
                <w:rFonts w:ascii="Calibri" w:hAnsi="Calibri"/>
                <w:sz w:val="17"/>
              </w:rPr>
              <w:t>Paper eingereicht und öffentlich archiviert; Identifier folgt</w:t>
            </w:r>
          </w:p>
        </w:tc>
      </w:tr>
      <w:tr>
        <w:trPr>
          <w:cantSplit/>
        </w:trPr>
        <w:tc>
          <w:tcPr>
            <w:tcW w:type="dxa" w:w="1701"/>
            <w:vAlign w:val="center"/>
            <w:tcMar>
              <w:top w:w="80" w:type="dxa"/>
              <w:start w:w="100" w:type="dxa"/>
              <w:bottom w:w="80" w:type="dxa"/>
              <w:end w:w="100" w:type="dxa"/>
            </w:tcMar>
          </w:tcPr>
          <w:p>
            <w:pPr>
              <w:spacing w:after="0"/>
              <w:jc w:val="left"/>
            </w:pPr>
            <w:r>
              <w:rPr>
                <w:rFonts w:ascii="Calibri" w:hAnsi="Calibri"/>
                <w:b/>
                <w:sz w:val="17"/>
              </w:rPr>
              <w:t>Eigene Berechnung</w:t>
            </w:r>
          </w:p>
        </w:tc>
        <w:tc>
          <w:tcPr>
            <w:tcW w:type="dxa" w:w="3969"/>
            <w:vAlign w:val="center"/>
            <w:tcMar>
              <w:top w:w="80" w:type="dxa"/>
              <w:start w:w="100" w:type="dxa"/>
              <w:bottom w:w="80" w:type="dxa"/>
              <w:end w:w="100" w:type="dxa"/>
            </w:tcMar>
          </w:tcPr>
          <w:p>
            <w:pPr>
              <w:spacing w:after="0"/>
              <w:jc w:val="right"/>
            </w:pPr>
            <w:r>
              <w:rPr>
                <w:rFonts w:ascii="Calibri" w:hAnsi="Calibri"/>
                <w:sz w:val="17"/>
              </w:rPr>
              <w:t>Rechenweg auf expliziten Inputs</w:t>
            </w:r>
          </w:p>
        </w:tc>
        <w:tc>
          <w:tcPr>
            <w:tcW w:type="dxa" w:w="4082"/>
            <w:vAlign w:val="center"/>
            <w:tcMar>
              <w:top w:w="80" w:type="dxa"/>
              <w:start w:w="100" w:type="dxa"/>
              <w:bottom w:w="80" w:type="dxa"/>
              <w:end w:w="100" w:type="dxa"/>
            </w:tcMar>
          </w:tcPr>
          <w:p>
            <w:pPr>
              <w:spacing w:after="0"/>
              <w:jc w:val="right"/>
            </w:pPr>
            <w:r>
              <w:rPr>
                <w:rFonts w:ascii="Calibri" w:hAnsi="Calibri"/>
                <w:sz w:val="17"/>
              </w:rPr>
              <w:t>TAM/SAM/SOM und Finanzmodell</w:t>
            </w:r>
          </w:p>
        </w:tc>
      </w:tr>
      <w:tr>
        <w:trPr>
          <w:cantSplit/>
        </w:trPr>
        <w:tc>
          <w:tcPr>
            <w:tcW w:type="dxa" w:w="1701"/>
            <w:vAlign w:val="center"/>
            <w:tcMar>
              <w:top w:w="80" w:type="dxa"/>
              <w:start w:w="100" w:type="dxa"/>
              <w:bottom w:w="80" w:type="dxa"/>
              <w:end w:w="100" w:type="dxa"/>
            </w:tcMar>
            <w:shd w:fill="F3F7F9"/>
          </w:tcPr>
          <w:p>
            <w:pPr>
              <w:spacing w:after="0"/>
              <w:jc w:val="left"/>
            </w:pPr>
            <w:r>
              <w:rPr>
                <w:rFonts w:ascii="Calibri" w:hAnsi="Calibri"/>
                <w:b/>
                <w:sz w:val="17"/>
              </w:rPr>
              <w:t>Annahme</w:t>
            </w:r>
          </w:p>
        </w:tc>
        <w:tc>
          <w:tcPr>
            <w:tcW w:type="dxa" w:w="3969"/>
            <w:vAlign w:val="center"/>
            <w:tcMar>
              <w:top w:w="80" w:type="dxa"/>
              <w:start w:w="100" w:type="dxa"/>
              <w:bottom w:w="80" w:type="dxa"/>
              <w:end w:w="100" w:type="dxa"/>
            </w:tcMar>
            <w:shd w:fill="F3F7F9"/>
          </w:tcPr>
          <w:p>
            <w:pPr>
              <w:spacing w:after="0"/>
              <w:jc w:val="right"/>
            </w:pPr>
            <w:r>
              <w:rPr>
                <w:rFonts w:ascii="Calibri" w:hAnsi="Calibri"/>
                <w:sz w:val="17"/>
              </w:rPr>
              <w:t>Unsicherer Planungsparameter</w:t>
            </w:r>
          </w:p>
        </w:tc>
        <w:tc>
          <w:tcPr>
            <w:tcW w:type="dxa" w:w="4082"/>
            <w:vAlign w:val="center"/>
            <w:tcMar>
              <w:top w:w="80" w:type="dxa"/>
              <w:start w:w="100" w:type="dxa"/>
              <w:bottom w:w="80" w:type="dxa"/>
              <w:end w:w="100" w:type="dxa"/>
            </w:tcMar>
            <w:shd w:fill="F3F7F9"/>
          </w:tcPr>
          <w:p>
            <w:pPr>
              <w:spacing w:after="0"/>
              <w:jc w:val="right"/>
            </w:pPr>
            <w:r>
              <w:rPr>
                <w:rFonts w:ascii="Calibri" w:hAnsi="Calibri"/>
                <w:sz w:val="17"/>
              </w:rPr>
              <w:t>Churn, RPM, Conversion und CAC</w:t>
            </w:r>
          </w:p>
        </w:tc>
      </w:tr>
    </w:tbl>
    <w:p>
      <w:pPr>
        <w:spacing w:after="20"/>
      </w:pPr>
    </w:p>
    <w:tbl>
      <w:tblPr>
        <w:tblW w:type="auto" w:w="0"/>
        <w:jc w:val="center"/>
        <w:tblLook w:firstColumn="1" w:firstRow="1" w:lastColumn="0" w:lastRow="0" w:noHBand="0" w:noVBand="1" w:val="04A0"/>
      </w:tblPr>
      <w:tblGrid>
        <w:gridCol w:w="9850"/>
      </w:tblGrid>
      <w:tr>
        <w:tc>
          <w:tcPr>
            <w:tcW w:type="dxa" w:w="9850"/>
            <w:shd w:fill="DDEFF5"/>
            <w:tcMar>
              <w:top w:w="140" w:type="dxa"/>
              <w:start w:w="180" w:type="dxa"/>
              <w:bottom w:w="140" w:type="dxa"/>
              <w:end w:w="180" w:type="dxa"/>
            </w:tcMar>
          </w:tcPr>
          <w:p>
            <w:pPr>
              <w:pStyle w:val="Callout"/>
            </w:pPr>
            <w:r>
              <w:rPr>
                <w:b/>
              </w:rPr>
              <w:t xml:space="preserve">Zentrale Planungsentscheidung — </w:t>
            </w:r>
            <w:r>
              <w:t>Das Widget-SaaS ist das Kernmodell. Werbeerlöse der kostenlosen Website bleiben ein ergänzender, volatiler Kanal. Eine externe Eigenkapitalrunde wird derzeit nicht empfohlen.</w:t>
            </w:r>
          </w:p>
        </w:tc>
      </w:tr>
    </w:tbl>
    <w:p>
      <w:pPr>
        <w:spacing w:after="20"/>
      </w:pPr>
    </w:p>
    <w:p>
      <w:pPr>
        <w:pStyle w:val="Heading1"/>
      </w:pPr>
      <w:r>
        <w:t>Inhaltsübersicht</w:t>
      </w:r>
    </w:p>
    <w:tbl>
      <w:tblPr>
        <w:tblStyle w:val="TableGrid"/>
        <w:tblW w:type="auto" w:w="0"/>
        <w:jc w:val="center"/>
        <w:tblLayout w:type="fixed"/>
        <w:tblLook w:firstColumn="1" w:firstRow="1" w:lastColumn="0" w:lastRow="0" w:noHBand="0" w:noVBand="1" w:val="04A0"/>
      </w:tblPr>
      <w:tblGrid>
        <w:gridCol w:w="4925"/>
        <w:gridCol w:w="4925"/>
      </w:tblGrid>
      <w:tr>
        <w:trPr>
          <w:tblHeader w:val="true"/>
        </w:trPr>
        <w:tc>
          <w:tcPr>
            <w:tcW w:type="dxa" w:w="4876"/>
            <w:shd w:fill="1F5A7A"/>
            <w:vAlign w:val="center"/>
            <w:tcMar>
              <w:top w:w="80" w:type="dxa"/>
              <w:start w:w="100" w:type="dxa"/>
              <w:bottom w:w="80" w:type="dxa"/>
              <w:end w:w="100" w:type="dxa"/>
            </w:tcMar>
          </w:tcPr>
          <w:p>
            <w:pPr>
              <w:spacing w:after="0"/>
              <w:jc w:val="center"/>
            </w:pPr>
            <w:r>
              <w:rPr>
                <w:rFonts w:ascii="Calibri" w:hAnsi="Calibri"/>
                <w:b/>
                <w:color w:val="FFFFFF"/>
                <w:sz w:val="16"/>
              </w:rPr>
              <w:t>Kapitel 1–11</w:t>
            </w:r>
          </w:p>
        </w:tc>
        <w:tc>
          <w:tcPr>
            <w:tcW w:type="dxa" w:w="4876"/>
            <w:shd w:fill="1F5A7A"/>
            <w:vAlign w:val="center"/>
            <w:tcMar>
              <w:top w:w="80" w:type="dxa"/>
              <w:start w:w="100" w:type="dxa"/>
              <w:bottom w:w="80" w:type="dxa"/>
              <w:end w:w="100" w:type="dxa"/>
            </w:tcMar>
          </w:tcPr>
          <w:p>
            <w:pPr>
              <w:spacing w:after="0"/>
              <w:jc w:val="center"/>
            </w:pPr>
            <w:r>
              <w:rPr>
                <w:rFonts w:ascii="Calibri" w:hAnsi="Calibri"/>
                <w:b/>
                <w:color w:val="FFFFFF"/>
                <w:sz w:val="16"/>
              </w:rPr>
              <w:t>Kapitel 12–Anhänge</w:t>
            </w:r>
          </w:p>
        </w:tc>
      </w:tr>
      <w:tr>
        <w:trPr>
          <w:cantSplit/>
        </w:trPr>
        <w:tc>
          <w:tcPr>
            <w:tcW w:type="dxa" w:w="4876"/>
            <w:vAlign w:val="center"/>
            <w:tcMar>
              <w:top w:w="80" w:type="dxa"/>
              <w:start w:w="100" w:type="dxa"/>
              <w:bottom w:w="80" w:type="dxa"/>
              <w:end w:w="100" w:type="dxa"/>
            </w:tcMar>
          </w:tcPr>
          <w:p>
            <w:pPr>
              <w:spacing w:after="0"/>
              <w:jc w:val="left"/>
            </w:pPr>
            <w:r>
              <w:rPr>
                <w:rFonts w:ascii="Calibri" w:hAnsi="Calibri"/>
                <w:sz w:val="16"/>
              </w:rPr>
              <w:t>1. Executive Summary</w:t>
            </w:r>
          </w:p>
        </w:tc>
        <w:tc>
          <w:tcPr>
            <w:tcW w:type="dxa" w:w="4876"/>
            <w:vAlign w:val="center"/>
            <w:tcMar>
              <w:top w:w="80" w:type="dxa"/>
              <w:start w:w="100" w:type="dxa"/>
              <w:bottom w:w="80" w:type="dxa"/>
              <w:end w:w="100" w:type="dxa"/>
            </w:tcMar>
          </w:tcPr>
          <w:p>
            <w:pPr>
              <w:spacing w:after="0"/>
              <w:jc w:val="right"/>
            </w:pPr>
            <w:r>
              <w:rPr>
                <w:rFonts w:ascii="Calibri" w:hAnsi="Calibri"/>
                <w:sz w:val="16"/>
              </w:rPr>
              <w:t>12. Operativer Plan, Prozesse und Ressourcen</w:t>
            </w:r>
          </w:p>
        </w:tc>
      </w:tr>
      <w:tr>
        <w:trPr>
          <w:cantSplit/>
        </w:trPr>
        <w:tc>
          <w:tcPr>
            <w:tcW w:type="dxa" w:w="4876"/>
            <w:vAlign w:val="center"/>
            <w:tcMar>
              <w:top w:w="80" w:type="dxa"/>
              <w:start w:w="100" w:type="dxa"/>
              <w:bottom w:w="80" w:type="dxa"/>
              <w:end w:w="100" w:type="dxa"/>
            </w:tcMar>
            <w:shd w:fill="F3F7F9"/>
          </w:tcPr>
          <w:p>
            <w:pPr>
              <w:spacing w:after="0"/>
              <w:jc w:val="left"/>
            </w:pPr>
            <w:r>
              <w:rPr>
                <w:rFonts w:ascii="Calibri" w:hAnsi="Calibri"/>
                <w:sz w:val="16"/>
              </w:rPr>
              <w:t>2. Unternehmen, Vision und langfristige Zielsetzung</w:t>
            </w:r>
          </w:p>
        </w:tc>
        <w:tc>
          <w:tcPr>
            <w:tcW w:type="dxa" w:w="4876"/>
            <w:vAlign w:val="center"/>
            <w:tcMar>
              <w:top w:w="80" w:type="dxa"/>
              <w:start w:w="100" w:type="dxa"/>
              <w:bottom w:w="80" w:type="dxa"/>
              <w:end w:w="100" w:type="dxa"/>
            </w:tcMar>
            <w:shd w:fill="F3F7F9"/>
          </w:tcPr>
          <w:p>
            <w:pPr>
              <w:spacing w:after="0"/>
              <w:jc w:val="right"/>
            </w:pPr>
            <w:r>
              <w:rPr>
                <w:rFonts w:ascii="Calibri" w:hAnsi="Calibri"/>
                <w:sz w:val="16"/>
              </w:rPr>
              <w:t>13. Gründerteam, Rollen und Personalbedarf</w:t>
            </w:r>
          </w:p>
        </w:tc>
      </w:tr>
      <w:tr>
        <w:trPr>
          <w:cantSplit/>
        </w:trPr>
        <w:tc>
          <w:tcPr>
            <w:tcW w:type="dxa" w:w="4876"/>
            <w:vAlign w:val="center"/>
            <w:tcMar>
              <w:top w:w="80" w:type="dxa"/>
              <w:start w:w="100" w:type="dxa"/>
              <w:bottom w:w="80" w:type="dxa"/>
              <w:end w:w="100" w:type="dxa"/>
            </w:tcMar>
          </w:tcPr>
          <w:p>
            <w:pPr>
              <w:spacing w:after="0"/>
              <w:jc w:val="left"/>
            </w:pPr>
            <w:r>
              <w:rPr>
                <w:rFonts w:ascii="Calibri" w:hAnsi="Calibri"/>
                <w:sz w:val="16"/>
              </w:rPr>
              <w:t>3. Problem und nachgewiesener Kundenbedarf</w:t>
            </w:r>
          </w:p>
        </w:tc>
        <w:tc>
          <w:tcPr>
            <w:tcW w:type="dxa" w:w="4876"/>
            <w:vAlign w:val="center"/>
            <w:tcMar>
              <w:top w:w="80" w:type="dxa"/>
              <w:start w:w="100" w:type="dxa"/>
              <w:bottom w:w="80" w:type="dxa"/>
              <w:end w:w="100" w:type="dxa"/>
            </w:tcMar>
          </w:tcPr>
          <w:p>
            <w:pPr>
              <w:spacing w:after="0"/>
              <w:jc w:val="right"/>
            </w:pPr>
            <w:r>
              <w:rPr>
                <w:rFonts w:ascii="Calibri" w:hAnsi="Calibri"/>
                <w:sz w:val="16"/>
              </w:rPr>
              <w:t>14. Rechtsform, Beteiligungsstruktur und regulatorische Aspekte</w:t>
            </w:r>
          </w:p>
        </w:tc>
      </w:tr>
      <w:tr>
        <w:trPr>
          <w:cantSplit/>
        </w:trPr>
        <w:tc>
          <w:tcPr>
            <w:tcW w:type="dxa" w:w="4876"/>
            <w:vAlign w:val="center"/>
            <w:tcMar>
              <w:top w:w="80" w:type="dxa"/>
              <w:start w:w="100" w:type="dxa"/>
              <w:bottom w:w="80" w:type="dxa"/>
              <w:end w:w="100" w:type="dxa"/>
            </w:tcMar>
            <w:shd w:fill="F3F7F9"/>
          </w:tcPr>
          <w:p>
            <w:pPr>
              <w:spacing w:after="0"/>
              <w:jc w:val="left"/>
            </w:pPr>
            <w:r>
              <w:rPr>
                <w:rFonts w:ascii="Calibri" w:hAnsi="Calibri"/>
                <w:sz w:val="16"/>
              </w:rPr>
              <w:t>4. Lösung sowie Produkt- und Leistungsbeschreibung</w:t>
            </w:r>
          </w:p>
        </w:tc>
        <w:tc>
          <w:tcPr>
            <w:tcW w:type="dxa" w:w="4876"/>
            <w:vAlign w:val="center"/>
            <w:tcMar>
              <w:top w:w="80" w:type="dxa"/>
              <w:start w:w="100" w:type="dxa"/>
              <w:bottom w:w="80" w:type="dxa"/>
              <w:end w:w="100" w:type="dxa"/>
            </w:tcMar>
            <w:shd w:fill="F3F7F9"/>
          </w:tcPr>
          <w:p>
            <w:pPr>
              <w:spacing w:after="0"/>
              <w:jc w:val="right"/>
            </w:pPr>
            <w:r>
              <w:rPr>
                <w:rFonts w:ascii="Calibri" w:hAnsi="Calibri"/>
                <w:sz w:val="16"/>
              </w:rPr>
              <w:t>15. Meilenstein- und Umsetzungsplan 36 Monate</w:t>
            </w:r>
          </w:p>
        </w:tc>
      </w:tr>
      <w:tr>
        <w:trPr>
          <w:cantSplit/>
        </w:trPr>
        <w:tc>
          <w:tcPr>
            <w:tcW w:type="dxa" w:w="4876"/>
            <w:vAlign w:val="center"/>
            <w:tcMar>
              <w:top w:w="80" w:type="dxa"/>
              <w:start w:w="100" w:type="dxa"/>
              <w:bottom w:w="80" w:type="dxa"/>
              <w:end w:w="100" w:type="dxa"/>
            </w:tcMar>
          </w:tcPr>
          <w:p>
            <w:pPr>
              <w:spacing w:after="0"/>
              <w:jc w:val="left"/>
            </w:pPr>
            <w:r>
              <w:rPr>
                <w:rFonts w:ascii="Calibri" w:hAnsi="Calibri"/>
                <w:sz w:val="16"/>
              </w:rPr>
              <w:t>5. Marktanalyse mit TAM, SAM und SOM</w:t>
            </w:r>
          </w:p>
        </w:tc>
        <w:tc>
          <w:tcPr>
            <w:tcW w:type="dxa" w:w="4876"/>
            <w:vAlign w:val="center"/>
            <w:tcMar>
              <w:top w:w="80" w:type="dxa"/>
              <w:start w:w="100" w:type="dxa"/>
              <w:bottom w:w="80" w:type="dxa"/>
              <w:end w:w="100" w:type="dxa"/>
            </w:tcMar>
          </w:tcPr>
          <w:p>
            <w:pPr>
              <w:spacing w:after="0"/>
              <w:jc w:val="right"/>
            </w:pPr>
            <w:r>
              <w:rPr>
                <w:rFonts w:ascii="Calibri" w:hAnsi="Calibri"/>
                <w:sz w:val="16"/>
              </w:rPr>
              <w:t>16. Chancen, Risiken und Gegenmaßnahmen</w:t>
            </w:r>
          </w:p>
        </w:tc>
      </w:tr>
      <w:tr>
        <w:trPr>
          <w:cantSplit/>
        </w:trPr>
        <w:tc>
          <w:tcPr>
            <w:tcW w:type="dxa" w:w="4876"/>
            <w:vAlign w:val="center"/>
            <w:tcMar>
              <w:top w:w="80" w:type="dxa"/>
              <w:start w:w="100" w:type="dxa"/>
              <w:bottom w:w="80" w:type="dxa"/>
              <w:end w:w="100" w:type="dxa"/>
            </w:tcMar>
            <w:shd w:fill="F3F7F9"/>
          </w:tcPr>
          <w:p>
            <w:pPr>
              <w:spacing w:after="0"/>
              <w:jc w:val="left"/>
            </w:pPr>
            <w:r>
              <w:rPr>
                <w:rFonts w:ascii="Calibri" w:hAnsi="Calibri"/>
                <w:sz w:val="16"/>
              </w:rPr>
              <w:t>6. Zielgruppen und Buyer Personas</w:t>
            </w:r>
          </w:p>
        </w:tc>
        <w:tc>
          <w:tcPr>
            <w:tcW w:type="dxa" w:w="4876"/>
            <w:vAlign w:val="center"/>
            <w:tcMar>
              <w:top w:w="80" w:type="dxa"/>
              <w:start w:w="100" w:type="dxa"/>
              <w:bottom w:w="80" w:type="dxa"/>
              <w:end w:w="100" w:type="dxa"/>
            </w:tcMar>
            <w:shd w:fill="F3F7F9"/>
          </w:tcPr>
          <w:p>
            <w:pPr>
              <w:spacing w:after="0"/>
              <w:jc w:val="right"/>
            </w:pPr>
            <w:r>
              <w:rPr>
                <w:rFonts w:ascii="Calibri" w:hAnsi="Calibri"/>
                <w:sz w:val="16"/>
              </w:rPr>
              <w:t>17. Finanzplanung über fünf Jahre</w:t>
            </w:r>
          </w:p>
        </w:tc>
      </w:tr>
      <w:tr>
        <w:trPr>
          <w:cantSplit/>
        </w:trPr>
        <w:tc>
          <w:tcPr>
            <w:tcW w:type="dxa" w:w="4876"/>
            <w:vAlign w:val="center"/>
            <w:tcMar>
              <w:top w:w="80" w:type="dxa"/>
              <w:start w:w="100" w:type="dxa"/>
              <w:bottom w:w="80" w:type="dxa"/>
              <w:end w:w="100" w:type="dxa"/>
            </w:tcMar>
          </w:tcPr>
          <w:p>
            <w:pPr>
              <w:spacing w:after="0"/>
              <w:jc w:val="left"/>
            </w:pPr>
            <w:r>
              <w:rPr>
                <w:rFonts w:ascii="Calibri" w:hAnsi="Calibri"/>
                <w:sz w:val="16"/>
              </w:rPr>
              <w:t>7. Wettbewerbsanalyse</w:t>
            </w:r>
          </w:p>
        </w:tc>
        <w:tc>
          <w:tcPr>
            <w:tcW w:type="dxa" w:w="4876"/>
            <w:vAlign w:val="center"/>
            <w:tcMar>
              <w:top w:w="80" w:type="dxa"/>
              <w:start w:w="100" w:type="dxa"/>
              <w:bottom w:w="80" w:type="dxa"/>
              <w:end w:w="100" w:type="dxa"/>
            </w:tcMar>
          </w:tcPr>
          <w:p>
            <w:pPr>
              <w:spacing w:after="0"/>
              <w:jc w:val="right"/>
            </w:pPr>
            <w:r>
              <w:rPr>
                <w:rFonts w:ascii="Calibri" w:hAnsi="Calibri"/>
                <w:sz w:val="16"/>
              </w:rPr>
              <w:t>18. Kapitalbedarf, Mittelverwendung und Finanzierungsszenarien</w:t>
            </w:r>
          </w:p>
        </w:tc>
      </w:tr>
      <w:tr>
        <w:trPr>
          <w:cantSplit/>
        </w:trPr>
        <w:tc>
          <w:tcPr>
            <w:tcW w:type="dxa" w:w="4876"/>
            <w:vAlign w:val="center"/>
            <w:tcMar>
              <w:top w:w="80" w:type="dxa"/>
              <w:start w:w="100" w:type="dxa"/>
              <w:bottom w:w="80" w:type="dxa"/>
              <w:end w:w="100" w:type="dxa"/>
            </w:tcMar>
            <w:shd w:fill="F3F7F9"/>
          </w:tcPr>
          <w:p>
            <w:pPr>
              <w:spacing w:after="0"/>
              <w:jc w:val="left"/>
            </w:pPr>
            <w:r>
              <w:rPr>
                <w:rFonts w:ascii="Calibri" w:hAnsi="Calibri"/>
                <w:sz w:val="16"/>
              </w:rPr>
              <w:t>8. Positionierung und nachhaltige Wettbewerbsvorteile</w:t>
            </w:r>
          </w:p>
        </w:tc>
        <w:tc>
          <w:tcPr>
            <w:tcW w:type="dxa" w:w="4876"/>
            <w:vAlign w:val="center"/>
            <w:tcMar>
              <w:top w:w="80" w:type="dxa"/>
              <w:start w:w="100" w:type="dxa"/>
              <w:bottom w:w="80" w:type="dxa"/>
              <w:end w:w="100" w:type="dxa"/>
            </w:tcMar>
            <w:shd w:fill="F3F7F9"/>
          </w:tcPr>
          <w:p>
            <w:pPr>
              <w:spacing w:after="0"/>
              <w:jc w:val="right"/>
            </w:pPr>
            <w:r>
              <w:rPr>
                <w:rFonts w:ascii="Calibri" w:hAnsi="Calibri"/>
                <w:sz w:val="16"/>
              </w:rPr>
              <w:t>19. Exit- bzw. langfristige Wachstumsstrategie</w:t>
            </w:r>
          </w:p>
        </w:tc>
      </w:tr>
      <w:tr>
        <w:trPr>
          <w:cantSplit/>
        </w:trPr>
        <w:tc>
          <w:tcPr>
            <w:tcW w:type="dxa" w:w="4876"/>
            <w:vAlign w:val="center"/>
            <w:tcMar>
              <w:top w:w="80" w:type="dxa"/>
              <w:start w:w="100" w:type="dxa"/>
              <w:bottom w:w="80" w:type="dxa"/>
              <w:end w:w="100" w:type="dxa"/>
            </w:tcMar>
          </w:tcPr>
          <w:p>
            <w:pPr>
              <w:spacing w:after="0"/>
              <w:jc w:val="left"/>
            </w:pPr>
            <w:r>
              <w:rPr>
                <w:rFonts w:ascii="Calibri" w:hAnsi="Calibri"/>
                <w:sz w:val="16"/>
              </w:rPr>
              <w:t>9. Geschäftsmodell, Preisgestaltung und Einnahmequellen</w:t>
            </w:r>
          </w:p>
        </w:tc>
        <w:tc>
          <w:tcPr>
            <w:tcW w:type="dxa" w:w="4876"/>
            <w:vAlign w:val="center"/>
            <w:tcMar>
              <w:top w:w="80" w:type="dxa"/>
              <w:start w:w="100" w:type="dxa"/>
              <w:bottom w:w="80" w:type="dxa"/>
              <w:end w:w="100" w:type="dxa"/>
            </w:tcMar>
          </w:tcPr>
          <w:p>
            <w:pPr>
              <w:spacing w:after="0"/>
              <w:jc w:val="right"/>
            </w:pPr>
            <w:r>
              <w:rPr>
                <w:rFonts w:ascii="Calibri" w:hAnsi="Calibri"/>
                <w:sz w:val="16"/>
              </w:rPr>
              <w:t>20. Abschließende Investitionsargumentation</w:t>
            </w:r>
          </w:p>
        </w:tc>
      </w:tr>
      <w:tr>
        <w:trPr>
          <w:cantSplit/>
        </w:trPr>
        <w:tc>
          <w:tcPr>
            <w:tcW w:type="dxa" w:w="4876"/>
            <w:vAlign w:val="center"/>
            <w:tcMar>
              <w:top w:w="80" w:type="dxa"/>
              <w:start w:w="100" w:type="dxa"/>
              <w:bottom w:w="80" w:type="dxa"/>
              <w:end w:w="100" w:type="dxa"/>
            </w:tcMar>
            <w:shd w:fill="F3F7F9"/>
          </w:tcPr>
          <w:p>
            <w:pPr>
              <w:spacing w:after="0"/>
              <w:jc w:val="left"/>
            </w:pPr>
            <w:r>
              <w:rPr>
                <w:rFonts w:ascii="Calibri" w:hAnsi="Calibri"/>
                <w:sz w:val="16"/>
              </w:rPr>
              <w:t>10. Marketing-, Vertriebs- und Go-to-Market-Strategie</w:t>
            </w:r>
          </w:p>
        </w:tc>
        <w:tc>
          <w:tcPr>
            <w:tcW w:type="dxa" w:w="4876"/>
            <w:vAlign w:val="center"/>
            <w:tcMar>
              <w:top w:w="80" w:type="dxa"/>
              <w:start w:w="100" w:type="dxa"/>
              <w:bottom w:w="80" w:type="dxa"/>
              <w:end w:w="100" w:type="dxa"/>
            </w:tcMar>
            <w:shd w:fill="F3F7F9"/>
          </w:tcPr>
          <w:p>
            <w:pPr>
              <w:spacing w:after="0"/>
              <w:jc w:val="right"/>
            </w:pPr>
            <w:r>
              <w:rPr>
                <w:rFonts w:ascii="Calibri" w:hAnsi="Calibri"/>
                <w:sz w:val="16"/>
              </w:rPr>
              <w:t>21. Investment-Committee-Check</w:t>
            </w:r>
          </w:p>
        </w:tc>
      </w:tr>
      <w:tr>
        <w:trPr>
          <w:cantSplit/>
        </w:trPr>
        <w:tc>
          <w:tcPr>
            <w:tcW w:type="dxa" w:w="4876"/>
            <w:vAlign w:val="center"/>
            <w:tcMar>
              <w:top w:w="80" w:type="dxa"/>
              <w:start w:w="100" w:type="dxa"/>
              <w:bottom w:w="80" w:type="dxa"/>
              <w:end w:w="100" w:type="dxa"/>
            </w:tcMar>
          </w:tcPr>
          <w:p>
            <w:pPr>
              <w:spacing w:after="0"/>
              <w:jc w:val="left"/>
            </w:pPr>
            <w:r>
              <w:rPr>
                <w:rFonts w:ascii="Calibri" w:hAnsi="Calibri"/>
                <w:sz w:val="16"/>
              </w:rPr>
              <w:t>11. Produktentwicklung, Technologie und geistiges Eigentum</w:t>
            </w:r>
          </w:p>
        </w:tc>
        <w:tc>
          <w:tcPr>
            <w:tcW w:type="dxa" w:w="4876"/>
            <w:vAlign w:val="center"/>
            <w:tcMar>
              <w:top w:w="80" w:type="dxa"/>
              <w:start w:w="100" w:type="dxa"/>
              <w:bottom w:w="80" w:type="dxa"/>
              <w:end w:w="100" w:type="dxa"/>
            </w:tcMar>
          </w:tcPr>
          <w:p>
            <w:pPr>
              <w:spacing w:after="0"/>
              <w:jc w:val="right"/>
            </w:pPr>
            <w:r>
              <w:rPr>
                <w:rFonts w:ascii="Calibri" w:hAnsi="Calibri"/>
                <w:sz w:val="16"/>
              </w:rPr>
              <w:t>22. Anhänge und Quellen</w:t>
            </w:r>
          </w:p>
        </w:tc>
      </w:tr>
    </w:tbl>
    <w:p>
      <w:pPr>
        <w:spacing w:after="20"/>
      </w:pPr>
    </w:p>
    <w:p>
      <w:r>
        <w:br w:type="page"/>
      </w:r>
    </w:p>
    <w:p>
      <w:pPr>
        <w:pStyle w:val="Heading1"/>
      </w:pPr>
      <w:r>
        <w:t>1. Executive Summary</w:t>
      </w:r>
    </w:p>
    <w:p>
      <w:r>
        <w:t>AI Sports Prediction ist ein geplantes deutsches Softwareunternehmen, das nachvollziehbare KI-Prognosen für Fußball, Tennis, NFL und NBA erzeugt und über eine kostenlose Consumer-Plattform sowie vier anpassbare B2B-Widgets ausspielt. Zielkunden sind Sport- und Nachrichtenredaktionen, digitale Publisher und spezialisierte Fanportale, die Prognoseformate ohne eigene Data-Science- und Widget-Infrastruktur veröffentlichen wollen.</w:t>
      </w:r>
    </w:p>
    <w:p>
      <w:r>
        <w:t>Die stärkste vorhandene Evidenz ist Reichweite, nicht Zahlungsbereitschaft: Die Vorgängerplattform LLM SoccerArena erzielte laut vorgelegten Google-Analytics-Screenshots vom 11. Juni bis 19. Juli 69.919 Pageviews, 36.066 Sitzungen, 13.669 aktive Nutzer und 13.596 neue Nutzer; die durchschnittliche Interaktionsdauer lag bei rund 2:22 Minuten. Ein Tagesschau-Video zum Projekt weist im Screenshot 7,7 Mio. Aufrufe aus. Diese Kennzahlen belegen Publikumsinteresse und PR-Fähigkeit, aber noch keine B2B-Retention oder zahlende Nachfrage.</w:t>
      </w:r>
    </w:p>
    <w:tbl>
      <w:tblPr>
        <w:tblW w:type="auto" w:w="0"/>
        <w:jc w:val="center"/>
        <w:tblLook w:firstColumn="1" w:firstRow="1" w:lastColumn="0" w:lastRow="0" w:noHBand="0" w:noVBand="1" w:val="04A0"/>
      </w:tblPr>
      <w:tblGrid>
        <w:gridCol w:w="9850"/>
      </w:tblGrid>
      <w:tr>
        <w:tc>
          <w:tcPr>
            <w:tcW w:type="dxa" w:w="9850"/>
            <w:shd w:fill="DDEFF5"/>
            <w:tcMar>
              <w:top w:w="140" w:type="dxa"/>
              <w:start w:w="180" w:type="dxa"/>
              <w:bottom w:w="140" w:type="dxa"/>
              <w:end w:w="180" w:type="dxa"/>
            </w:tcMar>
          </w:tcPr>
          <w:p>
            <w:pPr>
              <w:pStyle w:val="Callout"/>
            </w:pPr>
            <w:r>
              <w:rPr>
                <w:b/>
              </w:rPr>
              <w:t xml:space="preserve">Empfehlung — </w:t>
            </w:r>
            <w:r>
              <w:t>Conditional Go: Gründung als schlanke UG (haftungsbeschränkt) ist vertretbar, wenn vor oder unmittelbar nach Gründung IP-, Daten- und Markenrechte geklärt und innerhalb von 90 Tagen mindestens 3–5 zahlende Designpartner gewonnen werden.</w:t>
            </w:r>
          </w:p>
        </w:tc>
      </w:tr>
    </w:tbl>
    <w:p>
      <w:pPr>
        <w:spacing w:after="20"/>
      </w:pPr>
    </w:p>
    <w:tbl>
      <w:tblPr>
        <w:tblStyle w:val="TableGrid"/>
        <w:tblW w:type="auto" w:w="0"/>
        <w:jc w:val="center"/>
        <w:tblLayout w:type="fixed"/>
        <w:tblLook w:firstColumn="1" w:firstRow="1" w:lastColumn="0" w:lastRow="0" w:noHBand="0" w:noVBand="1" w:val="04A0"/>
      </w:tblPr>
      <w:tblGrid>
        <w:gridCol w:w="3283"/>
        <w:gridCol w:w="3283"/>
        <w:gridCol w:w="3283"/>
      </w:tblGrid>
      <w:tr>
        <w:trPr>
          <w:tblHeader w:val="true"/>
        </w:trPr>
        <w:tc>
          <w:tcPr>
            <w:tcW w:type="dxa" w:w="1814"/>
            <w:shd w:fill="1F5A7A"/>
            <w:vAlign w:val="center"/>
            <w:tcMar>
              <w:top w:w="80" w:type="dxa"/>
              <w:start w:w="100" w:type="dxa"/>
              <w:bottom w:w="80" w:type="dxa"/>
              <w:end w:w="100" w:type="dxa"/>
            </w:tcMar>
          </w:tcPr>
          <w:p>
            <w:pPr>
              <w:spacing w:after="0"/>
              <w:jc w:val="center"/>
            </w:pPr>
            <w:r>
              <w:rPr>
                <w:rFonts w:ascii="Calibri" w:hAnsi="Calibri"/>
                <w:b/>
                <w:color w:val="FFFFFF"/>
                <w:sz w:val="17"/>
              </w:rPr>
              <w:t>Dimension</w:t>
            </w:r>
          </w:p>
        </w:tc>
        <w:tc>
          <w:tcPr>
            <w:tcW w:type="dxa" w:w="3685"/>
            <w:shd w:fill="1F5A7A"/>
            <w:vAlign w:val="center"/>
            <w:tcMar>
              <w:top w:w="80" w:type="dxa"/>
              <w:start w:w="100" w:type="dxa"/>
              <w:bottom w:w="80" w:type="dxa"/>
              <w:end w:w="100" w:type="dxa"/>
            </w:tcMar>
          </w:tcPr>
          <w:p>
            <w:pPr>
              <w:spacing w:after="0"/>
              <w:jc w:val="center"/>
            </w:pPr>
            <w:r>
              <w:rPr>
                <w:rFonts w:ascii="Calibri" w:hAnsi="Calibri"/>
                <w:b/>
                <w:color w:val="FFFFFF"/>
                <w:sz w:val="17"/>
              </w:rPr>
              <w:t>Bewertung</w:t>
            </w:r>
          </w:p>
        </w:tc>
        <w:tc>
          <w:tcPr>
            <w:tcW w:type="dxa" w:w="4195"/>
            <w:shd w:fill="1F5A7A"/>
            <w:vAlign w:val="center"/>
            <w:tcMar>
              <w:top w:w="80" w:type="dxa"/>
              <w:start w:w="100" w:type="dxa"/>
              <w:bottom w:w="80" w:type="dxa"/>
              <w:end w:w="100" w:type="dxa"/>
            </w:tcMar>
          </w:tcPr>
          <w:p>
            <w:pPr>
              <w:spacing w:after="0"/>
              <w:jc w:val="center"/>
            </w:pPr>
            <w:r>
              <w:rPr>
                <w:rFonts w:ascii="Calibri" w:hAnsi="Calibri"/>
                <w:b/>
                <w:color w:val="FFFFFF"/>
                <w:sz w:val="17"/>
              </w:rPr>
              <w:t>Konsequenz</w:t>
            </w:r>
          </w:p>
        </w:tc>
      </w:tr>
      <w:tr>
        <w:trPr>
          <w:cantSplit/>
        </w:trPr>
        <w:tc>
          <w:tcPr>
            <w:tcW w:type="dxa" w:w="1814"/>
            <w:vAlign w:val="center"/>
            <w:tcMar>
              <w:top w:w="80" w:type="dxa"/>
              <w:start w:w="100" w:type="dxa"/>
              <w:bottom w:w="80" w:type="dxa"/>
              <w:end w:w="100" w:type="dxa"/>
            </w:tcMar>
          </w:tcPr>
          <w:p>
            <w:pPr>
              <w:spacing w:after="0"/>
              <w:jc w:val="left"/>
            </w:pPr>
            <w:r>
              <w:rPr>
                <w:rFonts w:ascii="Calibri" w:hAnsi="Calibri"/>
                <w:b/>
                <w:sz w:val="17"/>
              </w:rPr>
              <w:t>Produkt</w:t>
            </w:r>
          </w:p>
        </w:tc>
        <w:tc>
          <w:tcPr>
            <w:tcW w:type="dxa" w:w="3685"/>
            <w:vAlign w:val="center"/>
            <w:tcMar>
              <w:top w:w="80" w:type="dxa"/>
              <w:start w:w="100" w:type="dxa"/>
              <w:bottom w:w="80" w:type="dxa"/>
              <w:end w:w="100" w:type="dxa"/>
            </w:tcMar>
          </w:tcPr>
          <w:p>
            <w:pPr>
              <w:spacing w:after="0"/>
              <w:jc w:val="right"/>
            </w:pPr>
            <w:r>
              <w:rPr>
                <w:rFonts w:ascii="Calibri" w:hAnsi="Calibri"/>
                <w:sz w:val="17"/>
              </w:rPr>
              <w:t>MVP nahezu marktreif; vier Widgettypen vorhanden/konzipiert</w:t>
            </w:r>
          </w:p>
        </w:tc>
        <w:tc>
          <w:tcPr>
            <w:tcW w:type="dxa" w:w="4195"/>
            <w:vAlign w:val="center"/>
            <w:tcMar>
              <w:top w:w="80" w:type="dxa"/>
              <w:start w:w="100" w:type="dxa"/>
              <w:bottom w:w="80" w:type="dxa"/>
              <w:end w:w="100" w:type="dxa"/>
            </w:tcMar>
          </w:tcPr>
          <w:p>
            <w:pPr>
              <w:spacing w:after="0"/>
              <w:jc w:val="right"/>
            </w:pPr>
            <w:r>
              <w:rPr>
                <w:rFonts w:ascii="Calibri" w:hAnsi="Calibri"/>
                <w:sz w:val="17"/>
              </w:rPr>
              <w:t>Inhalte, Designs, Prompts, QA und Name finalisieren</w:t>
            </w:r>
          </w:p>
        </w:tc>
      </w:tr>
      <w:tr>
        <w:trPr>
          <w:cantSplit/>
        </w:trPr>
        <w:tc>
          <w:tcPr>
            <w:tcW w:type="dxa" w:w="1814"/>
            <w:vAlign w:val="center"/>
            <w:tcMar>
              <w:top w:w="80" w:type="dxa"/>
              <w:start w:w="100" w:type="dxa"/>
              <w:bottom w:w="80" w:type="dxa"/>
              <w:end w:w="100" w:type="dxa"/>
            </w:tcMar>
            <w:shd w:fill="F3F7F9"/>
          </w:tcPr>
          <w:p>
            <w:pPr>
              <w:spacing w:after="0"/>
              <w:jc w:val="left"/>
            </w:pPr>
            <w:r>
              <w:rPr>
                <w:rFonts w:ascii="Calibri" w:hAnsi="Calibri"/>
                <w:b/>
                <w:sz w:val="17"/>
              </w:rPr>
              <w:t>Markt</w:t>
            </w:r>
          </w:p>
        </w:tc>
        <w:tc>
          <w:tcPr>
            <w:tcW w:type="dxa" w:w="3685"/>
            <w:vAlign w:val="center"/>
            <w:tcMar>
              <w:top w:w="80" w:type="dxa"/>
              <w:start w:w="100" w:type="dxa"/>
              <w:bottom w:w="80" w:type="dxa"/>
              <w:end w:w="100" w:type="dxa"/>
            </w:tcMar>
            <w:shd w:fill="F3F7F9"/>
          </w:tcPr>
          <w:p>
            <w:pPr>
              <w:spacing w:after="0"/>
              <w:jc w:val="right"/>
            </w:pPr>
            <w:r>
              <w:rPr>
                <w:rFonts w:ascii="Calibri" w:hAnsi="Calibri"/>
                <w:sz w:val="17"/>
              </w:rPr>
              <w:t>Großer Digitalwerbemarkt; enges adressierbares Publisher-Segment</w:t>
            </w:r>
          </w:p>
        </w:tc>
        <w:tc>
          <w:tcPr>
            <w:tcW w:type="dxa" w:w="4195"/>
            <w:vAlign w:val="center"/>
            <w:tcMar>
              <w:top w:w="80" w:type="dxa"/>
              <w:start w:w="100" w:type="dxa"/>
              <w:bottom w:w="80" w:type="dxa"/>
              <w:end w:w="100" w:type="dxa"/>
            </w:tcMar>
            <w:shd w:fill="F3F7F9"/>
          </w:tcPr>
          <w:p>
            <w:pPr>
              <w:spacing w:after="0"/>
              <w:jc w:val="right"/>
            </w:pPr>
            <w:r>
              <w:rPr>
                <w:rFonts w:ascii="Calibri" w:hAnsi="Calibri"/>
                <w:sz w:val="17"/>
              </w:rPr>
              <w:t>Bottom-up verkaufen, nicht mit Marktgröße argumentieren</w:t>
            </w:r>
          </w:p>
        </w:tc>
      </w:tr>
      <w:tr>
        <w:trPr>
          <w:cantSplit/>
        </w:trPr>
        <w:tc>
          <w:tcPr>
            <w:tcW w:type="dxa" w:w="1814"/>
            <w:vAlign w:val="center"/>
            <w:tcMar>
              <w:top w:w="80" w:type="dxa"/>
              <w:start w:w="100" w:type="dxa"/>
              <w:bottom w:w="80" w:type="dxa"/>
              <w:end w:w="100" w:type="dxa"/>
            </w:tcMar>
          </w:tcPr>
          <w:p>
            <w:pPr>
              <w:spacing w:after="0"/>
              <w:jc w:val="left"/>
            </w:pPr>
            <w:r>
              <w:rPr>
                <w:rFonts w:ascii="Calibri" w:hAnsi="Calibri"/>
                <w:b/>
                <w:sz w:val="17"/>
              </w:rPr>
              <w:t>Traktion</w:t>
            </w:r>
          </w:p>
        </w:tc>
        <w:tc>
          <w:tcPr>
            <w:tcW w:type="dxa" w:w="3685"/>
            <w:vAlign w:val="center"/>
            <w:tcMar>
              <w:top w:w="80" w:type="dxa"/>
              <w:start w:w="100" w:type="dxa"/>
              <w:bottom w:w="80" w:type="dxa"/>
              <w:end w:w="100" w:type="dxa"/>
            </w:tcMar>
          </w:tcPr>
          <w:p>
            <w:pPr>
              <w:spacing w:after="0"/>
              <w:jc w:val="right"/>
            </w:pPr>
            <w:r>
              <w:rPr>
                <w:rFonts w:ascii="Calibri" w:hAnsi="Calibri"/>
                <w:sz w:val="17"/>
              </w:rPr>
              <w:t>Starke Event- und Medienreichweite</w:t>
            </w:r>
          </w:p>
        </w:tc>
        <w:tc>
          <w:tcPr>
            <w:tcW w:type="dxa" w:w="4195"/>
            <w:vAlign w:val="center"/>
            <w:tcMar>
              <w:top w:w="80" w:type="dxa"/>
              <w:start w:w="100" w:type="dxa"/>
              <w:bottom w:w="80" w:type="dxa"/>
              <w:end w:w="100" w:type="dxa"/>
            </w:tcMar>
          </w:tcPr>
          <w:p>
            <w:pPr>
              <w:spacing w:after="0"/>
              <w:jc w:val="right"/>
            </w:pPr>
            <w:r>
              <w:rPr>
                <w:rFonts w:ascii="Calibri" w:hAnsi="Calibri"/>
                <w:sz w:val="17"/>
              </w:rPr>
              <w:t>Paid-Pilot-Conversion und Wiederkehrrate messen</w:t>
            </w:r>
          </w:p>
        </w:tc>
      </w:tr>
      <w:tr>
        <w:trPr>
          <w:cantSplit/>
        </w:trPr>
        <w:tc>
          <w:tcPr>
            <w:tcW w:type="dxa" w:w="1814"/>
            <w:vAlign w:val="center"/>
            <w:tcMar>
              <w:top w:w="80" w:type="dxa"/>
              <w:start w:w="100" w:type="dxa"/>
              <w:bottom w:w="80" w:type="dxa"/>
              <w:end w:w="100" w:type="dxa"/>
            </w:tcMar>
            <w:shd w:fill="F3F7F9"/>
          </w:tcPr>
          <w:p>
            <w:pPr>
              <w:spacing w:after="0"/>
              <w:jc w:val="left"/>
            </w:pPr>
            <w:r>
              <w:rPr>
                <w:rFonts w:ascii="Calibri" w:hAnsi="Calibri"/>
                <w:b/>
                <w:sz w:val="17"/>
              </w:rPr>
              <w:t>Finanzierung</w:t>
            </w:r>
          </w:p>
        </w:tc>
        <w:tc>
          <w:tcPr>
            <w:tcW w:type="dxa" w:w="3685"/>
            <w:vAlign w:val="center"/>
            <w:tcMar>
              <w:top w:w="80" w:type="dxa"/>
              <w:start w:w="100" w:type="dxa"/>
              <w:bottom w:w="80" w:type="dxa"/>
              <w:end w:w="100" w:type="dxa"/>
            </w:tcMar>
            <w:shd w:fill="F3F7F9"/>
          </w:tcPr>
          <w:p>
            <w:pPr>
              <w:spacing w:after="0"/>
              <w:jc w:val="right"/>
            </w:pPr>
            <w:r>
              <w:rPr>
                <w:rFonts w:ascii="Calibri" w:hAnsi="Calibri"/>
                <w:sz w:val="17"/>
              </w:rPr>
              <w:t>Kein institutionelles Kapital erforderlich</w:t>
            </w:r>
          </w:p>
        </w:tc>
        <w:tc>
          <w:tcPr>
            <w:tcW w:type="dxa" w:w="4195"/>
            <w:vAlign w:val="center"/>
            <w:tcMar>
              <w:top w:w="80" w:type="dxa"/>
              <w:start w:w="100" w:type="dxa"/>
              <w:bottom w:w="80" w:type="dxa"/>
              <w:end w:w="100" w:type="dxa"/>
            </w:tcMar>
            <w:shd w:fill="F3F7F9"/>
          </w:tcPr>
          <w:p>
            <w:pPr>
              <w:spacing w:after="0"/>
              <w:jc w:val="right"/>
            </w:pPr>
            <w:r>
              <w:rPr>
                <w:rFonts w:ascii="Calibri" w:hAnsi="Calibri"/>
                <w:sz w:val="17"/>
              </w:rPr>
              <w:t>15–25 T€ Liquiditätsreserve statt nur 2 T€</w:t>
            </w:r>
          </w:p>
        </w:tc>
      </w:tr>
      <w:tr>
        <w:trPr>
          <w:cantSplit/>
        </w:trPr>
        <w:tc>
          <w:tcPr>
            <w:tcW w:type="dxa" w:w="1814"/>
            <w:vAlign w:val="center"/>
            <w:tcMar>
              <w:top w:w="80" w:type="dxa"/>
              <w:start w:w="100" w:type="dxa"/>
              <w:bottom w:w="80" w:type="dxa"/>
              <w:end w:w="100" w:type="dxa"/>
            </w:tcMar>
          </w:tcPr>
          <w:p>
            <w:pPr>
              <w:spacing w:after="0"/>
              <w:jc w:val="left"/>
            </w:pPr>
            <w:r>
              <w:rPr>
                <w:rFonts w:ascii="Calibri" w:hAnsi="Calibri"/>
                <w:b/>
                <w:sz w:val="17"/>
              </w:rPr>
              <w:t>Investierbarkeit</w:t>
            </w:r>
          </w:p>
        </w:tc>
        <w:tc>
          <w:tcPr>
            <w:tcW w:type="dxa" w:w="3685"/>
            <w:vAlign w:val="center"/>
            <w:tcMar>
              <w:top w:w="80" w:type="dxa"/>
              <w:start w:w="100" w:type="dxa"/>
              <w:bottom w:w="80" w:type="dxa"/>
              <w:end w:w="100" w:type="dxa"/>
            </w:tcMar>
          </w:tcPr>
          <w:p>
            <w:pPr>
              <w:spacing w:after="0"/>
              <w:jc w:val="right"/>
            </w:pPr>
            <w:r>
              <w:rPr>
                <w:rFonts w:ascii="Calibri" w:hAnsi="Calibri"/>
                <w:sz w:val="17"/>
              </w:rPr>
              <w:t>Noch zu frühe Phase</w:t>
            </w:r>
          </w:p>
        </w:tc>
        <w:tc>
          <w:tcPr>
            <w:tcW w:type="dxa" w:w="4195"/>
            <w:vAlign w:val="center"/>
            <w:tcMar>
              <w:top w:w="80" w:type="dxa"/>
              <w:start w:w="100" w:type="dxa"/>
              <w:bottom w:w="80" w:type="dxa"/>
              <w:end w:w="100" w:type="dxa"/>
            </w:tcMar>
          </w:tcPr>
          <w:p>
            <w:pPr>
              <w:spacing w:after="0"/>
              <w:jc w:val="right"/>
            </w:pPr>
            <w:r>
              <w:rPr>
                <w:rFonts w:ascii="Calibri" w:hAnsi="Calibri"/>
                <w:sz w:val="17"/>
              </w:rPr>
              <w:t>Nachweis von MRR, Churn, CAC und Prognosequalität erforderlich</w:t>
            </w:r>
          </w:p>
        </w:tc>
      </w:tr>
    </w:tbl>
    <w:p>
      <w:pPr>
        <w:spacing w:after="20"/>
      </w:pPr>
    </w:p>
    <w:p>
      <w:r>
        <w:br w:type="page"/>
      </w:r>
    </w:p>
    <w:p>
      <w:pPr>
        <w:pStyle w:val="Heading1"/>
      </w:pPr>
      <w:r>
        <w:t>2. Unternehmen, Vision und langfristige Zielsetzung</w:t>
      </w:r>
    </w:p>
    <w:p>
      <w:r>
        <w:t>Vision: AI Sports Prediction soll zur vertrauenswürdigen europäischen Referenz für verständliche, vorab veröffentlichte und nachträglich überprüfbare KI-Sportprognosen werden. Das Unternehmen verkauft nicht „sichere Tipps“, sondern eine publizierbare Informations- und Interaktionsschicht für Sportinhalte.</w:t>
      </w:r>
    </w:p>
    <w:p>
      <w:r>
        <w:t>Mission für die ersten drei Jahre: Publishern ermöglichen, innerhalb weniger Minuten ein gebrandetes, messbares Prognoseformat einzubinden, ohne selbst Datenpipelines, Modelle, redaktionelle Reasoning-Texte und Frontend-Komponenten entwickeln zu müssen.</w:t>
      </w:r>
    </w:p>
    <w:p>
      <w:pPr>
        <w:pStyle w:val="ListBullet"/>
      </w:pPr>
      <w:r>
        <w:t>12 Monate: 15 zahlende B2B-Kunden im realistischen Szenario, vier produktionsreife Widgettypen und belastbare Messung von Prognosegüte, Nutzung und Supportaufwand.</w:t>
      </w:r>
    </w:p>
    <w:p>
      <w:pPr>
        <w:pStyle w:val="ListBullet"/>
      </w:pPr>
      <w:r>
        <w:t>24 Monate: 50 aktive B2B-Kunden, 250.000 monatliche Pageviews und wiederholbarer Founder-led-Sales-Prozess.</w:t>
      </w:r>
    </w:p>
    <w:p>
      <w:pPr>
        <w:pStyle w:val="ListBullet"/>
      </w:pPr>
      <w:r>
        <w:t>36 Monate: 100 B2B-Kunden, dokumentierte Kohorten-Retention, erste bezahlte Rollen und Deutschland als funktionierender Kernmarkt.</w:t>
      </w:r>
    </w:p>
    <w:p>
      <w:pPr>
        <w:pStyle w:val="ListBullet"/>
      </w:pPr>
      <w:r>
        <w:t>5 Jahre: 260 B2B-Kunden und 366,7 T€ Umsatz im realistischen Szenario; Internationalisierung nur nach Product-Market-Fit.</w:t>
      </w:r>
    </w:p>
    <w:p>
      <w:r>
        <w:br w:type="page"/>
      </w:r>
    </w:p>
    <w:p>
      <w:pPr>
        <w:pStyle w:val="Heading1"/>
      </w:pPr>
      <w:r>
        <w:t>3. Problem und nachgewiesener Kundenbedarf</w:t>
      </w:r>
    </w:p>
    <w:p>
      <w:r>
        <w:t>Sportredaktionen benötigen regelmäßig interaktive, aktuelle und differenzierende Inhalte. Große Häuser können Daten- und Visualisierungsteams aufbauen; kleinere und mittlere Publisher müssen Datenquellen, Modellierung, Frontend, Hosting, Aktualisierung und redaktionelle Qualität mit begrenzten Ressourcen abdecken. Gleichzeitig stehen Publisher unter Druck, direkte Nutzung, Verweildauer und wiederkehrende Formate zu stärken. Der Reuters Institute Trends Report 2026 dokumentiert die strategische Unsicherheit durch rückläufige Suchzugriffe und höhere AI-Investitionen vieler Publisher. [Q9]</w:t>
      </w:r>
    </w:p>
    <w:p>
      <w:r>
        <w:t>Der Kundenbedarf ist bislang nur teilweise nachgewiesen. Medienreichweite und Website-Nutzung zeigen Interesse auf Nutzerseite. Interviews wurden nach Gründerangabe geführt, aber Anzahl, Rollen, Zahlungsbereitschaft und Transkripte liegen noch nicht als strukturierte Evidenz vor. Das wichtigste Risiko ist daher nicht die technische Machbarkeit, sondern die Frage, ob Redaktionen dauerhaft 49–499 € monatlich für das Format zahlen.</w:t>
      </w:r>
    </w:p>
    <w:tbl>
      <w:tblPr>
        <w:tblStyle w:val="TableGrid"/>
        <w:tblW w:type="auto" w:w="0"/>
        <w:jc w:val="center"/>
        <w:tblLayout w:type="fixed"/>
        <w:tblLook w:firstColumn="1" w:firstRow="1" w:lastColumn="0" w:lastRow="0" w:noHBand="0" w:noVBand="1" w:val="04A0"/>
      </w:tblPr>
      <w:tblGrid>
        <w:gridCol w:w="3283"/>
        <w:gridCol w:w="3283"/>
        <w:gridCol w:w="3283"/>
      </w:tblGrid>
      <w:tr>
        <w:trPr>
          <w:tblHeader w:val="true"/>
        </w:trPr>
        <w:tc>
          <w:tcPr>
            <w:tcW w:type="dxa" w:w="2891"/>
            <w:shd w:fill="1F5A7A"/>
            <w:vAlign w:val="center"/>
            <w:tcMar>
              <w:top w:w="80" w:type="dxa"/>
              <w:start w:w="100" w:type="dxa"/>
              <w:bottom w:w="80" w:type="dxa"/>
              <w:end w:w="100" w:type="dxa"/>
            </w:tcMar>
          </w:tcPr>
          <w:p>
            <w:pPr>
              <w:spacing w:after="0"/>
              <w:jc w:val="center"/>
            </w:pPr>
            <w:r>
              <w:rPr>
                <w:rFonts w:ascii="Calibri" w:hAnsi="Calibri"/>
                <w:b/>
                <w:color w:val="FFFFFF"/>
                <w:sz w:val="17"/>
              </w:rPr>
              <w:t>Hypothese</w:t>
            </w:r>
          </w:p>
        </w:tc>
        <w:tc>
          <w:tcPr>
            <w:tcW w:type="dxa" w:w="3458"/>
            <w:shd w:fill="1F5A7A"/>
            <w:vAlign w:val="center"/>
            <w:tcMar>
              <w:top w:w="80" w:type="dxa"/>
              <w:start w:w="100" w:type="dxa"/>
              <w:bottom w:w="80" w:type="dxa"/>
              <w:end w:w="100" w:type="dxa"/>
            </w:tcMar>
          </w:tcPr>
          <w:p>
            <w:pPr>
              <w:spacing w:after="0"/>
              <w:jc w:val="center"/>
            </w:pPr>
            <w:r>
              <w:rPr>
                <w:rFonts w:ascii="Calibri" w:hAnsi="Calibri"/>
                <w:b/>
                <w:color w:val="FFFFFF"/>
                <w:sz w:val="17"/>
              </w:rPr>
              <w:t>Bestehende Evidenz</w:t>
            </w:r>
          </w:p>
        </w:tc>
        <w:tc>
          <w:tcPr>
            <w:tcW w:type="dxa" w:w="3345"/>
            <w:shd w:fill="1F5A7A"/>
            <w:vAlign w:val="center"/>
            <w:tcMar>
              <w:top w:w="80" w:type="dxa"/>
              <w:start w:w="100" w:type="dxa"/>
              <w:bottom w:w="80" w:type="dxa"/>
              <w:end w:w="100" w:type="dxa"/>
            </w:tcMar>
          </w:tcPr>
          <w:p>
            <w:pPr>
              <w:spacing w:after="0"/>
              <w:jc w:val="center"/>
            </w:pPr>
            <w:r>
              <w:rPr>
                <w:rFonts w:ascii="Calibri" w:hAnsi="Calibri"/>
                <w:b/>
                <w:color w:val="FFFFFF"/>
                <w:sz w:val="17"/>
              </w:rPr>
              <w:t>Validierung bis Tag 90</w:t>
            </w:r>
          </w:p>
        </w:tc>
      </w:tr>
      <w:tr>
        <w:trPr>
          <w:cantSplit/>
        </w:trPr>
        <w:tc>
          <w:tcPr>
            <w:tcW w:type="dxa" w:w="2891"/>
            <w:vAlign w:val="center"/>
            <w:tcMar>
              <w:top w:w="80" w:type="dxa"/>
              <w:start w:w="100" w:type="dxa"/>
              <w:bottom w:w="80" w:type="dxa"/>
              <w:end w:w="100" w:type="dxa"/>
            </w:tcMar>
          </w:tcPr>
          <w:p>
            <w:pPr>
              <w:spacing w:after="0"/>
              <w:jc w:val="left"/>
            </w:pPr>
            <w:r>
              <w:rPr>
                <w:rFonts w:ascii="Calibri" w:hAnsi="Calibri"/>
                <w:b/>
                <w:sz w:val="17"/>
              </w:rPr>
              <w:t>Publisher wollen Prognosewidgets</w:t>
            </w:r>
          </w:p>
        </w:tc>
        <w:tc>
          <w:tcPr>
            <w:tcW w:type="dxa" w:w="3458"/>
            <w:vAlign w:val="center"/>
            <w:tcMar>
              <w:top w:w="80" w:type="dxa"/>
              <w:start w:w="100" w:type="dxa"/>
              <w:bottom w:w="80" w:type="dxa"/>
              <w:end w:w="100" w:type="dxa"/>
            </w:tcMar>
          </w:tcPr>
          <w:p>
            <w:pPr>
              <w:spacing w:after="0"/>
              <w:jc w:val="right"/>
            </w:pPr>
            <w:r>
              <w:rPr>
                <w:rFonts w:ascii="Calibri" w:hAnsi="Calibri"/>
                <w:sz w:val="17"/>
              </w:rPr>
              <w:t>Interesse in Gesprächen; keine bezahlten Kunden</w:t>
            </w:r>
          </w:p>
        </w:tc>
        <w:tc>
          <w:tcPr>
            <w:tcW w:type="dxa" w:w="3345"/>
            <w:vAlign w:val="center"/>
            <w:tcMar>
              <w:top w:w="80" w:type="dxa"/>
              <w:start w:w="100" w:type="dxa"/>
              <w:bottom w:w="80" w:type="dxa"/>
              <w:end w:w="100" w:type="dxa"/>
            </w:tcMar>
          </w:tcPr>
          <w:p>
            <w:pPr>
              <w:spacing w:after="0"/>
              <w:jc w:val="right"/>
            </w:pPr>
            <w:r>
              <w:rPr>
                <w:rFonts w:ascii="Calibri" w:hAnsi="Calibri"/>
                <w:sz w:val="17"/>
              </w:rPr>
              <w:t>30 strukturierte Interviews; 3–5 bezahlte Designpartner</w:t>
            </w:r>
          </w:p>
        </w:tc>
      </w:tr>
      <w:tr>
        <w:trPr>
          <w:cantSplit/>
        </w:trPr>
        <w:tc>
          <w:tcPr>
            <w:tcW w:type="dxa" w:w="2891"/>
            <w:vAlign w:val="center"/>
            <w:tcMar>
              <w:top w:w="80" w:type="dxa"/>
              <w:start w:w="100" w:type="dxa"/>
              <w:bottom w:w="80" w:type="dxa"/>
              <w:end w:w="100" w:type="dxa"/>
            </w:tcMar>
            <w:shd w:fill="F3F7F9"/>
          </w:tcPr>
          <w:p>
            <w:pPr>
              <w:spacing w:after="0"/>
              <w:jc w:val="left"/>
            </w:pPr>
            <w:r>
              <w:rPr>
                <w:rFonts w:ascii="Calibri" w:hAnsi="Calibri"/>
                <w:b/>
                <w:sz w:val="17"/>
              </w:rPr>
              <w:t>Reasoning steigert Nutzung</w:t>
            </w:r>
          </w:p>
        </w:tc>
        <w:tc>
          <w:tcPr>
            <w:tcW w:type="dxa" w:w="3458"/>
            <w:vAlign w:val="center"/>
            <w:tcMar>
              <w:top w:w="80" w:type="dxa"/>
              <w:start w:w="100" w:type="dxa"/>
              <w:bottom w:w="80" w:type="dxa"/>
              <w:end w:w="100" w:type="dxa"/>
            </w:tcMar>
            <w:shd w:fill="F3F7F9"/>
          </w:tcPr>
          <w:p>
            <w:pPr>
              <w:spacing w:after="0"/>
              <w:jc w:val="right"/>
            </w:pPr>
            <w:r>
              <w:rPr>
                <w:rFonts w:ascii="Calibri" w:hAnsi="Calibri"/>
                <w:sz w:val="17"/>
              </w:rPr>
              <w:t>2:22 min Engagement im Eventzeitraum; keine Widget-A/B-Tests</w:t>
            </w:r>
          </w:p>
        </w:tc>
        <w:tc>
          <w:tcPr>
            <w:tcW w:type="dxa" w:w="3345"/>
            <w:vAlign w:val="center"/>
            <w:tcMar>
              <w:top w:w="80" w:type="dxa"/>
              <w:start w:w="100" w:type="dxa"/>
              <w:bottom w:w="80" w:type="dxa"/>
              <w:end w:w="100" w:type="dxa"/>
            </w:tcMar>
            <w:shd w:fill="F3F7F9"/>
          </w:tcPr>
          <w:p>
            <w:pPr>
              <w:spacing w:after="0"/>
              <w:jc w:val="right"/>
            </w:pPr>
            <w:r>
              <w:rPr>
                <w:rFonts w:ascii="Calibri" w:hAnsi="Calibri"/>
                <w:sz w:val="17"/>
              </w:rPr>
              <w:t>A/B-Test Reasoning vs. Wahrscheinlichkeit</w:t>
            </w:r>
          </w:p>
        </w:tc>
      </w:tr>
      <w:tr>
        <w:trPr>
          <w:cantSplit/>
        </w:trPr>
        <w:tc>
          <w:tcPr>
            <w:tcW w:type="dxa" w:w="2891"/>
            <w:vAlign w:val="center"/>
            <w:tcMar>
              <w:top w:w="80" w:type="dxa"/>
              <w:start w:w="100" w:type="dxa"/>
              <w:bottom w:w="80" w:type="dxa"/>
              <w:end w:w="100" w:type="dxa"/>
            </w:tcMar>
          </w:tcPr>
          <w:p>
            <w:pPr>
              <w:spacing w:after="0"/>
              <w:jc w:val="left"/>
            </w:pPr>
            <w:r>
              <w:rPr>
                <w:rFonts w:ascii="Calibri" w:hAnsi="Calibri"/>
                <w:b/>
                <w:sz w:val="17"/>
              </w:rPr>
              <w:t>Mehrere Sportarten erhöhen Wert</w:t>
            </w:r>
          </w:p>
        </w:tc>
        <w:tc>
          <w:tcPr>
            <w:tcW w:type="dxa" w:w="3458"/>
            <w:vAlign w:val="center"/>
            <w:tcMar>
              <w:top w:w="80" w:type="dxa"/>
              <w:start w:w="100" w:type="dxa"/>
              <w:bottom w:w="80" w:type="dxa"/>
              <w:end w:w="100" w:type="dxa"/>
            </w:tcMar>
          </w:tcPr>
          <w:p>
            <w:pPr>
              <w:spacing w:after="0"/>
              <w:jc w:val="right"/>
            </w:pPr>
            <w:r>
              <w:rPr>
                <w:rFonts w:ascii="Calibri" w:hAnsi="Calibri"/>
                <w:sz w:val="17"/>
              </w:rPr>
              <w:t>Fußball-Prototyp; übrige Sportarten geplant</w:t>
            </w:r>
          </w:p>
        </w:tc>
        <w:tc>
          <w:tcPr>
            <w:tcW w:type="dxa" w:w="3345"/>
            <w:vAlign w:val="center"/>
            <w:tcMar>
              <w:top w:w="80" w:type="dxa"/>
              <w:start w:w="100" w:type="dxa"/>
              <w:bottom w:w="80" w:type="dxa"/>
              <w:end w:w="100" w:type="dxa"/>
            </w:tcMar>
          </w:tcPr>
          <w:p>
            <w:pPr>
              <w:spacing w:after="0"/>
              <w:jc w:val="right"/>
            </w:pPr>
            <w:r>
              <w:rPr>
                <w:rFonts w:ascii="Calibri" w:hAnsi="Calibri"/>
                <w:sz w:val="17"/>
              </w:rPr>
              <w:t>Nur nach Kundenpriorität implementieren</w:t>
            </w:r>
          </w:p>
        </w:tc>
      </w:tr>
      <w:tr>
        <w:trPr>
          <w:cantSplit/>
        </w:trPr>
        <w:tc>
          <w:tcPr>
            <w:tcW w:type="dxa" w:w="2891"/>
            <w:vAlign w:val="center"/>
            <w:tcMar>
              <w:top w:w="80" w:type="dxa"/>
              <w:start w:w="100" w:type="dxa"/>
              <w:bottom w:w="80" w:type="dxa"/>
              <w:end w:w="100" w:type="dxa"/>
            </w:tcMar>
            <w:shd w:fill="F3F7F9"/>
          </w:tcPr>
          <w:p>
            <w:pPr>
              <w:spacing w:after="0"/>
              <w:jc w:val="left"/>
            </w:pPr>
            <w:r>
              <w:rPr>
                <w:rFonts w:ascii="Calibri" w:hAnsi="Calibri"/>
                <w:b/>
                <w:sz w:val="17"/>
              </w:rPr>
              <w:t>Automatisierter Outreach skaliert</w:t>
            </w:r>
          </w:p>
        </w:tc>
        <w:tc>
          <w:tcPr>
            <w:tcW w:type="dxa" w:w="3458"/>
            <w:vAlign w:val="center"/>
            <w:tcMar>
              <w:top w:w="80" w:type="dxa"/>
              <w:start w:w="100" w:type="dxa"/>
              <w:bottom w:w="80" w:type="dxa"/>
              <w:end w:w="100" w:type="dxa"/>
            </w:tcMar>
            <w:shd w:fill="F3F7F9"/>
          </w:tcPr>
          <w:p>
            <w:pPr>
              <w:spacing w:after="0"/>
              <w:jc w:val="right"/>
            </w:pPr>
            <w:r>
              <w:rPr>
                <w:rFonts w:ascii="Calibri" w:hAnsi="Calibri"/>
                <w:sz w:val="17"/>
              </w:rPr>
              <w:t>Agenten im Aufbau</w:t>
            </w:r>
          </w:p>
        </w:tc>
        <w:tc>
          <w:tcPr>
            <w:tcW w:type="dxa" w:w="3345"/>
            <w:vAlign w:val="center"/>
            <w:tcMar>
              <w:top w:w="80" w:type="dxa"/>
              <w:start w:w="100" w:type="dxa"/>
              <w:bottom w:w="80" w:type="dxa"/>
              <w:end w:w="100" w:type="dxa"/>
            </w:tcMar>
            <w:shd w:fill="F3F7F9"/>
          </w:tcPr>
          <w:p>
            <w:pPr>
              <w:spacing w:after="0"/>
              <w:jc w:val="right"/>
            </w:pPr>
            <w:r>
              <w:rPr>
                <w:rFonts w:ascii="Calibri" w:hAnsi="Calibri"/>
                <w:sz w:val="17"/>
              </w:rPr>
              <w:t>Antwort-, Termin- und Abschlussquote messen</w:t>
            </w:r>
          </w:p>
        </w:tc>
      </w:tr>
    </w:tbl>
    <w:p>
      <w:pPr>
        <w:spacing w:after="20"/>
      </w:pPr>
    </w:p>
    <w:p>
      <w:r>
        <w:br w:type="page"/>
      </w:r>
    </w:p>
    <w:p>
      <w:pPr>
        <w:pStyle w:val="Heading1"/>
      </w:pPr>
      <w:r>
        <w:t>4. Lösung sowie Produkt- und Leistungsbeschreibung</w:t>
      </w:r>
    </w:p>
    <w:p>
      <w:r>
        <w:t>Das Angebot besteht aus einer kostenlosen Plattform für Sportfans und einer B2B-Widget-/API-Schicht. Die Plattform schafft Reichweite, Datenfeedback und Markenbekanntheit; die Widgets monetarisieren redaktionelle Nutzung.</w:t>
      </w:r>
    </w:p>
    <w:tbl>
      <w:tblPr>
        <w:tblStyle w:val="TableGrid"/>
        <w:tblW w:type="auto" w:w="0"/>
        <w:jc w:val="center"/>
        <w:tblLayout w:type="fixed"/>
        <w:tblLook w:firstColumn="1" w:firstRow="1" w:lastColumn="0" w:lastRow="0" w:noHBand="0" w:noVBand="1" w:val="04A0"/>
      </w:tblPr>
      <w:tblGrid>
        <w:gridCol w:w="3283"/>
        <w:gridCol w:w="3283"/>
        <w:gridCol w:w="3283"/>
      </w:tblGrid>
      <w:tr>
        <w:trPr>
          <w:tblHeader w:val="true"/>
        </w:trPr>
        <w:tc>
          <w:tcPr>
            <w:tcW w:type="dxa" w:w="2097"/>
            <w:shd w:fill="1F5A7A"/>
            <w:vAlign w:val="center"/>
            <w:tcMar>
              <w:top w:w="80" w:type="dxa"/>
              <w:start w:w="100" w:type="dxa"/>
              <w:bottom w:w="80" w:type="dxa"/>
              <w:end w:w="100" w:type="dxa"/>
            </w:tcMar>
          </w:tcPr>
          <w:p>
            <w:pPr>
              <w:spacing w:after="0"/>
              <w:jc w:val="center"/>
            </w:pPr>
            <w:r>
              <w:rPr>
                <w:rFonts w:ascii="Calibri" w:hAnsi="Calibri"/>
                <w:b/>
                <w:color w:val="FFFFFF"/>
                <w:sz w:val="17"/>
              </w:rPr>
              <w:t>Widget</w:t>
            </w:r>
          </w:p>
        </w:tc>
        <w:tc>
          <w:tcPr>
            <w:tcW w:type="dxa" w:w="4422"/>
            <w:shd w:fill="1F5A7A"/>
            <w:vAlign w:val="center"/>
            <w:tcMar>
              <w:top w:w="80" w:type="dxa"/>
              <w:start w:w="100" w:type="dxa"/>
              <w:bottom w:w="80" w:type="dxa"/>
              <w:end w:w="100" w:type="dxa"/>
            </w:tcMar>
          </w:tcPr>
          <w:p>
            <w:pPr>
              <w:spacing w:after="0"/>
              <w:jc w:val="center"/>
            </w:pPr>
            <w:r>
              <w:rPr>
                <w:rFonts w:ascii="Calibri" w:hAnsi="Calibri"/>
                <w:b/>
                <w:color w:val="FFFFFF"/>
                <w:sz w:val="17"/>
              </w:rPr>
              <w:t>Inhalt</w:t>
            </w:r>
          </w:p>
        </w:tc>
        <w:tc>
          <w:tcPr>
            <w:tcW w:type="dxa" w:w="3231"/>
            <w:shd w:fill="1F5A7A"/>
            <w:vAlign w:val="center"/>
            <w:tcMar>
              <w:top w:w="80" w:type="dxa"/>
              <w:start w:w="100" w:type="dxa"/>
              <w:bottom w:w="80" w:type="dxa"/>
              <w:end w:w="100" w:type="dxa"/>
            </w:tcMar>
          </w:tcPr>
          <w:p>
            <w:pPr>
              <w:spacing w:after="0"/>
              <w:jc w:val="center"/>
            </w:pPr>
            <w:r>
              <w:rPr>
                <w:rFonts w:ascii="Calibri" w:hAnsi="Calibri"/>
                <w:b/>
                <w:color w:val="FFFFFF"/>
                <w:sz w:val="17"/>
              </w:rPr>
              <w:t>Primärer Einsatz</w:t>
            </w:r>
          </w:p>
        </w:tc>
      </w:tr>
      <w:tr>
        <w:trPr>
          <w:cantSplit/>
        </w:trPr>
        <w:tc>
          <w:tcPr>
            <w:tcW w:type="dxa" w:w="2097"/>
            <w:vAlign w:val="center"/>
            <w:tcMar>
              <w:top w:w="80" w:type="dxa"/>
              <w:start w:w="100" w:type="dxa"/>
              <w:bottom w:w="80" w:type="dxa"/>
              <w:end w:w="100" w:type="dxa"/>
            </w:tcMar>
          </w:tcPr>
          <w:p>
            <w:pPr>
              <w:spacing w:after="0"/>
              <w:jc w:val="left"/>
            </w:pPr>
            <w:r>
              <w:rPr>
                <w:rFonts w:ascii="Calibri" w:hAnsi="Calibri"/>
                <w:b/>
                <w:sz w:val="17"/>
              </w:rPr>
              <w:t>Prediction Card</w:t>
            </w:r>
          </w:p>
        </w:tc>
        <w:tc>
          <w:tcPr>
            <w:tcW w:type="dxa" w:w="4422"/>
            <w:vAlign w:val="center"/>
            <w:tcMar>
              <w:top w:w="80" w:type="dxa"/>
              <w:start w:w="100" w:type="dxa"/>
              <w:bottom w:w="80" w:type="dxa"/>
              <w:end w:w="100" w:type="dxa"/>
            </w:tcMar>
          </w:tcPr>
          <w:p>
            <w:pPr>
              <w:spacing w:after="0"/>
              <w:jc w:val="right"/>
            </w:pPr>
            <w:r>
              <w:rPr>
                <w:rFonts w:ascii="Calibri" w:hAnsi="Calibri"/>
                <w:sz w:val="17"/>
              </w:rPr>
              <w:t>Prognose, Wahrscheinlichkeiten, Kernaussage und Reasoning</w:t>
            </w:r>
          </w:p>
        </w:tc>
        <w:tc>
          <w:tcPr>
            <w:tcW w:type="dxa" w:w="3231"/>
            <w:vAlign w:val="center"/>
            <w:tcMar>
              <w:top w:w="80" w:type="dxa"/>
              <w:start w:w="100" w:type="dxa"/>
              <w:bottom w:w="80" w:type="dxa"/>
              <w:end w:w="100" w:type="dxa"/>
            </w:tcMar>
          </w:tcPr>
          <w:p>
            <w:pPr>
              <w:spacing w:after="0"/>
              <w:jc w:val="right"/>
            </w:pPr>
            <w:r>
              <w:rPr>
                <w:rFonts w:ascii="Calibri" w:hAnsi="Calibri"/>
                <w:sz w:val="17"/>
              </w:rPr>
              <w:t>Einzelspiel-/Matchartikel</w:t>
            </w:r>
          </w:p>
        </w:tc>
      </w:tr>
      <w:tr>
        <w:trPr>
          <w:cantSplit/>
        </w:trPr>
        <w:tc>
          <w:tcPr>
            <w:tcW w:type="dxa" w:w="2097"/>
            <w:vAlign w:val="center"/>
            <w:tcMar>
              <w:top w:w="80" w:type="dxa"/>
              <w:start w:w="100" w:type="dxa"/>
              <w:bottom w:w="80" w:type="dxa"/>
              <w:end w:w="100" w:type="dxa"/>
            </w:tcMar>
            <w:shd w:fill="F3F7F9"/>
          </w:tcPr>
          <w:p>
            <w:pPr>
              <w:spacing w:after="0"/>
              <w:jc w:val="left"/>
            </w:pPr>
            <w:r>
              <w:rPr>
                <w:rFonts w:ascii="Calibri" w:hAnsi="Calibri"/>
                <w:b/>
                <w:sz w:val="17"/>
              </w:rPr>
              <w:t>Match List</w:t>
            </w:r>
          </w:p>
        </w:tc>
        <w:tc>
          <w:tcPr>
            <w:tcW w:type="dxa" w:w="4422"/>
            <w:vAlign w:val="center"/>
            <w:tcMar>
              <w:top w:w="80" w:type="dxa"/>
              <w:start w:w="100" w:type="dxa"/>
              <w:bottom w:w="80" w:type="dxa"/>
              <w:end w:w="100" w:type="dxa"/>
            </w:tcMar>
            <w:shd w:fill="F3F7F9"/>
          </w:tcPr>
          <w:p>
            <w:pPr>
              <w:spacing w:after="0"/>
              <w:jc w:val="right"/>
            </w:pPr>
            <w:r>
              <w:rPr>
                <w:rFonts w:ascii="Calibri" w:hAnsi="Calibri"/>
                <w:sz w:val="17"/>
              </w:rPr>
              <w:t>Kommende Spiele mit kompakten Prognosen</w:t>
            </w:r>
          </w:p>
        </w:tc>
        <w:tc>
          <w:tcPr>
            <w:tcW w:type="dxa" w:w="3231"/>
            <w:vAlign w:val="center"/>
            <w:tcMar>
              <w:top w:w="80" w:type="dxa"/>
              <w:start w:w="100" w:type="dxa"/>
              <w:bottom w:w="80" w:type="dxa"/>
              <w:end w:w="100" w:type="dxa"/>
            </w:tcMar>
            <w:shd w:fill="F3F7F9"/>
          </w:tcPr>
          <w:p>
            <w:pPr>
              <w:spacing w:after="0"/>
              <w:jc w:val="right"/>
            </w:pPr>
            <w:r>
              <w:rPr>
                <w:rFonts w:ascii="Calibri" w:hAnsi="Calibri"/>
                <w:sz w:val="17"/>
              </w:rPr>
              <w:t>Liga-, Turnier- und Livecenter-Seiten</w:t>
            </w:r>
          </w:p>
        </w:tc>
      </w:tr>
      <w:tr>
        <w:trPr>
          <w:cantSplit/>
        </w:trPr>
        <w:tc>
          <w:tcPr>
            <w:tcW w:type="dxa" w:w="2097"/>
            <w:vAlign w:val="center"/>
            <w:tcMar>
              <w:top w:w="80" w:type="dxa"/>
              <w:start w:w="100" w:type="dxa"/>
              <w:bottom w:w="80" w:type="dxa"/>
              <w:end w:w="100" w:type="dxa"/>
            </w:tcMar>
          </w:tcPr>
          <w:p>
            <w:pPr>
              <w:spacing w:after="0"/>
              <w:jc w:val="left"/>
            </w:pPr>
            <w:r>
              <w:rPr>
                <w:rFonts w:ascii="Calibri" w:hAnsi="Calibri"/>
                <w:b/>
                <w:sz w:val="17"/>
              </w:rPr>
              <w:t>Win Probability</w:t>
            </w:r>
          </w:p>
        </w:tc>
        <w:tc>
          <w:tcPr>
            <w:tcW w:type="dxa" w:w="4422"/>
            <w:vAlign w:val="center"/>
            <w:tcMar>
              <w:top w:w="80" w:type="dxa"/>
              <w:start w:w="100" w:type="dxa"/>
              <w:bottom w:w="80" w:type="dxa"/>
              <w:end w:w="100" w:type="dxa"/>
            </w:tcMar>
          </w:tcPr>
          <w:p>
            <w:pPr>
              <w:spacing w:after="0"/>
              <w:jc w:val="right"/>
            </w:pPr>
            <w:r>
              <w:rPr>
                <w:rFonts w:ascii="Calibri" w:hAnsi="Calibri"/>
                <w:sz w:val="17"/>
              </w:rPr>
              <w:t>Visualisierte Siegwahrscheinlichkeiten</w:t>
            </w:r>
          </w:p>
        </w:tc>
        <w:tc>
          <w:tcPr>
            <w:tcW w:type="dxa" w:w="3231"/>
            <w:vAlign w:val="center"/>
            <w:tcMar>
              <w:top w:w="80" w:type="dxa"/>
              <w:start w:w="100" w:type="dxa"/>
              <w:bottom w:w="80" w:type="dxa"/>
              <w:end w:w="100" w:type="dxa"/>
            </w:tcMar>
          </w:tcPr>
          <w:p>
            <w:pPr>
              <w:spacing w:after="0"/>
              <w:jc w:val="right"/>
            </w:pPr>
            <w:r>
              <w:rPr>
                <w:rFonts w:ascii="Calibri" w:hAnsi="Calibri"/>
                <w:sz w:val="17"/>
              </w:rPr>
              <w:t>Previews und Datengrafiken</w:t>
            </w:r>
          </w:p>
        </w:tc>
      </w:tr>
      <w:tr>
        <w:trPr>
          <w:cantSplit/>
        </w:trPr>
        <w:tc>
          <w:tcPr>
            <w:tcW w:type="dxa" w:w="2097"/>
            <w:vAlign w:val="center"/>
            <w:tcMar>
              <w:top w:w="80" w:type="dxa"/>
              <w:start w:w="100" w:type="dxa"/>
              <w:bottom w:w="80" w:type="dxa"/>
              <w:end w:w="100" w:type="dxa"/>
            </w:tcMar>
            <w:shd w:fill="F3F7F9"/>
          </w:tcPr>
          <w:p>
            <w:pPr>
              <w:spacing w:after="0"/>
              <w:jc w:val="left"/>
            </w:pPr>
            <w:r>
              <w:rPr>
                <w:rFonts w:ascii="Calibri" w:hAnsi="Calibri"/>
                <w:b/>
                <w:sz w:val="17"/>
              </w:rPr>
              <w:t>Key Factors</w:t>
            </w:r>
          </w:p>
        </w:tc>
        <w:tc>
          <w:tcPr>
            <w:tcW w:type="dxa" w:w="4422"/>
            <w:vAlign w:val="center"/>
            <w:tcMar>
              <w:top w:w="80" w:type="dxa"/>
              <w:start w:w="100" w:type="dxa"/>
              <w:bottom w:w="80" w:type="dxa"/>
              <w:end w:w="100" w:type="dxa"/>
            </w:tcMar>
            <w:shd w:fill="F3F7F9"/>
          </w:tcPr>
          <w:p>
            <w:pPr>
              <w:spacing w:after="0"/>
              <w:jc w:val="right"/>
            </w:pPr>
            <w:r>
              <w:rPr>
                <w:rFonts w:ascii="Calibri" w:hAnsi="Calibri"/>
                <w:sz w:val="17"/>
              </w:rPr>
              <w:t>Modellbegründung, Kontext und Unsicherheitsfaktoren</w:t>
            </w:r>
          </w:p>
        </w:tc>
        <w:tc>
          <w:tcPr>
            <w:tcW w:type="dxa" w:w="3231"/>
            <w:vAlign w:val="center"/>
            <w:tcMar>
              <w:top w:w="80" w:type="dxa"/>
              <w:start w:w="100" w:type="dxa"/>
              <w:bottom w:w="80" w:type="dxa"/>
              <w:end w:w="100" w:type="dxa"/>
            </w:tcMar>
            <w:shd w:fill="F3F7F9"/>
          </w:tcPr>
          <w:p>
            <w:pPr>
              <w:spacing w:after="0"/>
              <w:jc w:val="right"/>
            </w:pPr>
            <w:r>
              <w:rPr>
                <w:rFonts w:ascii="Calibri" w:hAnsi="Calibri"/>
                <w:sz w:val="17"/>
              </w:rPr>
              <w:t>Analyse- und Hintergrundstücke</w:t>
            </w:r>
          </w:p>
        </w:tc>
      </w:tr>
    </w:tbl>
    <w:p>
      <w:pPr>
        <w:spacing w:after="20"/>
      </w:pPr>
    </w:p>
    <w:p>
      <w:r>
        <w:t>Kunden können Farben, Inhalte und Layout anpassen. Einbettung erfolgt per JavaScript/iframe bzw. API-gestützt; Verwaltung, Billing, Analytics und technischer Support werden zentral angeboten. Ausgaben müssen ein Prognosedatum, Datenstand, Modellversion, Unsicherheit und klare KI-Kennzeichnung enthalten.</w:t>
      </w:r>
    </w:p>
    <w:p>
      <w:r>
        <w:br w:type="page"/>
      </w:r>
    </w:p>
    <w:p>
      <w:pPr>
        <w:pStyle w:val="Heading1"/>
      </w:pPr>
      <w:r>
        <w:t>5. Marktanalyse mit TAM, SAM und SOM</w:t>
      </w:r>
    </w:p>
    <w:p>
      <w:r>
        <w:t>Der relevante Markt ist kein allgemeiner „Sports-Tech-Markt“, sondern ein Schnittsegment aus Publisher-Software, interaktiven Sportinhalten und digitaler Monetarisierung. IAB Europe beziffert den europäischen digitalen Werbemarkt 2025 auf 131 Mrd. €; der deutsche Markt für digitale Display- und Videowerbung soll 2026 laut OVK/BVDW auf rund 8,2 Mrd. € wachsen. In den USA erreichten digitale Werbeerlöse 2025 nach IAB 294,6 Mrd. US-Dollar. Diese Zahlen zeigen ein großes Erlösökosystem, sind jedoch nicht der adressierbare Umsatz der Gesellschaft. [Q3] [Q4] [Q5]</w:t>
      </w:r>
    </w:p>
    <w:p>
      <w:r>
        <w:t>Eurostat weist für 2023 vorläufig 76.328 Publishing-Unternehmen in der EU und 5.374 in Deutschland aus. Daraus wird ein transparenter, bottom-up Marktproxy abgeleitet; weder Sportrelevanz noch Zahlungsbereitschaft sind in der Statistik enthalten. [Q6]</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1701"/>
            <w:shd w:fill="1F5A7A"/>
            <w:vAlign w:val="center"/>
            <w:tcMar>
              <w:top w:w="80" w:type="dxa"/>
              <w:start w:w="100" w:type="dxa"/>
              <w:bottom w:w="80" w:type="dxa"/>
              <w:end w:w="100" w:type="dxa"/>
            </w:tcMar>
          </w:tcPr>
          <w:p>
            <w:pPr>
              <w:spacing w:after="0"/>
              <w:jc w:val="center"/>
            </w:pPr>
            <w:r>
              <w:rPr>
                <w:rFonts w:ascii="Calibri" w:hAnsi="Calibri"/>
                <w:b/>
                <w:color w:val="FFFFFF"/>
                <w:sz w:val="17"/>
              </w:rPr>
              <w:t>Ebene</w:t>
            </w:r>
          </w:p>
        </w:tc>
        <w:tc>
          <w:tcPr>
            <w:tcW w:type="dxa" w:w="3798"/>
            <w:shd w:fill="1F5A7A"/>
            <w:vAlign w:val="center"/>
            <w:tcMar>
              <w:top w:w="80" w:type="dxa"/>
              <w:start w:w="100" w:type="dxa"/>
              <w:bottom w:w="80" w:type="dxa"/>
              <w:end w:w="100" w:type="dxa"/>
            </w:tcMar>
          </w:tcPr>
          <w:p>
            <w:pPr>
              <w:spacing w:after="0"/>
              <w:jc w:val="center"/>
            </w:pPr>
            <w:r>
              <w:rPr>
                <w:rFonts w:ascii="Calibri" w:hAnsi="Calibri"/>
                <w:b/>
                <w:color w:val="FFFFFF"/>
                <w:sz w:val="17"/>
              </w:rPr>
              <w:t>Rechnung</w:t>
            </w:r>
          </w:p>
        </w:tc>
        <w:tc>
          <w:tcPr>
            <w:tcW w:type="dxa" w:w="1984"/>
            <w:shd w:fill="1F5A7A"/>
            <w:vAlign w:val="center"/>
            <w:tcMar>
              <w:top w:w="80" w:type="dxa"/>
              <w:start w:w="100" w:type="dxa"/>
              <w:bottom w:w="80" w:type="dxa"/>
              <w:end w:w="100" w:type="dxa"/>
            </w:tcMar>
          </w:tcPr>
          <w:p>
            <w:pPr>
              <w:spacing w:after="0"/>
              <w:jc w:val="center"/>
            </w:pPr>
            <w:r>
              <w:rPr>
                <w:rFonts w:ascii="Calibri" w:hAnsi="Calibri"/>
                <w:b/>
                <w:color w:val="FFFFFF"/>
                <w:sz w:val="17"/>
              </w:rPr>
              <w:t>Bandbreite p.a.</w:t>
            </w:r>
          </w:p>
        </w:tc>
        <w:tc>
          <w:tcPr>
            <w:tcW w:type="dxa" w:w="2835"/>
            <w:shd w:fill="1F5A7A"/>
            <w:vAlign w:val="center"/>
            <w:tcMar>
              <w:top w:w="80" w:type="dxa"/>
              <w:start w:w="100" w:type="dxa"/>
              <w:bottom w:w="80" w:type="dxa"/>
              <w:end w:w="100" w:type="dxa"/>
            </w:tcMar>
          </w:tcPr>
          <w:p>
            <w:pPr>
              <w:spacing w:after="0"/>
              <w:jc w:val="center"/>
            </w:pPr>
            <w:r>
              <w:rPr>
                <w:rFonts w:ascii="Calibri" w:hAnsi="Calibri"/>
                <w:b/>
                <w:color w:val="FFFFFF"/>
                <w:sz w:val="17"/>
              </w:rPr>
              <w:t>Interpretation</w:t>
            </w:r>
          </w:p>
        </w:tc>
      </w:tr>
      <w:tr>
        <w:trPr>
          <w:cantSplit/>
        </w:trPr>
        <w:tc>
          <w:tcPr>
            <w:tcW w:type="dxa" w:w="1701"/>
            <w:vAlign w:val="center"/>
            <w:tcMar>
              <w:top w:w="80" w:type="dxa"/>
              <w:start w:w="100" w:type="dxa"/>
              <w:bottom w:w="80" w:type="dxa"/>
              <w:end w:w="100" w:type="dxa"/>
            </w:tcMar>
          </w:tcPr>
          <w:p>
            <w:pPr>
              <w:spacing w:after="0"/>
              <w:jc w:val="left"/>
            </w:pPr>
            <w:r>
              <w:rPr>
                <w:rFonts w:ascii="Calibri" w:hAnsi="Calibri"/>
                <w:b/>
                <w:sz w:val="17"/>
              </w:rPr>
              <w:t>TAM EU B2B</w:t>
            </w:r>
          </w:p>
        </w:tc>
        <w:tc>
          <w:tcPr>
            <w:tcW w:type="dxa" w:w="3798"/>
            <w:vAlign w:val="center"/>
            <w:tcMar>
              <w:top w:w="80" w:type="dxa"/>
              <w:start w:w="100" w:type="dxa"/>
              <w:bottom w:w="80" w:type="dxa"/>
              <w:end w:w="100" w:type="dxa"/>
            </w:tcMar>
          </w:tcPr>
          <w:p>
            <w:pPr>
              <w:spacing w:after="0"/>
              <w:jc w:val="right"/>
            </w:pPr>
            <w:r>
              <w:rPr>
                <w:rFonts w:ascii="Calibri" w:hAnsi="Calibri"/>
                <w:sz w:val="17"/>
              </w:rPr>
              <w:t>76.328 × 5–15% sportrelevant × 1–3 T€ ACV</w:t>
            </w:r>
          </w:p>
        </w:tc>
        <w:tc>
          <w:tcPr>
            <w:tcW w:type="dxa" w:w="1984"/>
            <w:vAlign w:val="center"/>
            <w:tcMar>
              <w:top w:w="80" w:type="dxa"/>
              <w:start w:w="100" w:type="dxa"/>
              <w:bottom w:w="80" w:type="dxa"/>
              <w:end w:w="100" w:type="dxa"/>
            </w:tcMar>
          </w:tcPr>
          <w:p>
            <w:pPr>
              <w:spacing w:after="0"/>
              <w:jc w:val="right"/>
            </w:pPr>
            <w:r>
              <w:rPr>
                <w:rFonts w:ascii="Calibri" w:hAnsi="Calibri"/>
                <w:sz w:val="17"/>
              </w:rPr>
              <w:t>3,8–34,3 Mio. €</w:t>
            </w:r>
          </w:p>
        </w:tc>
        <w:tc>
          <w:tcPr>
            <w:tcW w:type="dxa" w:w="2835"/>
            <w:vAlign w:val="center"/>
            <w:tcMar>
              <w:top w:w="80" w:type="dxa"/>
              <w:start w:w="100" w:type="dxa"/>
              <w:bottom w:w="80" w:type="dxa"/>
              <w:end w:w="100" w:type="dxa"/>
            </w:tcMar>
          </w:tcPr>
          <w:p>
            <w:pPr>
              <w:spacing w:after="0"/>
              <w:jc w:val="right"/>
            </w:pPr>
            <w:r>
              <w:rPr>
                <w:rFonts w:ascii="Calibri" w:hAnsi="Calibri"/>
                <w:sz w:val="17"/>
              </w:rPr>
              <w:t>Eigene Berechnung; sehr breite Obergrenze</w:t>
            </w:r>
          </w:p>
        </w:tc>
      </w:tr>
      <w:tr>
        <w:trPr>
          <w:cantSplit/>
        </w:trPr>
        <w:tc>
          <w:tcPr>
            <w:tcW w:type="dxa" w:w="1701"/>
            <w:vAlign w:val="center"/>
            <w:tcMar>
              <w:top w:w="80" w:type="dxa"/>
              <w:start w:w="100" w:type="dxa"/>
              <w:bottom w:w="80" w:type="dxa"/>
              <w:end w:w="100" w:type="dxa"/>
            </w:tcMar>
            <w:shd w:fill="F3F7F9"/>
          </w:tcPr>
          <w:p>
            <w:pPr>
              <w:spacing w:after="0"/>
              <w:jc w:val="left"/>
            </w:pPr>
            <w:r>
              <w:rPr>
                <w:rFonts w:ascii="Calibri" w:hAnsi="Calibri"/>
                <w:b/>
                <w:sz w:val="17"/>
              </w:rPr>
              <w:t>SAM Deutschland</w:t>
            </w:r>
          </w:p>
        </w:tc>
        <w:tc>
          <w:tcPr>
            <w:tcW w:type="dxa" w:w="3798"/>
            <w:vAlign w:val="center"/>
            <w:tcMar>
              <w:top w:w="80" w:type="dxa"/>
              <w:start w:w="100" w:type="dxa"/>
              <w:bottom w:w="80" w:type="dxa"/>
              <w:end w:w="100" w:type="dxa"/>
            </w:tcMar>
            <w:shd w:fill="F3F7F9"/>
          </w:tcPr>
          <w:p>
            <w:pPr>
              <w:spacing w:after="0"/>
              <w:jc w:val="right"/>
            </w:pPr>
            <w:r>
              <w:rPr>
                <w:rFonts w:ascii="Calibri" w:hAnsi="Calibri"/>
                <w:sz w:val="17"/>
              </w:rPr>
              <w:t>5.374 × 5–15% × 1–2 T€ ACV</w:t>
            </w:r>
          </w:p>
        </w:tc>
        <w:tc>
          <w:tcPr>
            <w:tcW w:type="dxa" w:w="1984"/>
            <w:vAlign w:val="center"/>
            <w:tcMar>
              <w:top w:w="80" w:type="dxa"/>
              <w:start w:w="100" w:type="dxa"/>
              <w:bottom w:w="80" w:type="dxa"/>
              <w:end w:w="100" w:type="dxa"/>
            </w:tcMar>
            <w:shd w:fill="F3F7F9"/>
          </w:tcPr>
          <w:p>
            <w:pPr>
              <w:spacing w:after="0"/>
              <w:jc w:val="right"/>
            </w:pPr>
            <w:r>
              <w:rPr>
                <w:rFonts w:ascii="Calibri" w:hAnsi="Calibri"/>
                <w:sz w:val="17"/>
              </w:rPr>
              <w:t>0,27–1,61 Mio. €</w:t>
            </w:r>
          </w:p>
        </w:tc>
        <w:tc>
          <w:tcPr>
            <w:tcW w:type="dxa" w:w="2835"/>
            <w:vAlign w:val="center"/>
            <w:tcMar>
              <w:top w:w="80" w:type="dxa"/>
              <w:start w:w="100" w:type="dxa"/>
              <w:bottom w:w="80" w:type="dxa"/>
              <w:end w:w="100" w:type="dxa"/>
            </w:tcMar>
            <w:shd w:fill="F3F7F9"/>
          </w:tcPr>
          <w:p>
            <w:pPr>
              <w:spacing w:after="0"/>
              <w:jc w:val="right"/>
            </w:pPr>
            <w:r>
              <w:rPr>
                <w:rFonts w:ascii="Calibri" w:hAnsi="Calibri"/>
                <w:sz w:val="17"/>
              </w:rPr>
              <w:t>Deutschland-first; Publisher-Proxy</w:t>
            </w:r>
          </w:p>
        </w:tc>
      </w:tr>
      <w:tr>
        <w:trPr>
          <w:cantSplit/>
        </w:trPr>
        <w:tc>
          <w:tcPr>
            <w:tcW w:type="dxa" w:w="1701"/>
            <w:vAlign w:val="center"/>
            <w:tcMar>
              <w:top w:w="80" w:type="dxa"/>
              <w:start w:w="100" w:type="dxa"/>
              <w:bottom w:w="80" w:type="dxa"/>
              <w:end w:w="100" w:type="dxa"/>
            </w:tcMar>
          </w:tcPr>
          <w:p>
            <w:pPr>
              <w:spacing w:after="0"/>
              <w:jc w:val="left"/>
            </w:pPr>
            <w:r>
              <w:rPr>
                <w:rFonts w:ascii="Calibri" w:hAnsi="Calibri"/>
                <w:b/>
                <w:sz w:val="17"/>
              </w:rPr>
              <w:t>SOM 36 Monate</w:t>
            </w:r>
          </w:p>
        </w:tc>
        <w:tc>
          <w:tcPr>
            <w:tcW w:type="dxa" w:w="3798"/>
            <w:vAlign w:val="center"/>
            <w:tcMar>
              <w:top w:w="80" w:type="dxa"/>
              <w:start w:w="100" w:type="dxa"/>
              <w:bottom w:w="80" w:type="dxa"/>
              <w:end w:w="100" w:type="dxa"/>
            </w:tcMar>
          </w:tcPr>
          <w:p>
            <w:pPr>
              <w:spacing w:after="0"/>
              <w:jc w:val="right"/>
            </w:pPr>
            <w:r>
              <w:rPr>
                <w:rFonts w:ascii="Calibri" w:hAnsi="Calibri"/>
                <w:sz w:val="17"/>
              </w:rPr>
              <w:t>50–150 Kunden × 1,2–1,8 T€ ACV</w:t>
            </w:r>
          </w:p>
        </w:tc>
        <w:tc>
          <w:tcPr>
            <w:tcW w:type="dxa" w:w="1984"/>
            <w:vAlign w:val="center"/>
            <w:tcMar>
              <w:top w:w="80" w:type="dxa"/>
              <w:start w:w="100" w:type="dxa"/>
              <w:bottom w:w="80" w:type="dxa"/>
              <w:end w:w="100" w:type="dxa"/>
            </w:tcMar>
          </w:tcPr>
          <w:p>
            <w:pPr>
              <w:spacing w:after="0"/>
              <w:jc w:val="right"/>
            </w:pPr>
            <w:r>
              <w:rPr>
                <w:rFonts w:ascii="Calibri" w:hAnsi="Calibri"/>
                <w:sz w:val="17"/>
              </w:rPr>
              <w:t>0,06–0,27 Mio. €</w:t>
            </w:r>
          </w:p>
        </w:tc>
        <w:tc>
          <w:tcPr>
            <w:tcW w:type="dxa" w:w="2835"/>
            <w:vAlign w:val="center"/>
            <w:tcMar>
              <w:top w:w="80" w:type="dxa"/>
              <w:start w:w="100" w:type="dxa"/>
              <w:bottom w:w="80" w:type="dxa"/>
              <w:end w:w="100" w:type="dxa"/>
            </w:tcMar>
          </w:tcPr>
          <w:p>
            <w:pPr>
              <w:spacing w:after="0"/>
              <w:jc w:val="right"/>
            </w:pPr>
            <w:r>
              <w:rPr>
                <w:rFonts w:ascii="Calibri" w:hAnsi="Calibri"/>
                <w:sz w:val="17"/>
              </w:rPr>
              <w:t>Operativ erreichbare Bandbreite</w:t>
            </w:r>
          </w:p>
        </w:tc>
      </w:tr>
    </w:tbl>
    <w:p>
      <w:pPr>
        <w:spacing w:after="20"/>
      </w:pPr>
    </w:p>
    <w:p>
      <w:r>
        <w:t>Die SAM-Bandbreite ist klein genug, dass Deutschland allein kein sehr großes Venture-Case rechtfertigt. Ein skalierbarer internationaler Case verlangt entweder höhere Enterprise-ARPA, zusätzliche Lizenz-/Datenprodukte oder Expansion in weitere Märkte. Das realistische Fünfjahresmodell bleibt deshalb bewusst unter 0,4 Mio. € Umsatz.</w:t>
      </w:r>
    </w:p>
    <w:p>
      <w:r>
        <w:br w:type="page"/>
      </w:r>
    </w:p>
    <w:p>
      <w:pPr>
        <w:pStyle w:val="Heading1"/>
      </w:pPr>
      <w:r>
        <w:t>6. Zielgruppen und konkrete Buyer Personas</w:t>
      </w:r>
    </w:p>
    <w:tbl>
      <w:tblPr>
        <w:tblStyle w:val="TableGrid"/>
        <w:tblW w:type="auto" w:w="0"/>
        <w:jc w:val="center"/>
        <w:tblLayout w:type="fixed"/>
        <w:tblLook w:firstColumn="1" w:firstRow="1" w:lastColumn="0" w:lastRow="0" w:noHBand="0" w:noVBand="1" w:val="04A0"/>
      </w:tblPr>
      <w:tblGrid>
        <w:gridCol w:w="1970"/>
        <w:gridCol w:w="1970"/>
        <w:gridCol w:w="1970"/>
        <w:gridCol w:w="1970"/>
        <w:gridCol w:w="1970"/>
      </w:tblGrid>
      <w:tr>
        <w:trPr>
          <w:tblHeader w:val="true"/>
        </w:trPr>
        <w:tc>
          <w:tcPr>
            <w:tcW w:type="dxa" w:w="2041"/>
            <w:shd w:fill="1F5A7A"/>
            <w:vAlign w:val="center"/>
            <w:tcMar>
              <w:top w:w="80" w:type="dxa"/>
              <w:start w:w="100" w:type="dxa"/>
              <w:bottom w:w="80" w:type="dxa"/>
              <w:end w:w="100" w:type="dxa"/>
            </w:tcMar>
          </w:tcPr>
          <w:p>
            <w:pPr>
              <w:spacing w:after="0"/>
              <w:jc w:val="center"/>
            </w:pPr>
            <w:r>
              <w:rPr>
                <w:rFonts w:ascii="Calibri" w:hAnsi="Calibri"/>
                <w:b/>
                <w:color w:val="FFFFFF"/>
                <w:sz w:val="15"/>
              </w:rPr>
              <w:t>Persona</w:t>
            </w:r>
          </w:p>
        </w:tc>
        <w:tc>
          <w:tcPr>
            <w:tcW w:type="dxa" w:w="2551"/>
            <w:shd w:fill="1F5A7A"/>
            <w:vAlign w:val="center"/>
            <w:tcMar>
              <w:top w:w="80" w:type="dxa"/>
              <w:start w:w="100" w:type="dxa"/>
              <w:bottom w:w="80" w:type="dxa"/>
              <w:end w:w="100" w:type="dxa"/>
            </w:tcMar>
          </w:tcPr>
          <w:p>
            <w:pPr>
              <w:spacing w:after="0"/>
              <w:jc w:val="center"/>
            </w:pPr>
            <w:r>
              <w:rPr>
                <w:rFonts w:ascii="Calibri" w:hAnsi="Calibri"/>
                <w:b/>
                <w:color w:val="FFFFFF"/>
                <w:sz w:val="15"/>
              </w:rPr>
              <w:t>Ziel / Schmerz</w:t>
            </w:r>
          </w:p>
        </w:tc>
        <w:tc>
          <w:tcPr>
            <w:tcW w:type="dxa" w:w="2608"/>
            <w:shd w:fill="1F5A7A"/>
            <w:vAlign w:val="center"/>
            <w:tcMar>
              <w:top w:w="80" w:type="dxa"/>
              <w:start w:w="100" w:type="dxa"/>
              <w:bottom w:w="80" w:type="dxa"/>
              <w:end w:w="100" w:type="dxa"/>
            </w:tcMar>
          </w:tcPr>
          <w:p>
            <w:pPr>
              <w:spacing w:after="0"/>
              <w:jc w:val="center"/>
            </w:pPr>
            <w:r>
              <w:rPr>
                <w:rFonts w:ascii="Calibri" w:hAnsi="Calibri"/>
                <w:b/>
                <w:color w:val="FFFFFF"/>
                <w:sz w:val="15"/>
              </w:rPr>
              <w:t>Kaufkriterium</w:t>
            </w:r>
          </w:p>
        </w:tc>
        <w:tc>
          <w:tcPr>
            <w:tcW w:type="dxa" w:w="2438"/>
            <w:shd w:fill="1F5A7A"/>
            <w:vAlign w:val="center"/>
            <w:tcMar>
              <w:top w:w="80" w:type="dxa"/>
              <w:start w:w="100" w:type="dxa"/>
              <w:bottom w:w="80" w:type="dxa"/>
              <w:end w:w="100" w:type="dxa"/>
            </w:tcMar>
          </w:tcPr>
          <w:p>
            <w:pPr>
              <w:spacing w:after="0"/>
              <w:jc w:val="center"/>
            </w:pPr>
            <w:r>
              <w:rPr>
                <w:rFonts w:ascii="Calibri" w:hAnsi="Calibri"/>
                <w:b/>
                <w:color w:val="FFFFFF"/>
                <w:sz w:val="15"/>
              </w:rPr>
              <w:t>Einwand</w:t>
            </w:r>
          </w:p>
        </w:tc>
        <w:tc>
          <w:tcPr>
            <w:tcW w:type="dxa" w:w="1304"/>
            <w:shd w:fill="1F5A7A"/>
            <w:vAlign w:val="center"/>
            <w:tcMar>
              <w:top w:w="80" w:type="dxa"/>
              <w:start w:w="100" w:type="dxa"/>
              <w:bottom w:w="80" w:type="dxa"/>
              <w:end w:w="100" w:type="dxa"/>
            </w:tcMar>
          </w:tcPr>
          <w:p>
            <w:pPr>
              <w:spacing w:after="0"/>
              <w:jc w:val="center"/>
            </w:pPr>
            <w:r>
              <w:rPr>
                <w:rFonts w:ascii="Calibri" w:hAnsi="Calibri"/>
                <w:b/>
                <w:color w:val="FFFFFF"/>
                <w:sz w:val="15"/>
              </w:rPr>
              <w:t>Passendes Paket</w:t>
            </w:r>
          </w:p>
        </w:tc>
      </w:tr>
      <w:tr>
        <w:trPr>
          <w:cantSplit/>
        </w:trPr>
        <w:tc>
          <w:tcPr>
            <w:tcW w:type="dxa" w:w="2041"/>
            <w:vAlign w:val="center"/>
            <w:tcMar>
              <w:top w:w="80" w:type="dxa"/>
              <w:start w:w="100" w:type="dxa"/>
              <w:bottom w:w="80" w:type="dxa"/>
              <w:end w:w="100" w:type="dxa"/>
            </w:tcMar>
          </w:tcPr>
          <w:p>
            <w:pPr>
              <w:spacing w:after="0"/>
              <w:jc w:val="left"/>
            </w:pPr>
            <w:r>
              <w:rPr>
                <w:rFonts w:ascii="Calibri" w:hAnsi="Calibri"/>
                <w:b/>
                <w:sz w:val="15"/>
              </w:rPr>
              <w:t>Sportredakteur/in eines Regionalverlags</w:t>
            </w:r>
          </w:p>
        </w:tc>
        <w:tc>
          <w:tcPr>
            <w:tcW w:type="dxa" w:w="2551"/>
            <w:vAlign w:val="center"/>
            <w:tcMar>
              <w:top w:w="80" w:type="dxa"/>
              <w:start w:w="100" w:type="dxa"/>
              <w:bottom w:w="80" w:type="dxa"/>
              <w:end w:w="100" w:type="dxa"/>
            </w:tcMar>
          </w:tcPr>
          <w:p>
            <w:pPr>
              <w:spacing w:after="0"/>
              <w:jc w:val="right"/>
            </w:pPr>
            <w:r>
              <w:rPr>
                <w:rFonts w:ascii="Calibri" w:hAnsi="Calibri"/>
                <w:sz w:val="15"/>
              </w:rPr>
              <w:t>Mehr aktuelle Sportinhalte ohne Entwicklerteam</w:t>
            </w:r>
          </w:p>
        </w:tc>
        <w:tc>
          <w:tcPr>
            <w:tcW w:type="dxa" w:w="2608"/>
            <w:vAlign w:val="center"/>
            <w:tcMar>
              <w:top w:w="80" w:type="dxa"/>
              <w:start w:w="100" w:type="dxa"/>
              <w:bottom w:w="80" w:type="dxa"/>
              <w:end w:w="100" w:type="dxa"/>
            </w:tcMar>
          </w:tcPr>
          <w:p>
            <w:pPr>
              <w:spacing w:after="0"/>
              <w:jc w:val="right"/>
            </w:pPr>
            <w:r>
              <w:rPr>
                <w:rFonts w:ascii="Calibri" w:hAnsi="Calibri"/>
                <w:sz w:val="15"/>
              </w:rPr>
              <w:t>Schnelle Einbindung, journalistisch nutzbarer Text</w:t>
            </w:r>
          </w:p>
        </w:tc>
        <w:tc>
          <w:tcPr>
            <w:tcW w:type="dxa" w:w="2438"/>
            <w:vAlign w:val="center"/>
            <w:tcMar>
              <w:top w:w="80" w:type="dxa"/>
              <w:start w:w="100" w:type="dxa"/>
              <w:bottom w:w="80" w:type="dxa"/>
              <w:end w:w="100" w:type="dxa"/>
            </w:tcMar>
          </w:tcPr>
          <w:p>
            <w:pPr>
              <w:spacing w:after="0"/>
              <w:jc w:val="right"/>
            </w:pPr>
            <w:r>
              <w:rPr>
                <w:rFonts w:ascii="Calibri" w:hAnsi="Calibri"/>
                <w:sz w:val="15"/>
              </w:rPr>
              <w:t>„Ist das verlässlich und redaktionell vertretbar?“</w:t>
            </w:r>
          </w:p>
        </w:tc>
        <w:tc>
          <w:tcPr>
            <w:tcW w:type="dxa" w:w="1304"/>
            <w:vAlign w:val="center"/>
            <w:tcMar>
              <w:top w:w="80" w:type="dxa"/>
              <w:start w:w="100" w:type="dxa"/>
              <w:bottom w:w="80" w:type="dxa"/>
              <w:end w:w="100" w:type="dxa"/>
            </w:tcMar>
          </w:tcPr>
          <w:p>
            <w:pPr>
              <w:spacing w:after="0"/>
              <w:jc w:val="right"/>
            </w:pPr>
            <w:r>
              <w:rPr>
                <w:rFonts w:ascii="Calibri" w:hAnsi="Calibri"/>
                <w:sz w:val="15"/>
              </w:rPr>
              <w:t>Starter/Growth</w:t>
            </w:r>
          </w:p>
        </w:tc>
      </w:tr>
      <w:tr>
        <w:trPr>
          <w:cantSplit/>
        </w:trPr>
        <w:tc>
          <w:tcPr>
            <w:tcW w:type="dxa" w:w="2041"/>
            <w:vAlign w:val="center"/>
            <w:tcMar>
              <w:top w:w="80" w:type="dxa"/>
              <w:start w:w="100" w:type="dxa"/>
              <w:bottom w:w="80" w:type="dxa"/>
              <w:end w:w="100" w:type="dxa"/>
            </w:tcMar>
            <w:shd w:fill="F3F7F9"/>
          </w:tcPr>
          <w:p>
            <w:pPr>
              <w:spacing w:after="0"/>
              <w:jc w:val="left"/>
            </w:pPr>
            <w:r>
              <w:rPr>
                <w:rFonts w:ascii="Calibri" w:hAnsi="Calibri"/>
                <w:b/>
                <w:sz w:val="15"/>
              </w:rPr>
              <w:t>Head of Product / Audience</w:t>
            </w:r>
          </w:p>
        </w:tc>
        <w:tc>
          <w:tcPr>
            <w:tcW w:type="dxa" w:w="2551"/>
            <w:vAlign w:val="center"/>
            <w:tcMar>
              <w:top w:w="80" w:type="dxa"/>
              <w:start w:w="100" w:type="dxa"/>
              <w:bottom w:w="80" w:type="dxa"/>
              <w:end w:w="100" w:type="dxa"/>
            </w:tcMar>
            <w:shd w:fill="F3F7F9"/>
          </w:tcPr>
          <w:p>
            <w:pPr>
              <w:spacing w:after="0"/>
              <w:jc w:val="right"/>
            </w:pPr>
            <w:r>
              <w:rPr>
                <w:rFonts w:ascii="Calibri" w:hAnsi="Calibri"/>
                <w:sz w:val="15"/>
              </w:rPr>
              <w:t>Engagement und wiederkehrende Nutzung</w:t>
            </w:r>
          </w:p>
        </w:tc>
        <w:tc>
          <w:tcPr>
            <w:tcW w:type="dxa" w:w="2608"/>
            <w:vAlign w:val="center"/>
            <w:tcMar>
              <w:top w:w="80" w:type="dxa"/>
              <w:start w:w="100" w:type="dxa"/>
              <w:bottom w:w="80" w:type="dxa"/>
              <w:end w:w="100" w:type="dxa"/>
            </w:tcMar>
            <w:shd w:fill="F3F7F9"/>
          </w:tcPr>
          <w:p>
            <w:pPr>
              <w:spacing w:after="0"/>
              <w:jc w:val="right"/>
            </w:pPr>
            <w:r>
              <w:rPr>
                <w:rFonts w:ascii="Calibri" w:hAnsi="Calibri"/>
                <w:sz w:val="15"/>
              </w:rPr>
              <w:t>Analytics, Branding, Performance, Datenschutz</w:t>
            </w:r>
          </w:p>
        </w:tc>
        <w:tc>
          <w:tcPr>
            <w:tcW w:type="dxa" w:w="2438"/>
            <w:vAlign w:val="center"/>
            <w:tcMar>
              <w:top w:w="80" w:type="dxa"/>
              <w:start w:w="100" w:type="dxa"/>
              <w:bottom w:w="80" w:type="dxa"/>
              <w:end w:w="100" w:type="dxa"/>
            </w:tcMar>
            <w:shd w:fill="F3F7F9"/>
          </w:tcPr>
          <w:p>
            <w:pPr>
              <w:spacing w:after="0"/>
              <w:jc w:val="right"/>
            </w:pPr>
            <w:r>
              <w:rPr>
                <w:rFonts w:ascii="Calibri" w:hAnsi="Calibri"/>
                <w:sz w:val="15"/>
              </w:rPr>
              <w:t>„Welchen Uplift erzeugt das Widget?“</w:t>
            </w:r>
          </w:p>
        </w:tc>
        <w:tc>
          <w:tcPr>
            <w:tcW w:type="dxa" w:w="1304"/>
            <w:vAlign w:val="center"/>
            <w:tcMar>
              <w:top w:w="80" w:type="dxa"/>
              <w:start w:w="100" w:type="dxa"/>
              <w:bottom w:w="80" w:type="dxa"/>
              <w:end w:w="100" w:type="dxa"/>
            </w:tcMar>
            <w:shd w:fill="F3F7F9"/>
          </w:tcPr>
          <w:p>
            <w:pPr>
              <w:spacing w:after="0"/>
              <w:jc w:val="right"/>
            </w:pPr>
            <w:r>
              <w:rPr>
                <w:rFonts w:ascii="Calibri" w:hAnsi="Calibri"/>
                <w:sz w:val="15"/>
              </w:rPr>
              <w:t>Growth/Enterprise</w:t>
            </w:r>
          </w:p>
        </w:tc>
      </w:tr>
      <w:tr>
        <w:trPr>
          <w:cantSplit/>
        </w:trPr>
        <w:tc>
          <w:tcPr>
            <w:tcW w:type="dxa" w:w="2041"/>
            <w:vAlign w:val="center"/>
            <w:tcMar>
              <w:top w:w="80" w:type="dxa"/>
              <w:start w:w="100" w:type="dxa"/>
              <w:bottom w:w="80" w:type="dxa"/>
              <w:end w:w="100" w:type="dxa"/>
            </w:tcMar>
          </w:tcPr>
          <w:p>
            <w:pPr>
              <w:spacing w:after="0"/>
              <w:jc w:val="left"/>
            </w:pPr>
            <w:r>
              <w:rPr>
                <w:rFonts w:ascii="Calibri" w:hAnsi="Calibri"/>
                <w:b/>
                <w:sz w:val="15"/>
              </w:rPr>
              <w:t>Betreiber eines Sportportals</w:t>
            </w:r>
          </w:p>
        </w:tc>
        <w:tc>
          <w:tcPr>
            <w:tcW w:type="dxa" w:w="2551"/>
            <w:vAlign w:val="center"/>
            <w:tcMar>
              <w:top w:w="80" w:type="dxa"/>
              <w:start w:w="100" w:type="dxa"/>
              <w:bottom w:w="80" w:type="dxa"/>
              <w:end w:w="100" w:type="dxa"/>
            </w:tcMar>
          </w:tcPr>
          <w:p>
            <w:pPr>
              <w:spacing w:after="0"/>
              <w:jc w:val="right"/>
            </w:pPr>
            <w:r>
              <w:rPr>
                <w:rFonts w:ascii="Calibri" w:hAnsi="Calibri"/>
                <w:sz w:val="15"/>
              </w:rPr>
              <w:t>Breite Spielabdeckung und Automatisierung</w:t>
            </w:r>
          </w:p>
        </w:tc>
        <w:tc>
          <w:tcPr>
            <w:tcW w:type="dxa" w:w="2608"/>
            <w:vAlign w:val="center"/>
            <w:tcMar>
              <w:top w:w="80" w:type="dxa"/>
              <w:start w:w="100" w:type="dxa"/>
              <w:bottom w:w="80" w:type="dxa"/>
              <w:end w:w="100" w:type="dxa"/>
            </w:tcMar>
          </w:tcPr>
          <w:p>
            <w:pPr>
              <w:spacing w:after="0"/>
              <w:jc w:val="right"/>
            </w:pPr>
            <w:r>
              <w:rPr>
                <w:rFonts w:ascii="Calibri" w:hAnsi="Calibri"/>
                <w:sz w:val="15"/>
              </w:rPr>
              <w:t>API-Stabilität, Sportarten, Kosten</w:t>
            </w:r>
          </w:p>
        </w:tc>
        <w:tc>
          <w:tcPr>
            <w:tcW w:type="dxa" w:w="2438"/>
            <w:vAlign w:val="center"/>
            <w:tcMar>
              <w:top w:w="80" w:type="dxa"/>
              <w:start w:w="100" w:type="dxa"/>
              <w:bottom w:w="80" w:type="dxa"/>
              <w:end w:w="100" w:type="dxa"/>
            </w:tcMar>
          </w:tcPr>
          <w:p>
            <w:pPr>
              <w:spacing w:after="0"/>
              <w:jc w:val="right"/>
            </w:pPr>
            <w:r>
              <w:rPr>
                <w:rFonts w:ascii="Calibri" w:hAnsi="Calibri"/>
                <w:sz w:val="15"/>
              </w:rPr>
              <w:t>„Warum nicht kostenlose Widgets?“</w:t>
            </w:r>
          </w:p>
        </w:tc>
        <w:tc>
          <w:tcPr>
            <w:tcW w:type="dxa" w:w="1304"/>
            <w:vAlign w:val="center"/>
            <w:tcMar>
              <w:top w:w="80" w:type="dxa"/>
              <w:start w:w="100" w:type="dxa"/>
              <w:bottom w:w="80" w:type="dxa"/>
              <w:end w:w="100" w:type="dxa"/>
            </w:tcMar>
          </w:tcPr>
          <w:p>
            <w:pPr>
              <w:spacing w:after="0"/>
              <w:jc w:val="right"/>
            </w:pPr>
            <w:r>
              <w:rPr>
                <w:rFonts w:ascii="Calibri" w:hAnsi="Calibri"/>
                <w:sz w:val="15"/>
              </w:rPr>
              <w:t>Growth</w:t>
            </w:r>
          </w:p>
        </w:tc>
      </w:tr>
      <w:tr>
        <w:trPr>
          <w:cantSplit/>
        </w:trPr>
        <w:tc>
          <w:tcPr>
            <w:tcW w:type="dxa" w:w="2041"/>
            <w:vAlign w:val="center"/>
            <w:tcMar>
              <w:top w:w="80" w:type="dxa"/>
              <w:start w:w="100" w:type="dxa"/>
              <w:bottom w:w="80" w:type="dxa"/>
              <w:end w:w="100" w:type="dxa"/>
            </w:tcMar>
            <w:shd w:fill="F3F7F9"/>
          </w:tcPr>
          <w:p>
            <w:pPr>
              <w:spacing w:after="0"/>
              <w:jc w:val="left"/>
            </w:pPr>
            <w:r>
              <w:rPr>
                <w:rFonts w:ascii="Calibri" w:hAnsi="Calibri"/>
                <w:b/>
                <w:sz w:val="15"/>
              </w:rPr>
              <w:t>Digitalagentur für Publisher</w:t>
            </w:r>
          </w:p>
        </w:tc>
        <w:tc>
          <w:tcPr>
            <w:tcW w:type="dxa" w:w="2551"/>
            <w:vAlign w:val="center"/>
            <w:tcMar>
              <w:top w:w="80" w:type="dxa"/>
              <w:start w:w="100" w:type="dxa"/>
              <w:bottom w:w="80" w:type="dxa"/>
              <w:end w:w="100" w:type="dxa"/>
            </w:tcMar>
            <w:shd w:fill="F3F7F9"/>
          </w:tcPr>
          <w:p>
            <w:pPr>
              <w:spacing w:after="0"/>
              <w:jc w:val="right"/>
            </w:pPr>
            <w:r>
              <w:rPr>
                <w:rFonts w:ascii="Calibri" w:hAnsi="Calibri"/>
                <w:sz w:val="15"/>
              </w:rPr>
              <w:t>Wiederholbare Lösung für mehrere Kunden</w:t>
            </w:r>
          </w:p>
        </w:tc>
        <w:tc>
          <w:tcPr>
            <w:tcW w:type="dxa" w:w="2608"/>
            <w:vAlign w:val="center"/>
            <w:tcMar>
              <w:top w:w="80" w:type="dxa"/>
              <w:start w:w="100" w:type="dxa"/>
              <w:bottom w:w="80" w:type="dxa"/>
              <w:end w:w="100" w:type="dxa"/>
            </w:tcMar>
            <w:shd w:fill="F3F7F9"/>
          </w:tcPr>
          <w:p>
            <w:pPr>
              <w:spacing w:after="0"/>
              <w:jc w:val="right"/>
            </w:pPr>
            <w:r>
              <w:rPr>
                <w:rFonts w:ascii="Calibri" w:hAnsi="Calibri"/>
                <w:sz w:val="15"/>
              </w:rPr>
              <w:t>Mandantenfähigkeit, SLA, White Label</w:t>
            </w:r>
          </w:p>
        </w:tc>
        <w:tc>
          <w:tcPr>
            <w:tcW w:type="dxa" w:w="2438"/>
            <w:vAlign w:val="center"/>
            <w:tcMar>
              <w:top w:w="80" w:type="dxa"/>
              <w:start w:w="100" w:type="dxa"/>
              <w:bottom w:w="80" w:type="dxa"/>
              <w:end w:w="100" w:type="dxa"/>
            </w:tcMar>
            <w:shd w:fill="F3F7F9"/>
          </w:tcPr>
          <w:p>
            <w:pPr>
              <w:spacing w:after="0"/>
              <w:jc w:val="right"/>
            </w:pPr>
            <w:r>
              <w:rPr>
                <w:rFonts w:ascii="Calibri" w:hAnsi="Calibri"/>
                <w:sz w:val="15"/>
              </w:rPr>
              <w:t>„Können wir weiterverkaufen?“</w:t>
            </w:r>
          </w:p>
        </w:tc>
        <w:tc>
          <w:tcPr>
            <w:tcW w:type="dxa" w:w="1304"/>
            <w:vAlign w:val="center"/>
            <w:tcMar>
              <w:top w:w="80" w:type="dxa"/>
              <w:start w:w="100" w:type="dxa"/>
              <w:bottom w:w="80" w:type="dxa"/>
              <w:end w:w="100" w:type="dxa"/>
            </w:tcMar>
            <w:shd w:fill="F3F7F9"/>
          </w:tcPr>
          <w:p>
            <w:pPr>
              <w:spacing w:after="0"/>
              <w:jc w:val="right"/>
            </w:pPr>
            <w:r>
              <w:rPr>
                <w:rFonts w:ascii="Calibri" w:hAnsi="Calibri"/>
                <w:sz w:val="15"/>
              </w:rPr>
              <w:t>Enterprise</w:t>
            </w:r>
          </w:p>
        </w:tc>
      </w:tr>
    </w:tbl>
    <w:p>
      <w:pPr>
        <w:spacing w:after="20"/>
      </w:pPr>
    </w:p>
    <w:p>
      <w:r>
        <w:t>Priorität 1 sind kleine und mittlere deutsche Sport-/Nachrichtenredaktionen mit klarer digitaler Verantwortung und ohne eigene ML-Produktteams. Nicht priorisiert werden Wettanbieter, reine Affiliate-Seiten und US-Medien, solange Rechte, englische Inhalte und Support nicht ausreichend abgesichert sind.</w:t>
      </w:r>
    </w:p>
    <w:p>
      <w:r>
        <w:br w:type="page"/>
      </w:r>
    </w:p>
    <w:p>
      <w:pPr>
        <w:pStyle w:val="Heading1"/>
      </w:pPr>
      <w:r>
        <w:t>7. Wettbewerbsanalyse einschließlich direkter und indirekter Wettbewerber</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2097"/>
            <w:shd w:fill="1F5A7A"/>
            <w:vAlign w:val="center"/>
            <w:tcMar>
              <w:top w:w="80" w:type="dxa"/>
              <w:start w:w="100" w:type="dxa"/>
              <w:bottom w:w="80" w:type="dxa"/>
              <w:end w:w="100" w:type="dxa"/>
            </w:tcMar>
          </w:tcPr>
          <w:p>
            <w:pPr>
              <w:spacing w:after="0"/>
              <w:jc w:val="center"/>
            </w:pPr>
            <w:r>
              <w:rPr>
                <w:rFonts w:ascii="Calibri" w:hAnsi="Calibri"/>
                <w:b/>
                <w:color w:val="FFFFFF"/>
                <w:sz w:val="14"/>
              </w:rPr>
              <w:t>Anbieter/Alternative</w:t>
            </w:r>
          </w:p>
        </w:tc>
        <w:tc>
          <w:tcPr>
            <w:tcW w:type="dxa" w:w="2778"/>
            <w:shd w:fill="1F5A7A"/>
            <w:vAlign w:val="center"/>
            <w:tcMar>
              <w:top w:w="80" w:type="dxa"/>
              <w:start w:w="100" w:type="dxa"/>
              <w:bottom w:w="80" w:type="dxa"/>
              <w:end w:w="100" w:type="dxa"/>
            </w:tcMar>
          </w:tcPr>
          <w:p>
            <w:pPr>
              <w:spacing w:after="0"/>
              <w:jc w:val="center"/>
            </w:pPr>
            <w:r>
              <w:rPr>
                <w:rFonts w:ascii="Calibri" w:hAnsi="Calibri"/>
                <w:b/>
                <w:color w:val="FFFFFF"/>
                <w:sz w:val="14"/>
              </w:rPr>
              <w:t>Stärke</w:t>
            </w:r>
          </w:p>
        </w:tc>
        <w:tc>
          <w:tcPr>
            <w:tcW w:type="dxa" w:w="3061"/>
            <w:shd w:fill="1F5A7A"/>
            <w:vAlign w:val="center"/>
            <w:tcMar>
              <w:top w:w="80" w:type="dxa"/>
              <w:start w:w="100" w:type="dxa"/>
              <w:bottom w:w="80" w:type="dxa"/>
              <w:end w:w="100" w:type="dxa"/>
            </w:tcMar>
          </w:tcPr>
          <w:p>
            <w:pPr>
              <w:spacing w:after="0"/>
              <w:jc w:val="center"/>
            </w:pPr>
            <w:r>
              <w:rPr>
                <w:rFonts w:ascii="Calibri" w:hAnsi="Calibri"/>
                <w:b/>
                <w:color w:val="FFFFFF"/>
                <w:sz w:val="14"/>
              </w:rPr>
              <w:t>Lücke/Abgrenzung</w:t>
            </w:r>
          </w:p>
        </w:tc>
        <w:tc>
          <w:tcPr>
            <w:tcW w:type="dxa" w:w="2324"/>
            <w:shd w:fill="1F5A7A"/>
            <w:vAlign w:val="center"/>
            <w:tcMar>
              <w:top w:w="80" w:type="dxa"/>
              <w:start w:w="100" w:type="dxa"/>
              <w:bottom w:w="80" w:type="dxa"/>
              <w:end w:w="100" w:type="dxa"/>
            </w:tcMar>
          </w:tcPr>
          <w:p>
            <w:pPr>
              <w:spacing w:after="0"/>
              <w:jc w:val="center"/>
            </w:pPr>
            <w:r>
              <w:rPr>
                <w:rFonts w:ascii="Calibri" w:hAnsi="Calibri"/>
                <w:b/>
                <w:color w:val="FFFFFF"/>
                <w:sz w:val="14"/>
              </w:rPr>
              <w:t>Implikation</w:t>
            </w:r>
          </w:p>
        </w:tc>
      </w:tr>
      <w:tr>
        <w:trPr>
          <w:cantSplit/>
        </w:trPr>
        <w:tc>
          <w:tcPr>
            <w:tcW w:type="dxa" w:w="2097"/>
            <w:vAlign w:val="center"/>
            <w:tcMar>
              <w:top w:w="80" w:type="dxa"/>
              <w:start w:w="100" w:type="dxa"/>
              <w:bottom w:w="80" w:type="dxa"/>
              <w:end w:w="100" w:type="dxa"/>
            </w:tcMar>
          </w:tcPr>
          <w:p>
            <w:pPr>
              <w:spacing w:after="0"/>
              <w:jc w:val="left"/>
            </w:pPr>
            <w:r>
              <w:rPr>
                <w:rFonts w:ascii="Calibri" w:hAnsi="Calibri"/>
                <w:b/>
                <w:sz w:val="14"/>
              </w:rPr>
              <w:t>Opta / Stats Perform</w:t>
            </w:r>
          </w:p>
        </w:tc>
        <w:tc>
          <w:tcPr>
            <w:tcW w:type="dxa" w:w="2778"/>
            <w:vAlign w:val="center"/>
            <w:tcMar>
              <w:top w:w="80" w:type="dxa"/>
              <w:start w:w="100" w:type="dxa"/>
              <w:bottom w:w="80" w:type="dxa"/>
              <w:end w:w="100" w:type="dxa"/>
            </w:tcMar>
          </w:tcPr>
          <w:p>
            <w:pPr>
              <w:spacing w:after="0"/>
              <w:jc w:val="right"/>
            </w:pPr>
            <w:r>
              <w:rPr>
                <w:rFonts w:ascii="Calibri" w:hAnsi="Calibri"/>
                <w:sz w:val="14"/>
              </w:rPr>
              <w:t>Datenbreite, Marke, etablierte Modelle</w:t>
            </w:r>
          </w:p>
        </w:tc>
        <w:tc>
          <w:tcPr>
            <w:tcW w:type="dxa" w:w="3061"/>
            <w:vAlign w:val="center"/>
            <w:tcMar>
              <w:top w:w="80" w:type="dxa"/>
              <w:start w:w="100" w:type="dxa"/>
              <w:bottom w:w="80" w:type="dxa"/>
              <w:end w:w="100" w:type="dxa"/>
            </w:tcMar>
          </w:tcPr>
          <w:p>
            <w:pPr>
              <w:spacing w:after="0"/>
              <w:jc w:val="right"/>
            </w:pPr>
            <w:r>
              <w:rPr>
                <w:rFonts w:ascii="Calibri" w:hAnsi="Calibri"/>
                <w:sz w:val="14"/>
              </w:rPr>
              <w:t>Premium-Positionierung; nicht primär schlankes SME-Widget</w:t>
            </w:r>
          </w:p>
        </w:tc>
        <w:tc>
          <w:tcPr>
            <w:tcW w:type="dxa" w:w="2324"/>
            <w:vAlign w:val="center"/>
            <w:tcMar>
              <w:top w:w="80" w:type="dxa"/>
              <w:start w:w="100" w:type="dxa"/>
              <w:bottom w:w="80" w:type="dxa"/>
              <w:end w:w="100" w:type="dxa"/>
            </w:tcMar>
          </w:tcPr>
          <w:p>
            <w:pPr>
              <w:spacing w:after="0"/>
              <w:jc w:val="right"/>
            </w:pPr>
            <w:r>
              <w:rPr>
                <w:rFonts w:ascii="Calibri" w:hAnsi="Calibri"/>
                <w:sz w:val="14"/>
              </w:rPr>
              <w:t>Nicht auf Datenbreite konkurrieren</w:t>
            </w:r>
          </w:p>
        </w:tc>
      </w:tr>
      <w:tr>
        <w:trPr>
          <w:cantSplit/>
        </w:trPr>
        <w:tc>
          <w:tcPr>
            <w:tcW w:type="dxa" w:w="2097"/>
            <w:vAlign w:val="center"/>
            <w:tcMar>
              <w:top w:w="80" w:type="dxa"/>
              <w:start w:w="100" w:type="dxa"/>
              <w:bottom w:w="80" w:type="dxa"/>
              <w:end w:w="100" w:type="dxa"/>
            </w:tcMar>
            <w:shd w:fill="F3F7F9"/>
          </w:tcPr>
          <w:p>
            <w:pPr>
              <w:spacing w:after="0"/>
              <w:jc w:val="left"/>
            </w:pPr>
            <w:r>
              <w:rPr>
                <w:rFonts w:ascii="Calibri" w:hAnsi="Calibri"/>
                <w:b/>
                <w:sz w:val="14"/>
              </w:rPr>
              <w:t>Sportmonks Widgets</w:t>
            </w:r>
          </w:p>
        </w:tc>
        <w:tc>
          <w:tcPr>
            <w:tcW w:type="dxa" w:w="2778"/>
            <w:vAlign w:val="center"/>
            <w:tcMar>
              <w:top w:w="80" w:type="dxa"/>
              <w:start w:w="100" w:type="dxa"/>
              <w:bottom w:w="80" w:type="dxa"/>
              <w:end w:w="100" w:type="dxa"/>
            </w:tcMar>
            <w:shd w:fill="F3F7F9"/>
          </w:tcPr>
          <w:p>
            <w:pPr>
              <w:spacing w:after="0"/>
              <w:jc w:val="right"/>
            </w:pPr>
            <w:r>
              <w:rPr>
                <w:rFonts w:ascii="Calibri" w:hAnsi="Calibri"/>
                <w:sz w:val="14"/>
              </w:rPr>
              <w:t>Fertige Fußballwidgets; Preise ab 59 €/Monat bei Jahreszahlung</w:t>
            </w:r>
          </w:p>
        </w:tc>
        <w:tc>
          <w:tcPr>
            <w:tcW w:type="dxa" w:w="3061"/>
            <w:vAlign w:val="center"/>
            <w:tcMar>
              <w:top w:w="80" w:type="dxa"/>
              <w:start w:w="100" w:type="dxa"/>
              <w:bottom w:w="80" w:type="dxa"/>
              <w:end w:w="100" w:type="dxa"/>
            </w:tcMar>
            <w:shd w:fill="F3F7F9"/>
          </w:tcPr>
          <w:p>
            <w:pPr>
              <w:spacing w:after="0"/>
              <w:jc w:val="right"/>
            </w:pPr>
            <w:r>
              <w:rPr>
                <w:rFonts w:ascii="Calibri" w:hAnsi="Calibri"/>
                <w:sz w:val="14"/>
              </w:rPr>
              <w:t>Fokus auf Daten/Widgets, nicht zwingend erklärbare KI-Prognosen</w:t>
            </w:r>
          </w:p>
        </w:tc>
        <w:tc>
          <w:tcPr>
            <w:tcW w:type="dxa" w:w="2324"/>
            <w:vAlign w:val="center"/>
            <w:tcMar>
              <w:top w:w="80" w:type="dxa"/>
              <w:start w:w="100" w:type="dxa"/>
              <w:bottom w:w="80" w:type="dxa"/>
              <w:end w:w="100" w:type="dxa"/>
            </w:tcMar>
            <w:shd w:fill="F3F7F9"/>
          </w:tcPr>
          <w:p>
            <w:pPr>
              <w:spacing w:after="0"/>
              <w:jc w:val="right"/>
            </w:pPr>
            <w:r>
              <w:rPr>
                <w:rFonts w:ascii="Calibri" w:hAnsi="Calibri"/>
                <w:sz w:val="14"/>
              </w:rPr>
              <w:t>Starterpreis ist plausibel; Nutzen muss klarer sein</w:t>
            </w:r>
          </w:p>
        </w:tc>
      </w:tr>
      <w:tr>
        <w:trPr>
          <w:cantSplit/>
        </w:trPr>
        <w:tc>
          <w:tcPr>
            <w:tcW w:type="dxa" w:w="2097"/>
            <w:vAlign w:val="center"/>
            <w:tcMar>
              <w:top w:w="80" w:type="dxa"/>
              <w:start w:w="100" w:type="dxa"/>
              <w:bottom w:w="80" w:type="dxa"/>
              <w:end w:w="100" w:type="dxa"/>
            </w:tcMar>
          </w:tcPr>
          <w:p>
            <w:pPr>
              <w:spacing w:after="0"/>
              <w:jc w:val="left"/>
            </w:pPr>
            <w:r>
              <w:rPr>
                <w:rFonts w:ascii="Calibri" w:hAnsi="Calibri"/>
                <w:b/>
                <w:sz w:val="14"/>
              </w:rPr>
              <w:t>API-Sports</w:t>
            </w:r>
          </w:p>
        </w:tc>
        <w:tc>
          <w:tcPr>
            <w:tcW w:type="dxa" w:w="2778"/>
            <w:vAlign w:val="center"/>
            <w:tcMar>
              <w:top w:w="80" w:type="dxa"/>
              <w:start w:w="100" w:type="dxa"/>
              <w:bottom w:w="80" w:type="dxa"/>
              <w:end w:w="100" w:type="dxa"/>
            </w:tcMar>
          </w:tcPr>
          <w:p>
            <w:pPr>
              <w:spacing w:after="0"/>
              <w:jc w:val="right"/>
            </w:pPr>
            <w:r>
              <w:rPr>
                <w:rFonts w:ascii="Calibri" w:hAnsi="Calibri"/>
                <w:sz w:val="14"/>
              </w:rPr>
              <w:t>Multisport-APIs und anpassbare Widgets</w:t>
            </w:r>
          </w:p>
        </w:tc>
        <w:tc>
          <w:tcPr>
            <w:tcW w:type="dxa" w:w="3061"/>
            <w:vAlign w:val="center"/>
            <w:tcMar>
              <w:top w:w="80" w:type="dxa"/>
              <w:start w:w="100" w:type="dxa"/>
              <w:bottom w:w="80" w:type="dxa"/>
              <w:end w:w="100" w:type="dxa"/>
            </w:tcMar>
          </w:tcPr>
          <w:p>
            <w:pPr>
              <w:spacing w:after="0"/>
              <w:jc w:val="right"/>
            </w:pPr>
            <w:r>
              <w:rPr>
                <w:rFonts w:ascii="Calibri" w:hAnsi="Calibri"/>
                <w:sz w:val="14"/>
              </w:rPr>
              <w:t>Kunde trägt mehr Produkt-/Redaktionsarbeit</w:t>
            </w:r>
          </w:p>
        </w:tc>
        <w:tc>
          <w:tcPr>
            <w:tcW w:type="dxa" w:w="2324"/>
            <w:vAlign w:val="center"/>
            <w:tcMar>
              <w:top w:w="80" w:type="dxa"/>
              <w:start w:w="100" w:type="dxa"/>
              <w:bottom w:w="80" w:type="dxa"/>
              <w:end w:w="100" w:type="dxa"/>
            </w:tcMar>
          </w:tcPr>
          <w:p>
            <w:pPr>
              <w:spacing w:after="0"/>
              <w:jc w:val="right"/>
            </w:pPr>
            <w:r>
              <w:rPr>
                <w:rFonts w:ascii="Calibri" w:hAnsi="Calibri"/>
                <w:sz w:val="14"/>
              </w:rPr>
              <w:t>Einfachheit und Reasoning verkaufen</w:t>
            </w:r>
          </w:p>
        </w:tc>
      </w:tr>
      <w:tr>
        <w:trPr>
          <w:cantSplit/>
        </w:trPr>
        <w:tc>
          <w:tcPr>
            <w:tcW w:type="dxa" w:w="2097"/>
            <w:vAlign w:val="center"/>
            <w:tcMar>
              <w:top w:w="80" w:type="dxa"/>
              <w:start w:w="100" w:type="dxa"/>
              <w:bottom w:w="80" w:type="dxa"/>
              <w:end w:w="100" w:type="dxa"/>
            </w:tcMar>
            <w:shd w:fill="F3F7F9"/>
          </w:tcPr>
          <w:p>
            <w:pPr>
              <w:spacing w:after="0"/>
              <w:jc w:val="left"/>
            </w:pPr>
            <w:r>
              <w:rPr>
                <w:rFonts w:ascii="Calibri" w:hAnsi="Calibri"/>
                <w:b/>
                <w:sz w:val="14"/>
              </w:rPr>
              <w:t>ScoreAxis</w:t>
            </w:r>
          </w:p>
        </w:tc>
        <w:tc>
          <w:tcPr>
            <w:tcW w:type="dxa" w:w="2778"/>
            <w:vAlign w:val="center"/>
            <w:tcMar>
              <w:top w:w="80" w:type="dxa"/>
              <w:start w:w="100" w:type="dxa"/>
              <w:bottom w:w="80" w:type="dxa"/>
              <w:end w:w="100" w:type="dxa"/>
            </w:tcMar>
            <w:shd w:fill="F3F7F9"/>
          </w:tcPr>
          <w:p>
            <w:pPr>
              <w:spacing w:after="0"/>
              <w:jc w:val="right"/>
            </w:pPr>
            <w:r>
              <w:rPr>
                <w:rFonts w:ascii="Calibri" w:hAnsi="Calibri"/>
                <w:sz w:val="14"/>
              </w:rPr>
              <w:t>Kostenlose Widgets</w:t>
            </w:r>
          </w:p>
        </w:tc>
        <w:tc>
          <w:tcPr>
            <w:tcW w:type="dxa" w:w="3061"/>
            <w:vAlign w:val="center"/>
            <w:tcMar>
              <w:top w:w="80" w:type="dxa"/>
              <w:start w:w="100" w:type="dxa"/>
              <w:bottom w:w="80" w:type="dxa"/>
              <w:end w:w="100" w:type="dxa"/>
            </w:tcMar>
            <w:shd w:fill="F3F7F9"/>
          </w:tcPr>
          <w:p>
            <w:pPr>
              <w:spacing w:after="0"/>
              <w:jc w:val="right"/>
            </w:pPr>
            <w:r>
              <w:rPr>
                <w:rFonts w:ascii="Calibri" w:hAnsi="Calibri"/>
                <w:sz w:val="14"/>
              </w:rPr>
              <w:t>Geringere Differenzierung/Service</w:t>
            </w:r>
          </w:p>
        </w:tc>
        <w:tc>
          <w:tcPr>
            <w:tcW w:type="dxa" w:w="2324"/>
            <w:vAlign w:val="center"/>
            <w:tcMar>
              <w:top w:w="80" w:type="dxa"/>
              <w:start w:w="100" w:type="dxa"/>
              <w:bottom w:w="80" w:type="dxa"/>
              <w:end w:w="100" w:type="dxa"/>
            </w:tcMar>
            <w:shd w:fill="F3F7F9"/>
          </w:tcPr>
          <w:p>
            <w:pPr>
              <w:spacing w:after="0"/>
              <w:jc w:val="right"/>
            </w:pPr>
            <w:r>
              <w:rPr>
                <w:rFonts w:ascii="Calibri" w:hAnsi="Calibri"/>
                <w:sz w:val="14"/>
              </w:rPr>
              <w:t>Kostenlose Alternativen machen reine Einbettung austauschbar</w:t>
            </w:r>
          </w:p>
        </w:tc>
      </w:tr>
      <w:tr>
        <w:trPr>
          <w:cantSplit/>
        </w:trPr>
        <w:tc>
          <w:tcPr>
            <w:tcW w:type="dxa" w:w="2097"/>
            <w:vAlign w:val="center"/>
            <w:tcMar>
              <w:top w:w="80" w:type="dxa"/>
              <w:start w:w="100" w:type="dxa"/>
              <w:bottom w:w="80" w:type="dxa"/>
              <w:end w:w="100" w:type="dxa"/>
            </w:tcMar>
          </w:tcPr>
          <w:p>
            <w:pPr>
              <w:spacing w:after="0"/>
              <w:jc w:val="left"/>
            </w:pPr>
            <w:r>
              <w:rPr>
                <w:rFonts w:ascii="Calibri" w:hAnsi="Calibri"/>
                <w:b/>
                <w:sz w:val="14"/>
              </w:rPr>
              <w:t>Buchmacherquoten</w:t>
            </w:r>
          </w:p>
        </w:tc>
        <w:tc>
          <w:tcPr>
            <w:tcW w:type="dxa" w:w="2778"/>
            <w:vAlign w:val="center"/>
            <w:tcMar>
              <w:top w:w="80" w:type="dxa"/>
              <w:start w:w="100" w:type="dxa"/>
              <w:bottom w:w="80" w:type="dxa"/>
              <w:end w:w="100" w:type="dxa"/>
            </w:tcMar>
          </w:tcPr>
          <w:p>
            <w:pPr>
              <w:spacing w:after="0"/>
              <w:jc w:val="right"/>
            </w:pPr>
            <w:r>
              <w:rPr>
                <w:rFonts w:ascii="Calibri" w:hAnsi="Calibri"/>
                <w:sz w:val="14"/>
              </w:rPr>
              <w:t>Starke Marktaggregation und Aktualität</w:t>
            </w:r>
          </w:p>
        </w:tc>
        <w:tc>
          <w:tcPr>
            <w:tcW w:type="dxa" w:w="3061"/>
            <w:vAlign w:val="center"/>
            <w:tcMar>
              <w:top w:w="80" w:type="dxa"/>
              <w:start w:w="100" w:type="dxa"/>
              <w:bottom w:w="80" w:type="dxa"/>
              <w:end w:w="100" w:type="dxa"/>
            </w:tcMar>
          </w:tcPr>
          <w:p>
            <w:pPr>
              <w:spacing w:after="0"/>
              <w:jc w:val="right"/>
            </w:pPr>
            <w:r>
              <w:rPr>
                <w:rFonts w:ascii="Calibri" w:hAnsi="Calibri"/>
                <w:sz w:val="14"/>
              </w:rPr>
              <w:t>Wettkontext, keine neutrale redaktionelle Erklärung</w:t>
            </w:r>
          </w:p>
        </w:tc>
        <w:tc>
          <w:tcPr>
            <w:tcW w:type="dxa" w:w="2324"/>
            <w:vAlign w:val="center"/>
            <w:tcMar>
              <w:top w:w="80" w:type="dxa"/>
              <w:start w:w="100" w:type="dxa"/>
              <w:bottom w:w="80" w:type="dxa"/>
              <w:end w:w="100" w:type="dxa"/>
            </w:tcMar>
          </w:tcPr>
          <w:p>
            <w:pPr>
              <w:spacing w:after="0"/>
              <w:jc w:val="right"/>
            </w:pPr>
            <w:r>
              <w:rPr>
                <w:rFonts w:ascii="Calibri" w:hAnsi="Calibri"/>
                <w:sz w:val="14"/>
              </w:rPr>
              <w:t>Kalibrierung benchmarken, aber nicht kopieren</w:t>
            </w:r>
          </w:p>
        </w:tc>
      </w:tr>
      <w:tr>
        <w:trPr>
          <w:cantSplit/>
        </w:trPr>
        <w:tc>
          <w:tcPr>
            <w:tcW w:type="dxa" w:w="2097"/>
            <w:vAlign w:val="center"/>
            <w:tcMar>
              <w:top w:w="80" w:type="dxa"/>
              <w:start w:w="100" w:type="dxa"/>
              <w:bottom w:w="80" w:type="dxa"/>
              <w:end w:w="100" w:type="dxa"/>
            </w:tcMar>
            <w:shd w:fill="F3F7F9"/>
          </w:tcPr>
          <w:p>
            <w:pPr>
              <w:spacing w:after="0"/>
              <w:jc w:val="left"/>
            </w:pPr>
            <w:r>
              <w:rPr>
                <w:rFonts w:ascii="Calibri" w:hAnsi="Calibri"/>
                <w:b/>
                <w:sz w:val="14"/>
              </w:rPr>
              <w:t>Interne Data-Science-Teams</w:t>
            </w:r>
          </w:p>
        </w:tc>
        <w:tc>
          <w:tcPr>
            <w:tcW w:type="dxa" w:w="2778"/>
            <w:vAlign w:val="center"/>
            <w:tcMar>
              <w:top w:w="80" w:type="dxa"/>
              <w:start w:w="100" w:type="dxa"/>
              <w:bottom w:w="80" w:type="dxa"/>
              <w:end w:w="100" w:type="dxa"/>
            </w:tcMar>
            <w:shd w:fill="F3F7F9"/>
          </w:tcPr>
          <w:p>
            <w:pPr>
              <w:spacing w:after="0"/>
              <w:jc w:val="right"/>
            </w:pPr>
            <w:r>
              <w:rPr>
                <w:rFonts w:ascii="Calibri" w:hAnsi="Calibri"/>
                <w:sz w:val="14"/>
              </w:rPr>
              <w:t>Kontrolle, proprietäre Daten</w:t>
            </w:r>
          </w:p>
        </w:tc>
        <w:tc>
          <w:tcPr>
            <w:tcW w:type="dxa" w:w="3061"/>
            <w:vAlign w:val="center"/>
            <w:tcMar>
              <w:top w:w="80" w:type="dxa"/>
              <w:start w:w="100" w:type="dxa"/>
              <w:bottom w:w="80" w:type="dxa"/>
              <w:end w:w="100" w:type="dxa"/>
            </w:tcMar>
            <w:shd w:fill="F3F7F9"/>
          </w:tcPr>
          <w:p>
            <w:pPr>
              <w:spacing w:after="0"/>
              <w:jc w:val="right"/>
            </w:pPr>
            <w:r>
              <w:rPr>
                <w:rFonts w:ascii="Calibri" w:hAnsi="Calibri"/>
                <w:sz w:val="14"/>
              </w:rPr>
              <w:t>Hohe Fixkosten und lange Time-to-Market</w:t>
            </w:r>
          </w:p>
        </w:tc>
        <w:tc>
          <w:tcPr>
            <w:tcW w:type="dxa" w:w="2324"/>
            <w:vAlign w:val="center"/>
            <w:tcMar>
              <w:top w:w="80" w:type="dxa"/>
              <w:start w:w="100" w:type="dxa"/>
              <w:bottom w:w="80" w:type="dxa"/>
              <w:end w:w="100" w:type="dxa"/>
            </w:tcMar>
            <w:shd w:fill="F3F7F9"/>
          </w:tcPr>
          <w:p>
            <w:pPr>
              <w:spacing w:after="0"/>
              <w:jc w:val="right"/>
            </w:pPr>
            <w:r>
              <w:rPr>
                <w:rFonts w:ascii="Calibri" w:hAnsi="Calibri"/>
                <w:sz w:val="14"/>
              </w:rPr>
              <w:t>Auf kleinere/mittlere Häuser fokussieren</w:t>
            </w:r>
          </w:p>
        </w:tc>
      </w:tr>
    </w:tbl>
    <w:p>
      <w:pPr>
        <w:spacing w:after="20"/>
      </w:pPr>
    </w:p>
    <w:p>
      <w:r>
        <w:t>Opta beschreibt seine Supercomputer-Prognosen als Kombination aus Wettquoten und Power Rankings. Das ist ein relevanter Benchmark, aber kein Beleg für Gleichwertigkeit des eigenen Systems. [Q11] Sportmonks, API-Sports und ScoreAxis zeigen, dass Widgets technisch und preislich bereits verfügbar sind. [Q12] [Q13] [Q14]</w:t>
      </w:r>
    </w:p>
    <w:p>
      <w:r>
        <w:br w:type="page"/>
      </w:r>
    </w:p>
    <w:p>
      <w:pPr>
        <w:pStyle w:val="Heading1"/>
      </w:pPr>
      <w:r>
        <w:t>8. Positionierung und nachhaltige Wettbewerbsvorteile</w:t>
      </w:r>
    </w:p>
    <w:tbl>
      <w:tblPr>
        <w:tblW w:type="auto" w:w="0"/>
        <w:jc w:val="center"/>
        <w:tblLook w:firstColumn="1" w:firstRow="1" w:lastColumn="0" w:lastRow="0" w:noHBand="0" w:noVBand="1" w:val="04A0"/>
      </w:tblPr>
      <w:tblGrid>
        <w:gridCol w:w="9850"/>
      </w:tblGrid>
      <w:tr>
        <w:tc>
          <w:tcPr>
            <w:tcW w:type="dxa" w:w="9850"/>
            <w:shd w:fill="DDEFF5"/>
            <w:tcMar>
              <w:top w:w="140" w:type="dxa"/>
              <w:start w:w="180" w:type="dxa"/>
              <w:bottom w:w="140" w:type="dxa"/>
              <w:end w:w="180" w:type="dxa"/>
            </w:tcMar>
          </w:tcPr>
          <w:p>
            <w:pPr>
              <w:pStyle w:val="Callout"/>
            </w:pPr>
            <w:r>
              <w:rPr>
                <w:b/>
              </w:rPr>
              <w:t xml:space="preserve">Positionierungssatz — </w:t>
            </w:r>
            <w:r>
              <w:t>Für digitale Sportredaktionen ohne eigenes ML-Produktteam liefert AI Sports Prediction gebrandete, erklärbare Prognosewidgets, die in wenigen Minuten integrierbar, vorab versioniert und nach dem Event messbar sind.</w:t>
            </w:r>
          </w:p>
        </w:tc>
      </w:tr>
    </w:tbl>
    <w:p>
      <w:pPr>
        <w:spacing w:after="20"/>
      </w:pPr>
    </w:p>
    <w:p>
      <w:r>
        <w:t>Prompts allein sind kein belastbarer Schutzwall: Sie können rekonstruiert oder durch Modellwechsel entwertet werden. Nachhaltiger sind vier miteinander verknüpfte Assets:</w:t>
      </w:r>
    </w:p>
    <w:p>
      <w:pPr>
        <w:pStyle w:val="ListBullet"/>
      </w:pPr>
      <w:r>
        <w:t>eine lückenlose, vor Spielbeginn zeitgestempelte Prognosehistorie mit Kalibrierung und Fehleranalyse;</w:t>
      </w:r>
    </w:p>
    <w:p>
      <w:pPr>
        <w:pStyle w:val="ListBullet"/>
      </w:pPr>
      <w:r>
        <w:t>publisher-spezifische Integrationen, Analytics, Branding und Workflow-Einbettung;</w:t>
      </w:r>
    </w:p>
    <w:p>
      <w:pPr>
        <w:pStyle w:val="ListBullet"/>
      </w:pPr>
      <w:r>
        <w:t>ein wissenschaftlich nachvollziehbarer Benchmark gegen naive Baselines, Marktquoten und etablierte Systeme;</w:t>
      </w:r>
    </w:p>
    <w:p>
      <w:pPr>
        <w:pStyle w:val="ListBullet"/>
      </w:pPr>
      <w:r>
        <w:t>Distribution, Kundenbeziehungen und eine vertrauenswürdige Marke für transparentes Reasoning.</w:t>
      </w:r>
    </w:p>
    <w:p>
      <w:r>
        <w:t>Das eingereichte/archivierte Paper ist nach Gründerangabe relevant; bis URL, Version, Reviewstatus und konkrete Ergebnisse vorliegen, darf der Plan keine Gleichwertigkeit mit Opta oder Buchmachern behaupten. Zulässige Formulierung: „Die Methode wird wissenschaftlich evaluiert; belastbare Vergleichsergebnisse werden nach Veröffentlichung verlinkt.“</w:t>
      </w:r>
    </w:p>
    <w:p>
      <w:r>
        <w:br w:type="page"/>
      </w:r>
    </w:p>
    <w:p>
      <w:pPr>
        <w:pStyle w:val="Heading1"/>
      </w:pPr>
      <w:r>
        <w:t>9. Geschäftsmodell, Preisgestaltung und Einnahmequellen</w:t>
      </w:r>
    </w:p>
    <w:tbl>
      <w:tblPr>
        <w:tblStyle w:val="TableGrid"/>
        <w:tblW w:type="auto" w:w="0"/>
        <w:jc w:val="center"/>
        <w:tblLayout w:type="fixed"/>
        <w:tblLook w:firstColumn="1" w:firstRow="1" w:lastColumn="0" w:lastRow="0" w:noHBand="0" w:noVBand="1" w:val="04A0"/>
      </w:tblPr>
      <w:tblGrid>
        <w:gridCol w:w="1970"/>
        <w:gridCol w:w="1970"/>
        <w:gridCol w:w="1970"/>
        <w:gridCol w:w="1970"/>
        <w:gridCol w:w="1970"/>
      </w:tblGrid>
      <w:tr>
        <w:trPr>
          <w:tblHeader w:val="true"/>
        </w:trPr>
        <w:tc>
          <w:tcPr>
            <w:tcW w:type="dxa" w:w="1587"/>
            <w:shd w:fill="1F5A7A"/>
            <w:vAlign w:val="center"/>
            <w:tcMar>
              <w:top w:w="80" w:type="dxa"/>
              <w:start w:w="100" w:type="dxa"/>
              <w:bottom w:w="80" w:type="dxa"/>
              <w:end w:w="100" w:type="dxa"/>
            </w:tcMar>
          </w:tcPr>
          <w:p>
            <w:pPr>
              <w:spacing w:after="0"/>
              <w:jc w:val="center"/>
            </w:pPr>
            <w:r>
              <w:rPr>
                <w:rFonts w:ascii="Calibri" w:hAnsi="Calibri"/>
                <w:b/>
                <w:color w:val="FFFFFF"/>
                <w:sz w:val="15"/>
              </w:rPr>
              <w:t>Paket</w:t>
            </w:r>
          </w:p>
        </w:tc>
        <w:tc>
          <w:tcPr>
            <w:tcW w:type="dxa" w:w="1530"/>
            <w:shd w:fill="1F5A7A"/>
            <w:vAlign w:val="center"/>
            <w:tcMar>
              <w:top w:w="80" w:type="dxa"/>
              <w:start w:w="100" w:type="dxa"/>
              <w:bottom w:w="80" w:type="dxa"/>
              <w:end w:w="100" w:type="dxa"/>
            </w:tcMar>
          </w:tcPr>
          <w:p>
            <w:pPr>
              <w:spacing w:after="0"/>
              <w:jc w:val="center"/>
            </w:pPr>
            <w:r>
              <w:rPr>
                <w:rFonts w:ascii="Calibri" w:hAnsi="Calibri"/>
                <w:b/>
                <w:color w:val="FFFFFF"/>
                <w:sz w:val="15"/>
              </w:rPr>
              <w:t>Monatlich</w:t>
            </w:r>
          </w:p>
        </w:tc>
        <w:tc>
          <w:tcPr>
            <w:tcW w:type="dxa" w:w="2494"/>
            <w:shd w:fill="1F5A7A"/>
            <w:vAlign w:val="center"/>
            <w:tcMar>
              <w:top w:w="80" w:type="dxa"/>
              <w:start w:w="100" w:type="dxa"/>
              <w:bottom w:w="80" w:type="dxa"/>
              <w:end w:w="100" w:type="dxa"/>
            </w:tcMar>
          </w:tcPr>
          <w:p>
            <w:pPr>
              <w:spacing w:after="0"/>
              <w:jc w:val="center"/>
            </w:pPr>
            <w:r>
              <w:rPr>
                <w:rFonts w:ascii="Calibri" w:hAnsi="Calibri"/>
                <w:b/>
                <w:color w:val="FFFFFF"/>
                <w:sz w:val="15"/>
              </w:rPr>
              <w:t>Erstes Vertragsjahr jährlich</w:t>
            </w:r>
          </w:p>
        </w:tc>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5"/>
              </w:rPr>
              <w:t>Zielkunde</w:t>
            </w:r>
          </w:p>
        </w:tc>
        <w:tc>
          <w:tcPr>
            <w:tcW w:type="dxa" w:w="3402"/>
            <w:shd w:fill="1F5A7A"/>
            <w:vAlign w:val="center"/>
            <w:tcMar>
              <w:top w:w="80" w:type="dxa"/>
              <w:start w:w="100" w:type="dxa"/>
              <w:bottom w:w="80" w:type="dxa"/>
              <w:end w:w="100" w:type="dxa"/>
            </w:tcMar>
          </w:tcPr>
          <w:p>
            <w:pPr>
              <w:spacing w:after="0"/>
              <w:jc w:val="center"/>
            </w:pPr>
            <w:r>
              <w:rPr>
                <w:rFonts w:ascii="Calibri" w:hAnsi="Calibri"/>
                <w:b/>
                <w:color w:val="FFFFFF"/>
                <w:sz w:val="15"/>
              </w:rPr>
              <w:t>Arbeitsannahme Leistungsgrenze</w:t>
            </w:r>
          </w:p>
        </w:tc>
      </w:tr>
      <w:tr>
        <w:trPr>
          <w:cantSplit/>
        </w:trPr>
        <w:tc>
          <w:tcPr>
            <w:tcW w:type="dxa" w:w="1587"/>
            <w:vAlign w:val="center"/>
            <w:tcMar>
              <w:top w:w="80" w:type="dxa"/>
              <w:start w:w="100" w:type="dxa"/>
              <w:bottom w:w="80" w:type="dxa"/>
              <w:end w:w="100" w:type="dxa"/>
            </w:tcMar>
          </w:tcPr>
          <w:p>
            <w:pPr>
              <w:spacing w:after="0"/>
              <w:jc w:val="left"/>
            </w:pPr>
            <w:r>
              <w:rPr>
                <w:rFonts w:ascii="Calibri" w:hAnsi="Calibri"/>
                <w:b/>
                <w:sz w:val="15"/>
              </w:rPr>
              <w:t>Starter</w:t>
            </w:r>
          </w:p>
        </w:tc>
        <w:tc>
          <w:tcPr>
            <w:tcW w:type="dxa" w:w="1530"/>
            <w:vAlign w:val="center"/>
            <w:tcMar>
              <w:top w:w="80" w:type="dxa"/>
              <w:start w:w="100" w:type="dxa"/>
              <w:bottom w:w="80" w:type="dxa"/>
              <w:end w:w="100" w:type="dxa"/>
            </w:tcMar>
          </w:tcPr>
          <w:p>
            <w:pPr>
              <w:spacing w:after="0"/>
              <w:jc w:val="right"/>
            </w:pPr>
            <w:r>
              <w:rPr>
                <w:rFonts w:ascii="Calibri" w:hAnsi="Calibri"/>
                <w:sz w:val="15"/>
              </w:rPr>
              <w:t>49 €</w:t>
            </w:r>
          </w:p>
        </w:tc>
        <w:tc>
          <w:tcPr>
            <w:tcW w:type="dxa" w:w="2494"/>
            <w:vAlign w:val="center"/>
            <w:tcMar>
              <w:top w:w="80" w:type="dxa"/>
              <w:start w:w="100" w:type="dxa"/>
              <w:bottom w:w="80" w:type="dxa"/>
              <w:end w:w="100" w:type="dxa"/>
            </w:tcMar>
          </w:tcPr>
          <w:p>
            <w:pPr>
              <w:spacing w:after="0"/>
              <w:jc w:val="right"/>
            </w:pPr>
            <w:r>
              <w:rPr>
                <w:rFonts w:ascii="Calibri" w:hAnsi="Calibri"/>
                <w:sz w:val="15"/>
              </w:rPr>
              <w:t>539 € (= 11 × 49 €)</w:t>
            </w:r>
          </w:p>
        </w:tc>
        <w:tc>
          <w:tcPr>
            <w:tcW w:type="dxa" w:w="2268"/>
            <w:vAlign w:val="center"/>
            <w:tcMar>
              <w:top w:w="80" w:type="dxa"/>
              <w:start w:w="100" w:type="dxa"/>
              <w:bottom w:w="80" w:type="dxa"/>
              <w:end w:w="100" w:type="dxa"/>
            </w:tcMar>
          </w:tcPr>
          <w:p>
            <w:pPr>
              <w:spacing w:after="0"/>
              <w:jc w:val="right"/>
            </w:pPr>
            <w:r>
              <w:rPr>
                <w:rFonts w:ascii="Calibri" w:hAnsi="Calibri"/>
                <w:sz w:val="15"/>
              </w:rPr>
              <w:t>kleine Redaktion/Portal</w:t>
            </w:r>
          </w:p>
        </w:tc>
        <w:tc>
          <w:tcPr>
            <w:tcW w:type="dxa" w:w="3402"/>
            <w:vAlign w:val="center"/>
            <w:tcMar>
              <w:top w:w="80" w:type="dxa"/>
              <w:start w:w="100" w:type="dxa"/>
              <w:bottom w:w="80" w:type="dxa"/>
              <w:end w:w="100" w:type="dxa"/>
            </w:tcMar>
          </w:tcPr>
          <w:p>
            <w:pPr>
              <w:spacing w:after="0"/>
              <w:jc w:val="right"/>
            </w:pPr>
            <w:r>
              <w:rPr>
                <w:rFonts w:ascii="Calibri" w:hAnsi="Calibri"/>
                <w:sz w:val="15"/>
              </w:rPr>
              <w:t>1 Domain, Basisbranding, Standard-Support</w:t>
            </w:r>
          </w:p>
        </w:tc>
      </w:tr>
      <w:tr>
        <w:trPr>
          <w:cantSplit/>
        </w:trPr>
        <w:tc>
          <w:tcPr>
            <w:tcW w:type="dxa" w:w="1587"/>
            <w:vAlign w:val="center"/>
            <w:tcMar>
              <w:top w:w="80" w:type="dxa"/>
              <w:start w:w="100" w:type="dxa"/>
              <w:bottom w:w="80" w:type="dxa"/>
              <w:end w:w="100" w:type="dxa"/>
            </w:tcMar>
            <w:shd w:fill="F3F7F9"/>
          </w:tcPr>
          <w:p>
            <w:pPr>
              <w:spacing w:after="0"/>
              <w:jc w:val="left"/>
            </w:pPr>
            <w:r>
              <w:rPr>
                <w:rFonts w:ascii="Calibri" w:hAnsi="Calibri"/>
                <w:b/>
                <w:sz w:val="15"/>
              </w:rPr>
              <w:t>Growth</w:t>
            </w:r>
          </w:p>
        </w:tc>
        <w:tc>
          <w:tcPr>
            <w:tcW w:type="dxa" w:w="1530"/>
            <w:vAlign w:val="center"/>
            <w:tcMar>
              <w:top w:w="80" w:type="dxa"/>
              <w:start w:w="100" w:type="dxa"/>
              <w:bottom w:w="80" w:type="dxa"/>
              <w:end w:w="100" w:type="dxa"/>
            </w:tcMar>
            <w:shd w:fill="F3F7F9"/>
          </w:tcPr>
          <w:p>
            <w:pPr>
              <w:spacing w:after="0"/>
              <w:jc w:val="right"/>
            </w:pPr>
            <w:r>
              <w:rPr>
                <w:rFonts w:ascii="Calibri" w:hAnsi="Calibri"/>
                <w:sz w:val="15"/>
              </w:rPr>
              <w:t>149 €</w:t>
            </w:r>
          </w:p>
        </w:tc>
        <w:tc>
          <w:tcPr>
            <w:tcW w:type="dxa" w:w="2494"/>
            <w:vAlign w:val="center"/>
            <w:tcMar>
              <w:top w:w="80" w:type="dxa"/>
              <w:start w:w="100" w:type="dxa"/>
              <w:bottom w:w="80" w:type="dxa"/>
              <w:end w:w="100" w:type="dxa"/>
            </w:tcMar>
            <w:shd w:fill="F3F7F9"/>
          </w:tcPr>
          <w:p>
            <w:pPr>
              <w:spacing w:after="0"/>
              <w:jc w:val="right"/>
            </w:pPr>
            <w:r>
              <w:rPr>
                <w:rFonts w:ascii="Calibri" w:hAnsi="Calibri"/>
                <w:sz w:val="15"/>
              </w:rPr>
              <w:t>1.639 € (= 11 × 149 €)</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5"/>
              </w:rPr>
              <w:t>wachsende Redaktion</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5"/>
              </w:rPr>
              <w:t>mehr Domains/Traffic, Analytics, Priorität</w:t>
            </w:r>
          </w:p>
        </w:tc>
      </w:tr>
      <w:tr>
        <w:trPr>
          <w:cantSplit/>
        </w:trPr>
        <w:tc>
          <w:tcPr>
            <w:tcW w:type="dxa" w:w="1587"/>
            <w:vAlign w:val="center"/>
            <w:tcMar>
              <w:top w:w="80" w:type="dxa"/>
              <w:start w:w="100" w:type="dxa"/>
              <w:bottom w:w="80" w:type="dxa"/>
              <w:end w:w="100" w:type="dxa"/>
            </w:tcMar>
          </w:tcPr>
          <w:p>
            <w:pPr>
              <w:spacing w:after="0"/>
              <w:jc w:val="left"/>
            </w:pPr>
            <w:r>
              <w:rPr>
                <w:rFonts w:ascii="Calibri" w:hAnsi="Calibri"/>
                <w:b/>
                <w:sz w:val="15"/>
              </w:rPr>
              <w:t>Enterprise</w:t>
            </w:r>
          </w:p>
        </w:tc>
        <w:tc>
          <w:tcPr>
            <w:tcW w:type="dxa" w:w="1530"/>
            <w:vAlign w:val="center"/>
            <w:tcMar>
              <w:top w:w="80" w:type="dxa"/>
              <w:start w:w="100" w:type="dxa"/>
              <w:bottom w:w="80" w:type="dxa"/>
              <w:end w:w="100" w:type="dxa"/>
            </w:tcMar>
          </w:tcPr>
          <w:p>
            <w:pPr>
              <w:spacing w:after="0"/>
              <w:jc w:val="right"/>
            </w:pPr>
            <w:r>
              <w:rPr>
                <w:rFonts w:ascii="Calibri" w:hAnsi="Calibri"/>
                <w:sz w:val="15"/>
              </w:rPr>
              <w:t>individuell; Modell 499 €/Monat</w:t>
            </w:r>
          </w:p>
        </w:tc>
        <w:tc>
          <w:tcPr>
            <w:tcW w:type="dxa" w:w="2494"/>
            <w:vAlign w:val="center"/>
            <w:tcMar>
              <w:top w:w="80" w:type="dxa"/>
              <w:start w:w="100" w:type="dxa"/>
              <w:bottom w:w="80" w:type="dxa"/>
              <w:end w:w="100" w:type="dxa"/>
            </w:tcMar>
          </w:tcPr>
          <w:p>
            <w:pPr>
              <w:spacing w:after="0"/>
              <w:jc w:val="right"/>
            </w:pPr>
            <w:r>
              <w:rPr>
                <w:rFonts w:ascii="Calibri" w:hAnsi="Calibri"/>
                <w:sz w:val="15"/>
              </w:rPr>
              <w:t>individuell</w:t>
            </w:r>
          </w:p>
        </w:tc>
        <w:tc>
          <w:tcPr>
            <w:tcW w:type="dxa" w:w="2268"/>
            <w:vAlign w:val="center"/>
            <w:tcMar>
              <w:top w:w="80" w:type="dxa"/>
              <w:start w:w="100" w:type="dxa"/>
              <w:bottom w:w="80" w:type="dxa"/>
              <w:end w:w="100" w:type="dxa"/>
            </w:tcMar>
          </w:tcPr>
          <w:p>
            <w:pPr>
              <w:spacing w:after="0"/>
              <w:jc w:val="right"/>
            </w:pPr>
            <w:r>
              <w:rPr>
                <w:rFonts w:ascii="Calibri" w:hAnsi="Calibri"/>
                <w:sz w:val="15"/>
              </w:rPr>
              <w:t>Verlag/Agentur</w:t>
            </w:r>
          </w:p>
        </w:tc>
        <w:tc>
          <w:tcPr>
            <w:tcW w:type="dxa" w:w="3402"/>
            <w:vAlign w:val="center"/>
            <w:tcMar>
              <w:top w:w="80" w:type="dxa"/>
              <w:start w:w="100" w:type="dxa"/>
              <w:bottom w:w="80" w:type="dxa"/>
              <w:end w:w="100" w:type="dxa"/>
            </w:tcMar>
          </w:tcPr>
          <w:p>
            <w:pPr>
              <w:spacing w:after="0"/>
              <w:jc w:val="right"/>
            </w:pPr>
            <w:r>
              <w:rPr>
                <w:rFonts w:ascii="Calibri" w:hAnsi="Calibri"/>
                <w:sz w:val="15"/>
              </w:rPr>
              <w:t>SLA, White Label, Volumen, individuelle Rechte</w:t>
            </w:r>
          </w:p>
        </w:tc>
      </w:tr>
    </w:tbl>
    <w:p>
      <w:pPr>
        <w:spacing w:after="20"/>
      </w:pPr>
    </w:p>
    <w:p>
      <w:r>
        <w:t>Vertragslogik: 12 Monate Mindestlaufzeit; danach monatliche Verlängerung, soweit AGB und B2B-Vertragsrecht dies wirksam abbilden. Die jährliche Vorauszahlung gewährt ungefähr einen Gratismonat und verbessert Liquidität. Preisgrenzen dürfen nicht nur auf Pageviews beruhen, sondern sollten Domains, eingebundene Artikel, Impressions, Sportarten, API-Aufrufe, Support und SLA kombinieren.</w:t>
      </w:r>
    </w:p>
    <w:p>
      <w:r>
        <w:t>Werbung auf der kostenlosen Website wird aus Pageviews × Netto-RPM modelliert. Google veröffentlicht Revenue-Share-Informationen, garantiert aber keinen RPM. Daher werden 2,50 €, 5 € und 8 € netto je 1.000 Pageviews als explizite Szenarioannahmen verwendet. [Q15]</w:t>
      </w:r>
    </w:p>
    <w:tbl>
      <w:tblPr>
        <w:tblW w:type="auto" w:w="0"/>
        <w:jc w:val="center"/>
        <w:tblLook w:firstColumn="1" w:firstRow="1" w:lastColumn="0" w:lastRow="0" w:noHBand="0" w:noVBand="1" w:val="04A0"/>
      </w:tblPr>
      <w:tblGrid>
        <w:gridCol w:w="9850"/>
      </w:tblGrid>
      <w:tr>
        <w:tc>
          <w:tcPr>
            <w:tcW w:type="dxa" w:w="9850"/>
            <w:shd w:fill="DDEFF5"/>
            <w:tcMar>
              <w:top w:w="140" w:type="dxa"/>
              <w:start w:w="180" w:type="dxa"/>
              <w:bottom w:w="140" w:type="dxa"/>
              <w:end w:w="180" w:type="dxa"/>
            </w:tcMar>
          </w:tcPr>
          <w:p>
            <w:pPr>
              <w:pStyle w:val="Callout"/>
            </w:pPr>
            <w:r>
              <w:rPr>
                <w:b/>
              </w:rPr>
              <w:t xml:space="preserve">Strategische Regel — </w:t>
            </w:r>
            <w:r>
              <w:t>Keine Wettaffiliate-Erlöse in der Startphase. Sie würden das Informationsversprechen, die Versicherbarkeit und die regulatorische Position unnötig belasten.</w:t>
            </w:r>
          </w:p>
        </w:tc>
      </w:tr>
    </w:tbl>
    <w:p>
      <w:pPr>
        <w:spacing w:after="20"/>
      </w:pPr>
    </w:p>
    <w:p>
      <w:r>
        <w:br w:type="page"/>
      </w:r>
    </w:p>
    <w:p>
      <w:pPr>
        <w:pStyle w:val="Heading1"/>
      </w:pPr>
      <w:r>
        <w:t>10. Marketing-, Vertriebs- und Go-to-Market-Strategie</w:t>
      </w:r>
    </w:p>
    <w:p>
      <w:r>
        <w:t>Der Markteintritt erfolgt Deutschland-first über Founder-led Sales. Die vorhandene Medienresonanz dient als Gesprächsöffner, nicht als Ersatz für einen Kaufgrund. Jeder Pilot braucht einen Sponsor, eine definierte Einbindung, Erfolgsmetriken und einen Preis.</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1474"/>
            <w:shd w:fill="1F5A7A"/>
            <w:vAlign w:val="center"/>
            <w:tcMar>
              <w:top w:w="80" w:type="dxa"/>
              <w:start w:w="100" w:type="dxa"/>
              <w:bottom w:w="80" w:type="dxa"/>
              <w:end w:w="100" w:type="dxa"/>
            </w:tcMar>
          </w:tcPr>
          <w:p>
            <w:pPr>
              <w:spacing w:after="0"/>
              <w:jc w:val="center"/>
            </w:pPr>
            <w:r>
              <w:rPr>
                <w:rFonts w:ascii="Calibri" w:hAnsi="Calibri"/>
                <w:b/>
                <w:color w:val="FFFFFF"/>
                <w:sz w:val="17"/>
              </w:rPr>
              <w:t>Phase</w:t>
            </w:r>
          </w:p>
        </w:tc>
        <w:tc>
          <w:tcPr>
            <w:tcW w:type="dxa" w:w="1927"/>
            <w:shd w:fill="1F5A7A"/>
            <w:vAlign w:val="center"/>
            <w:tcMar>
              <w:top w:w="80" w:type="dxa"/>
              <w:start w:w="100" w:type="dxa"/>
              <w:bottom w:w="80" w:type="dxa"/>
              <w:end w:w="100" w:type="dxa"/>
            </w:tcMar>
          </w:tcPr>
          <w:p>
            <w:pPr>
              <w:spacing w:after="0"/>
              <w:jc w:val="center"/>
            </w:pPr>
            <w:r>
              <w:rPr>
                <w:rFonts w:ascii="Calibri" w:hAnsi="Calibri"/>
                <w:b/>
                <w:color w:val="FFFFFF"/>
                <w:sz w:val="17"/>
              </w:rPr>
              <w:t>Ziel</w:t>
            </w:r>
          </w:p>
        </w:tc>
        <w:tc>
          <w:tcPr>
            <w:tcW w:type="dxa" w:w="4365"/>
            <w:shd w:fill="1F5A7A"/>
            <w:vAlign w:val="center"/>
            <w:tcMar>
              <w:top w:w="80" w:type="dxa"/>
              <w:start w:w="100" w:type="dxa"/>
              <w:bottom w:w="80" w:type="dxa"/>
              <w:end w:w="100" w:type="dxa"/>
            </w:tcMar>
          </w:tcPr>
          <w:p>
            <w:pPr>
              <w:spacing w:after="0"/>
              <w:jc w:val="center"/>
            </w:pPr>
            <w:r>
              <w:rPr>
                <w:rFonts w:ascii="Calibri" w:hAnsi="Calibri"/>
                <w:b/>
                <w:color w:val="FFFFFF"/>
                <w:sz w:val="17"/>
              </w:rPr>
              <w:t>Maßnahmen</w:t>
            </w:r>
          </w:p>
        </w:tc>
        <w:tc>
          <w:tcPr>
            <w:tcW w:type="dxa" w:w="2608"/>
            <w:shd w:fill="1F5A7A"/>
            <w:vAlign w:val="center"/>
            <w:tcMar>
              <w:top w:w="80" w:type="dxa"/>
              <w:start w:w="100" w:type="dxa"/>
              <w:bottom w:w="80" w:type="dxa"/>
              <w:end w:w="100" w:type="dxa"/>
            </w:tcMar>
          </w:tcPr>
          <w:p>
            <w:pPr>
              <w:spacing w:after="0"/>
              <w:jc w:val="center"/>
            </w:pPr>
            <w:r>
              <w:rPr>
                <w:rFonts w:ascii="Calibri" w:hAnsi="Calibri"/>
                <w:b/>
                <w:color w:val="FFFFFF"/>
                <w:sz w:val="17"/>
              </w:rPr>
              <w:t>KPI / Gate</w:t>
            </w:r>
          </w:p>
        </w:tc>
      </w:tr>
      <w:tr>
        <w:trPr>
          <w:cantSplit/>
        </w:trPr>
        <w:tc>
          <w:tcPr>
            <w:tcW w:type="dxa" w:w="1474"/>
            <w:vAlign w:val="center"/>
            <w:tcMar>
              <w:top w:w="80" w:type="dxa"/>
              <w:start w:w="100" w:type="dxa"/>
              <w:bottom w:w="80" w:type="dxa"/>
              <w:end w:w="100" w:type="dxa"/>
            </w:tcMar>
          </w:tcPr>
          <w:p>
            <w:pPr>
              <w:spacing w:after="0"/>
              <w:jc w:val="left"/>
            </w:pPr>
            <w:r>
              <w:rPr>
                <w:rFonts w:ascii="Calibri" w:hAnsi="Calibri"/>
                <w:b/>
                <w:sz w:val="17"/>
              </w:rPr>
              <w:t>0–30 Tage</w:t>
            </w:r>
          </w:p>
        </w:tc>
        <w:tc>
          <w:tcPr>
            <w:tcW w:type="dxa" w:w="1927"/>
            <w:vAlign w:val="center"/>
            <w:tcMar>
              <w:top w:w="80" w:type="dxa"/>
              <w:start w:w="100" w:type="dxa"/>
              <w:bottom w:w="80" w:type="dxa"/>
              <w:end w:w="100" w:type="dxa"/>
            </w:tcMar>
          </w:tcPr>
          <w:p>
            <w:pPr>
              <w:spacing w:after="0"/>
              <w:jc w:val="right"/>
            </w:pPr>
            <w:r>
              <w:rPr>
                <w:rFonts w:ascii="Calibri" w:hAnsi="Calibri"/>
                <w:sz w:val="17"/>
              </w:rPr>
              <w:t>Problem und Angebot schärfen</w:t>
            </w:r>
          </w:p>
        </w:tc>
        <w:tc>
          <w:tcPr>
            <w:tcW w:type="dxa" w:w="4365"/>
            <w:vAlign w:val="center"/>
            <w:tcMar>
              <w:top w:w="80" w:type="dxa"/>
              <w:start w:w="100" w:type="dxa"/>
              <w:bottom w:w="80" w:type="dxa"/>
              <w:end w:w="100" w:type="dxa"/>
            </w:tcMar>
          </w:tcPr>
          <w:p>
            <w:pPr>
              <w:spacing w:after="0"/>
              <w:jc w:val="right"/>
            </w:pPr>
            <w:r>
              <w:rPr>
                <w:rFonts w:ascii="Calibri" w:hAnsi="Calibri"/>
                <w:sz w:val="17"/>
              </w:rPr>
              <w:t>30 Zielaccounts, 15 Interviews, Demo, 4 Widgetdesigns</w:t>
            </w:r>
          </w:p>
        </w:tc>
        <w:tc>
          <w:tcPr>
            <w:tcW w:type="dxa" w:w="2608"/>
            <w:vAlign w:val="center"/>
            <w:tcMar>
              <w:top w:w="80" w:type="dxa"/>
              <w:start w:w="100" w:type="dxa"/>
              <w:bottom w:w="80" w:type="dxa"/>
              <w:end w:w="100" w:type="dxa"/>
            </w:tcMar>
          </w:tcPr>
          <w:p>
            <w:pPr>
              <w:spacing w:after="0"/>
              <w:jc w:val="right"/>
            </w:pPr>
            <w:r>
              <w:rPr>
                <w:rFonts w:ascii="Calibri" w:hAnsi="Calibri"/>
                <w:sz w:val="17"/>
              </w:rPr>
              <w:t>≥5 konkrete Pilotinteressen</w:t>
            </w:r>
          </w:p>
        </w:tc>
      </w:tr>
      <w:tr>
        <w:trPr>
          <w:cantSplit/>
        </w:trPr>
        <w:tc>
          <w:tcPr>
            <w:tcW w:type="dxa" w:w="1474"/>
            <w:vAlign w:val="center"/>
            <w:tcMar>
              <w:top w:w="80" w:type="dxa"/>
              <w:start w:w="100" w:type="dxa"/>
              <w:bottom w:w="80" w:type="dxa"/>
              <w:end w:w="100" w:type="dxa"/>
            </w:tcMar>
            <w:shd w:fill="F3F7F9"/>
          </w:tcPr>
          <w:p>
            <w:pPr>
              <w:spacing w:after="0"/>
              <w:jc w:val="left"/>
            </w:pPr>
            <w:r>
              <w:rPr>
                <w:rFonts w:ascii="Calibri" w:hAnsi="Calibri"/>
                <w:b/>
                <w:sz w:val="17"/>
              </w:rPr>
              <w:t>31–60 Tage</w:t>
            </w:r>
          </w:p>
        </w:tc>
        <w:tc>
          <w:tcPr>
            <w:tcW w:type="dxa" w:w="1927"/>
            <w:vAlign w:val="center"/>
            <w:tcMar>
              <w:top w:w="80" w:type="dxa"/>
              <w:start w:w="100" w:type="dxa"/>
              <w:bottom w:w="80" w:type="dxa"/>
              <w:end w:w="100" w:type="dxa"/>
            </w:tcMar>
            <w:shd w:fill="F3F7F9"/>
          </w:tcPr>
          <w:p>
            <w:pPr>
              <w:spacing w:after="0"/>
              <w:jc w:val="right"/>
            </w:pPr>
            <w:r>
              <w:rPr>
                <w:rFonts w:ascii="Calibri" w:hAnsi="Calibri"/>
                <w:sz w:val="17"/>
              </w:rPr>
              <w:t>Paid Design Partners</w:t>
            </w:r>
          </w:p>
        </w:tc>
        <w:tc>
          <w:tcPr>
            <w:tcW w:type="dxa" w:w="4365"/>
            <w:vAlign w:val="center"/>
            <w:tcMar>
              <w:top w:w="80" w:type="dxa"/>
              <w:start w:w="100" w:type="dxa"/>
              <w:bottom w:w="80" w:type="dxa"/>
              <w:end w:w="100" w:type="dxa"/>
            </w:tcMar>
            <w:shd w:fill="F3F7F9"/>
          </w:tcPr>
          <w:p>
            <w:pPr>
              <w:spacing w:after="0"/>
              <w:jc w:val="right"/>
            </w:pPr>
            <w:r>
              <w:rPr>
                <w:rFonts w:ascii="Calibri" w:hAnsi="Calibri"/>
                <w:sz w:val="17"/>
              </w:rPr>
              <w:t>Individuelle Einbindung, 30-Tage-Test gegen 49–149 €</w:t>
            </w:r>
          </w:p>
        </w:tc>
        <w:tc>
          <w:tcPr>
            <w:tcW w:type="dxa" w:w="2608"/>
            <w:vAlign w:val="center"/>
            <w:tcMar>
              <w:top w:w="80" w:type="dxa"/>
              <w:start w:w="100" w:type="dxa"/>
              <w:bottom w:w="80" w:type="dxa"/>
              <w:end w:w="100" w:type="dxa"/>
            </w:tcMar>
            <w:shd w:fill="F3F7F9"/>
          </w:tcPr>
          <w:p>
            <w:pPr>
              <w:spacing w:after="0"/>
              <w:jc w:val="right"/>
            </w:pPr>
            <w:r>
              <w:rPr>
                <w:rFonts w:ascii="Calibri" w:hAnsi="Calibri"/>
                <w:sz w:val="17"/>
              </w:rPr>
              <w:t>≥3 zahlende Kunden</w:t>
            </w:r>
          </w:p>
        </w:tc>
      </w:tr>
      <w:tr>
        <w:trPr>
          <w:cantSplit/>
        </w:trPr>
        <w:tc>
          <w:tcPr>
            <w:tcW w:type="dxa" w:w="1474"/>
            <w:vAlign w:val="center"/>
            <w:tcMar>
              <w:top w:w="80" w:type="dxa"/>
              <w:start w:w="100" w:type="dxa"/>
              <w:bottom w:w="80" w:type="dxa"/>
              <w:end w:w="100" w:type="dxa"/>
            </w:tcMar>
          </w:tcPr>
          <w:p>
            <w:pPr>
              <w:spacing w:after="0"/>
              <w:jc w:val="left"/>
            </w:pPr>
            <w:r>
              <w:rPr>
                <w:rFonts w:ascii="Calibri" w:hAnsi="Calibri"/>
                <w:b/>
                <w:sz w:val="17"/>
              </w:rPr>
              <w:t>61–90 Tage</w:t>
            </w:r>
          </w:p>
        </w:tc>
        <w:tc>
          <w:tcPr>
            <w:tcW w:type="dxa" w:w="1927"/>
            <w:vAlign w:val="center"/>
            <w:tcMar>
              <w:top w:w="80" w:type="dxa"/>
              <w:start w:w="100" w:type="dxa"/>
              <w:bottom w:w="80" w:type="dxa"/>
              <w:end w:w="100" w:type="dxa"/>
            </w:tcMar>
          </w:tcPr>
          <w:p>
            <w:pPr>
              <w:spacing w:after="0"/>
              <w:jc w:val="right"/>
            </w:pPr>
            <w:r>
              <w:rPr>
                <w:rFonts w:ascii="Calibri" w:hAnsi="Calibri"/>
                <w:sz w:val="17"/>
              </w:rPr>
              <w:t>Wiederholbarkeit</w:t>
            </w:r>
          </w:p>
        </w:tc>
        <w:tc>
          <w:tcPr>
            <w:tcW w:type="dxa" w:w="4365"/>
            <w:vAlign w:val="center"/>
            <w:tcMar>
              <w:top w:w="80" w:type="dxa"/>
              <w:start w:w="100" w:type="dxa"/>
              <w:bottom w:w="80" w:type="dxa"/>
              <w:end w:w="100" w:type="dxa"/>
            </w:tcMar>
          </w:tcPr>
          <w:p>
            <w:pPr>
              <w:spacing w:after="0"/>
              <w:jc w:val="right"/>
            </w:pPr>
            <w:r>
              <w:rPr>
                <w:rFonts w:ascii="Calibri" w:hAnsi="Calibri"/>
                <w:sz w:val="17"/>
              </w:rPr>
              <w:t>Case Study, Referral, standardisiertes Onboarding</w:t>
            </w:r>
          </w:p>
        </w:tc>
        <w:tc>
          <w:tcPr>
            <w:tcW w:type="dxa" w:w="2608"/>
            <w:vAlign w:val="center"/>
            <w:tcMar>
              <w:top w:w="80" w:type="dxa"/>
              <w:start w:w="100" w:type="dxa"/>
              <w:bottom w:w="80" w:type="dxa"/>
              <w:end w:w="100" w:type="dxa"/>
            </w:tcMar>
          </w:tcPr>
          <w:p>
            <w:pPr>
              <w:spacing w:after="0"/>
              <w:jc w:val="right"/>
            </w:pPr>
            <w:r>
              <w:rPr>
                <w:rFonts w:ascii="Calibri" w:hAnsi="Calibri"/>
                <w:sz w:val="17"/>
              </w:rPr>
              <w:t>≥5 zahlende Kunden; &lt;8 h Onboarding</w:t>
            </w:r>
          </w:p>
        </w:tc>
      </w:tr>
      <w:tr>
        <w:trPr>
          <w:cantSplit/>
        </w:trPr>
        <w:tc>
          <w:tcPr>
            <w:tcW w:type="dxa" w:w="1474"/>
            <w:vAlign w:val="center"/>
            <w:tcMar>
              <w:top w:w="80" w:type="dxa"/>
              <w:start w:w="100" w:type="dxa"/>
              <w:bottom w:w="80" w:type="dxa"/>
              <w:end w:w="100" w:type="dxa"/>
            </w:tcMar>
            <w:shd w:fill="F3F7F9"/>
          </w:tcPr>
          <w:p>
            <w:pPr>
              <w:spacing w:after="0"/>
              <w:jc w:val="left"/>
            </w:pPr>
            <w:r>
              <w:rPr>
                <w:rFonts w:ascii="Calibri" w:hAnsi="Calibri"/>
                <w:b/>
                <w:sz w:val="17"/>
              </w:rPr>
              <w:t>Monat 4–12</w:t>
            </w:r>
          </w:p>
        </w:tc>
        <w:tc>
          <w:tcPr>
            <w:tcW w:type="dxa" w:w="1927"/>
            <w:vAlign w:val="center"/>
            <w:tcMar>
              <w:top w:w="80" w:type="dxa"/>
              <w:start w:w="100" w:type="dxa"/>
              <w:bottom w:w="80" w:type="dxa"/>
              <w:end w:w="100" w:type="dxa"/>
            </w:tcMar>
            <w:shd w:fill="F3F7F9"/>
          </w:tcPr>
          <w:p>
            <w:pPr>
              <w:spacing w:after="0"/>
              <w:jc w:val="right"/>
            </w:pPr>
            <w:r>
              <w:rPr>
                <w:rFonts w:ascii="Calibri" w:hAnsi="Calibri"/>
                <w:sz w:val="17"/>
              </w:rPr>
              <w:t>Skalieren</w:t>
            </w:r>
          </w:p>
        </w:tc>
        <w:tc>
          <w:tcPr>
            <w:tcW w:type="dxa" w:w="4365"/>
            <w:vAlign w:val="center"/>
            <w:tcMar>
              <w:top w:w="80" w:type="dxa"/>
              <w:start w:w="100" w:type="dxa"/>
              <w:bottom w:w="80" w:type="dxa"/>
              <w:end w:w="100" w:type="dxa"/>
            </w:tcMar>
            <w:shd w:fill="F3F7F9"/>
          </w:tcPr>
          <w:p>
            <w:pPr>
              <w:spacing w:after="0"/>
              <w:jc w:val="right"/>
            </w:pPr>
            <w:r>
              <w:rPr>
                <w:rFonts w:ascii="Calibri" w:hAnsi="Calibri"/>
                <w:sz w:val="17"/>
              </w:rPr>
              <w:t>100–150 qualifizierte Kontakte/Monat, Branchenpartnerschaften</w:t>
            </w:r>
          </w:p>
        </w:tc>
        <w:tc>
          <w:tcPr>
            <w:tcW w:type="dxa" w:w="2608"/>
            <w:vAlign w:val="center"/>
            <w:tcMar>
              <w:top w:w="80" w:type="dxa"/>
              <w:start w:w="100" w:type="dxa"/>
              <w:bottom w:w="80" w:type="dxa"/>
              <w:end w:w="100" w:type="dxa"/>
            </w:tcMar>
            <w:shd w:fill="F3F7F9"/>
          </w:tcPr>
          <w:p>
            <w:pPr>
              <w:spacing w:after="0"/>
              <w:jc w:val="right"/>
            </w:pPr>
            <w:r>
              <w:rPr>
                <w:rFonts w:ascii="Calibri" w:hAnsi="Calibri"/>
                <w:sz w:val="17"/>
              </w:rPr>
              <w:t>15 Kunden; Pipeline-Coverage ≥3×</w:t>
            </w:r>
          </w:p>
        </w:tc>
      </w:tr>
    </w:tbl>
    <w:p>
      <w:pPr>
        <w:spacing w:after="20"/>
      </w:pPr>
    </w:p>
    <w:p>
      <w:r>
        <w:t>Outreach-Agenten dürfen Recherche, Personalisierung und Monitoring unterstützen. Vor automatischem Versand sind DSGVO/UWG, Datenherkunft, Opt-out, Frequenz und menschliche Freigabe zu prüfen. Erfolgsmetriken: Zustellrate, positive Antwortquote, Terminquote, Pilotquote, Abschlussquote, Cash-CAC und Zeit-CAC.</w:t>
      </w:r>
    </w:p>
    <w:p>
      <w:pPr>
        <w:pStyle w:val="ListBullet"/>
      </w:pPr>
      <w:r>
        <w:t>Content: wöchentlicher transparenter Forecast-Scorecard-Artikel statt selektiver Trefferkommunikation.</w:t>
      </w:r>
    </w:p>
    <w:p>
      <w:pPr>
        <w:pStyle w:val="ListBullet"/>
      </w:pPr>
      <w:r>
        <w:t>PR: wissenschaftliche Methodik und Messbarkeit; keine Superlative ohne Benchmark.</w:t>
      </w:r>
    </w:p>
    <w:p>
      <w:pPr>
        <w:pStyle w:val="ListBullet"/>
      </w:pPr>
      <w:r>
        <w:t>Sales: sportliches Ereigniskalender-Playbook 8–12 Wochen vor Turnieren/Saisonstarts.</w:t>
      </w:r>
    </w:p>
    <w:p>
      <w:pPr>
        <w:pStyle w:val="ListBullet"/>
      </w:pPr>
      <w:r>
        <w:t>Retention: monatlicher Publisher-Report mit Impressions, CTR/Engagement, Ladezeit und Nutzung pro Widget.</w:t>
      </w:r>
    </w:p>
    <w:p>
      <w:r>
        <w:br w:type="page"/>
      </w:r>
    </w:p>
    <w:p>
      <w:pPr>
        <w:pStyle w:val="Heading1"/>
      </w:pPr>
      <w:r>
        <w:t>11. Produktentwicklung, Technologie und geistiges Eigentum</w:t>
      </w:r>
    </w:p>
    <w:p>
      <w:r>
        <w:t>Die bestehende Codebasis umfasst Webanwendung, API, Worker, Datenbank, Widget-Konfiguration, Billing-/Kundenportal, Analytics sowie Ansätze für Outreach und Monitoring. Vor Marktstart sind Produktreife und Nachweisführung wichtiger als weitere Featurebreite.</w:t>
      </w:r>
    </w:p>
    <w:tbl>
      <w:tblPr>
        <w:tblStyle w:val="TableGrid"/>
        <w:tblW w:type="auto" w:w="0"/>
        <w:jc w:val="center"/>
        <w:tblLayout w:type="fixed"/>
        <w:tblLook w:firstColumn="1" w:firstRow="1" w:lastColumn="0" w:lastRow="0" w:noHBand="0" w:noVBand="1" w:val="04A0"/>
      </w:tblPr>
      <w:tblGrid>
        <w:gridCol w:w="3283"/>
        <w:gridCol w:w="3283"/>
        <w:gridCol w:w="3283"/>
      </w:tblGrid>
      <w:tr>
        <w:trPr>
          <w:tblHeader w:val="true"/>
        </w:trPr>
        <w:tc>
          <w:tcPr>
            <w:tcW w:type="dxa" w:w="1247"/>
            <w:shd w:fill="1F5A7A"/>
            <w:vAlign w:val="center"/>
            <w:tcMar>
              <w:top w:w="80" w:type="dxa"/>
              <w:start w:w="100" w:type="dxa"/>
              <w:bottom w:w="80" w:type="dxa"/>
              <w:end w:w="100" w:type="dxa"/>
            </w:tcMar>
          </w:tcPr>
          <w:p>
            <w:pPr>
              <w:spacing w:after="0"/>
              <w:jc w:val="center"/>
            </w:pPr>
            <w:r>
              <w:rPr>
                <w:rFonts w:ascii="Calibri" w:hAnsi="Calibri"/>
                <w:b/>
                <w:color w:val="FFFFFF"/>
                <w:sz w:val="17"/>
              </w:rPr>
              <w:t>Priorität</w:t>
            </w:r>
          </w:p>
        </w:tc>
        <w:tc>
          <w:tcPr>
            <w:tcW w:type="dxa" w:w="5103"/>
            <w:shd w:fill="1F5A7A"/>
            <w:vAlign w:val="center"/>
            <w:tcMar>
              <w:top w:w="80" w:type="dxa"/>
              <w:start w:w="100" w:type="dxa"/>
              <w:bottom w:w="80" w:type="dxa"/>
              <w:end w:w="100" w:type="dxa"/>
            </w:tcMar>
          </w:tcPr>
          <w:p>
            <w:pPr>
              <w:spacing w:after="0"/>
              <w:jc w:val="center"/>
            </w:pPr>
            <w:r>
              <w:rPr>
                <w:rFonts w:ascii="Calibri" w:hAnsi="Calibri"/>
                <w:b/>
                <w:color w:val="FFFFFF"/>
                <w:sz w:val="17"/>
              </w:rPr>
              <w:t>Produkt-/Technikarbeit</w:t>
            </w:r>
          </w:p>
        </w:tc>
        <w:tc>
          <w:tcPr>
            <w:tcW w:type="dxa" w:w="4025"/>
            <w:shd w:fill="1F5A7A"/>
            <w:vAlign w:val="center"/>
            <w:tcMar>
              <w:top w:w="80" w:type="dxa"/>
              <w:start w:w="100" w:type="dxa"/>
              <w:bottom w:w="80" w:type="dxa"/>
              <w:end w:w="100" w:type="dxa"/>
            </w:tcMar>
          </w:tcPr>
          <w:p>
            <w:pPr>
              <w:spacing w:after="0"/>
              <w:jc w:val="center"/>
            </w:pPr>
            <w:r>
              <w:rPr>
                <w:rFonts w:ascii="Calibri" w:hAnsi="Calibri"/>
                <w:b/>
                <w:color w:val="FFFFFF"/>
                <w:sz w:val="17"/>
              </w:rPr>
              <w:t>Abnahmekriterium</w:t>
            </w:r>
          </w:p>
        </w:tc>
      </w:tr>
      <w:tr>
        <w:trPr>
          <w:cantSplit/>
        </w:trPr>
        <w:tc>
          <w:tcPr>
            <w:tcW w:type="dxa" w:w="1247"/>
            <w:vAlign w:val="center"/>
            <w:tcMar>
              <w:top w:w="80" w:type="dxa"/>
              <w:start w:w="100" w:type="dxa"/>
              <w:bottom w:w="80" w:type="dxa"/>
              <w:end w:w="100" w:type="dxa"/>
            </w:tcMar>
          </w:tcPr>
          <w:p>
            <w:pPr>
              <w:spacing w:after="0"/>
              <w:jc w:val="left"/>
            </w:pPr>
            <w:r>
              <w:rPr>
                <w:rFonts w:ascii="Calibri" w:hAnsi="Calibri"/>
                <w:b/>
                <w:sz w:val="17"/>
              </w:rPr>
              <w:t>P0</w:t>
            </w:r>
          </w:p>
        </w:tc>
        <w:tc>
          <w:tcPr>
            <w:tcW w:type="dxa" w:w="5103"/>
            <w:vAlign w:val="center"/>
            <w:tcMar>
              <w:top w:w="80" w:type="dxa"/>
              <w:start w:w="100" w:type="dxa"/>
              <w:bottom w:w="80" w:type="dxa"/>
              <w:end w:w="100" w:type="dxa"/>
            </w:tcMar>
          </w:tcPr>
          <w:p>
            <w:pPr>
              <w:spacing w:after="0"/>
              <w:jc w:val="right"/>
            </w:pPr>
            <w:r>
              <w:rPr>
                <w:rFonts w:ascii="Calibri" w:hAnsi="Calibri"/>
                <w:sz w:val="17"/>
              </w:rPr>
              <w:t>Name/Domain, vier Widgetdesigns, Prognoseinhalte, Prompt-/Modellversionierung</w:t>
            </w:r>
          </w:p>
        </w:tc>
        <w:tc>
          <w:tcPr>
            <w:tcW w:type="dxa" w:w="4025"/>
            <w:vAlign w:val="center"/>
            <w:tcMar>
              <w:top w:w="80" w:type="dxa"/>
              <w:start w:w="100" w:type="dxa"/>
              <w:bottom w:w="80" w:type="dxa"/>
              <w:end w:w="100" w:type="dxa"/>
            </w:tcMar>
          </w:tcPr>
          <w:p>
            <w:pPr>
              <w:spacing w:after="0"/>
              <w:jc w:val="right"/>
            </w:pPr>
            <w:r>
              <w:rPr>
                <w:rFonts w:ascii="Calibri" w:hAnsi="Calibri"/>
                <w:sz w:val="17"/>
              </w:rPr>
              <w:t>Produktionsdemo auf 3 Testdomains</w:t>
            </w:r>
          </w:p>
        </w:tc>
      </w:tr>
      <w:tr>
        <w:trPr>
          <w:cantSplit/>
        </w:trPr>
        <w:tc>
          <w:tcPr>
            <w:tcW w:type="dxa" w:w="1247"/>
            <w:vAlign w:val="center"/>
            <w:tcMar>
              <w:top w:w="80" w:type="dxa"/>
              <w:start w:w="100" w:type="dxa"/>
              <w:bottom w:w="80" w:type="dxa"/>
              <w:end w:w="100" w:type="dxa"/>
            </w:tcMar>
            <w:shd w:fill="F3F7F9"/>
          </w:tcPr>
          <w:p>
            <w:pPr>
              <w:spacing w:after="0"/>
              <w:jc w:val="left"/>
            </w:pPr>
            <w:r>
              <w:rPr>
                <w:rFonts w:ascii="Calibri" w:hAnsi="Calibri"/>
                <w:b/>
                <w:sz w:val="17"/>
              </w:rPr>
              <w:t>P0</w:t>
            </w:r>
          </w:p>
        </w:tc>
        <w:tc>
          <w:tcPr>
            <w:tcW w:type="dxa" w:w="5103"/>
            <w:vAlign w:val="center"/>
            <w:tcMar>
              <w:top w:w="80" w:type="dxa"/>
              <w:start w:w="100" w:type="dxa"/>
              <w:bottom w:w="80" w:type="dxa"/>
              <w:end w:w="100" w:type="dxa"/>
            </w:tcMar>
            <w:shd w:fill="F3F7F9"/>
          </w:tcPr>
          <w:p>
            <w:pPr>
              <w:spacing w:after="0"/>
              <w:jc w:val="right"/>
            </w:pPr>
            <w:r>
              <w:rPr>
                <w:rFonts w:ascii="Calibri" w:hAnsi="Calibri"/>
                <w:sz w:val="17"/>
              </w:rPr>
              <w:t>Monitoring, Caching, Fehlerzustände, Rollback, Datenstand</w:t>
            </w:r>
          </w:p>
        </w:tc>
        <w:tc>
          <w:tcPr>
            <w:tcW w:type="dxa" w:w="4025"/>
            <w:vAlign w:val="center"/>
            <w:tcMar>
              <w:top w:w="80" w:type="dxa"/>
              <w:start w:w="100" w:type="dxa"/>
              <w:bottom w:w="80" w:type="dxa"/>
              <w:end w:w="100" w:type="dxa"/>
            </w:tcMar>
            <w:shd w:fill="F3F7F9"/>
          </w:tcPr>
          <w:p>
            <w:pPr>
              <w:spacing w:after="0"/>
              <w:jc w:val="right"/>
            </w:pPr>
            <w:r>
              <w:rPr>
                <w:rFonts w:ascii="Calibri" w:hAnsi="Calibri"/>
                <w:sz w:val="17"/>
              </w:rPr>
              <w:t>Alarmierung + dokumentierter Incident-Prozess</w:t>
            </w:r>
          </w:p>
        </w:tc>
      </w:tr>
      <w:tr>
        <w:trPr>
          <w:cantSplit/>
        </w:trPr>
        <w:tc>
          <w:tcPr>
            <w:tcW w:type="dxa" w:w="1247"/>
            <w:vAlign w:val="center"/>
            <w:tcMar>
              <w:top w:w="80" w:type="dxa"/>
              <w:start w:w="100" w:type="dxa"/>
              <w:bottom w:w="80" w:type="dxa"/>
              <w:end w:w="100" w:type="dxa"/>
            </w:tcMar>
          </w:tcPr>
          <w:p>
            <w:pPr>
              <w:spacing w:after="0"/>
              <w:jc w:val="left"/>
            </w:pPr>
            <w:r>
              <w:rPr>
                <w:rFonts w:ascii="Calibri" w:hAnsi="Calibri"/>
                <w:b/>
                <w:sz w:val="17"/>
              </w:rPr>
              <w:t>P0</w:t>
            </w:r>
          </w:p>
        </w:tc>
        <w:tc>
          <w:tcPr>
            <w:tcW w:type="dxa" w:w="5103"/>
            <w:vAlign w:val="center"/>
            <w:tcMar>
              <w:top w:w="80" w:type="dxa"/>
              <w:start w:w="100" w:type="dxa"/>
              <w:bottom w:w="80" w:type="dxa"/>
              <w:end w:w="100" w:type="dxa"/>
            </w:tcMar>
          </w:tcPr>
          <w:p>
            <w:pPr>
              <w:spacing w:after="0"/>
              <w:jc w:val="right"/>
            </w:pPr>
            <w:r>
              <w:rPr>
                <w:rFonts w:ascii="Calibri" w:hAnsi="Calibri"/>
                <w:sz w:val="17"/>
              </w:rPr>
              <w:t>Timestamped Forecast Ledger und Ergebnisimport</w:t>
            </w:r>
          </w:p>
        </w:tc>
        <w:tc>
          <w:tcPr>
            <w:tcW w:type="dxa" w:w="4025"/>
            <w:vAlign w:val="center"/>
            <w:tcMar>
              <w:top w:w="80" w:type="dxa"/>
              <w:start w:w="100" w:type="dxa"/>
              <w:bottom w:w="80" w:type="dxa"/>
              <w:end w:w="100" w:type="dxa"/>
            </w:tcMar>
          </w:tcPr>
          <w:p>
            <w:pPr>
              <w:spacing w:after="0"/>
              <w:jc w:val="right"/>
            </w:pPr>
            <w:r>
              <w:rPr>
                <w:rFonts w:ascii="Calibri" w:hAnsi="Calibri"/>
                <w:sz w:val="17"/>
              </w:rPr>
              <w:t>Kein rückwirkendes Überschreiben; reproduzierbare Scorecard</w:t>
            </w:r>
          </w:p>
        </w:tc>
      </w:tr>
      <w:tr>
        <w:trPr>
          <w:cantSplit/>
        </w:trPr>
        <w:tc>
          <w:tcPr>
            <w:tcW w:type="dxa" w:w="1247"/>
            <w:vAlign w:val="center"/>
            <w:tcMar>
              <w:top w:w="80" w:type="dxa"/>
              <w:start w:w="100" w:type="dxa"/>
              <w:bottom w:w="80" w:type="dxa"/>
              <w:end w:w="100" w:type="dxa"/>
            </w:tcMar>
            <w:shd w:fill="F3F7F9"/>
          </w:tcPr>
          <w:p>
            <w:pPr>
              <w:spacing w:after="0"/>
              <w:jc w:val="left"/>
            </w:pPr>
            <w:r>
              <w:rPr>
                <w:rFonts w:ascii="Calibri" w:hAnsi="Calibri"/>
                <w:b/>
                <w:sz w:val="17"/>
              </w:rPr>
              <w:t>P1</w:t>
            </w:r>
          </w:p>
        </w:tc>
        <w:tc>
          <w:tcPr>
            <w:tcW w:type="dxa" w:w="5103"/>
            <w:vAlign w:val="center"/>
            <w:tcMar>
              <w:top w:w="80" w:type="dxa"/>
              <w:start w:w="100" w:type="dxa"/>
              <w:bottom w:w="80" w:type="dxa"/>
              <w:end w:w="100" w:type="dxa"/>
            </w:tcMar>
            <w:shd w:fill="F3F7F9"/>
          </w:tcPr>
          <w:p>
            <w:pPr>
              <w:spacing w:after="0"/>
              <w:jc w:val="right"/>
            </w:pPr>
            <w:r>
              <w:rPr>
                <w:rFonts w:ascii="Calibri" w:hAnsi="Calibri"/>
                <w:sz w:val="17"/>
              </w:rPr>
              <w:t>Publisher Analytics und Self-Service Branding</w:t>
            </w:r>
          </w:p>
        </w:tc>
        <w:tc>
          <w:tcPr>
            <w:tcW w:type="dxa" w:w="4025"/>
            <w:vAlign w:val="center"/>
            <w:tcMar>
              <w:top w:w="80" w:type="dxa"/>
              <w:start w:w="100" w:type="dxa"/>
              <w:bottom w:w="80" w:type="dxa"/>
              <w:end w:w="100" w:type="dxa"/>
            </w:tcMar>
            <w:shd w:fill="F3F7F9"/>
          </w:tcPr>
          <w:p>
            <w:pPr>
              <w:spacing w:after="0"/>
              <w:jc w:val="right"/>
            </w:pPr>
            <w:r>
              <w:rPr>
                <w:rFonts w:ascii="Calibri" w:hAnsi="Calibri"/>
                <w:sz w:val="17"/>
              </w:rPr>
              <w:t>Monatlicher Nutzungsreport</w:t>
            </w:r>
          </w:p>
        </w:tc>
      </w:tr>
      <w:tr>
        <w:trPr>
          <w:cantSplit/>
        </w:trPr>
        <w:tc>
          <w:tcPr>
            <w:tcW w:type="dxa" w:w="1247"/>
            <w:vAlign w:val="center"/>
            <w:tcMar>
              <w:top w:w="80" w:type="dxa"/>
              <w:start w:w="100" w:type="dxa"/>
              <w:bottom w:w="80" w:type="dxa"/>
              <w:end w:w="100" w:type="dxa"/>
            </w:tcMar>
          </w:tcPr>
          <w:p>
            <w:pPr>
              <w:spacing w:after="0"/>
              <w:jc w:val="left"/>
            </w:pPr>
            <w:r>
              <w:rPr>
                <w:rFonts w:ascii="Calibri" w:hAnsi="Calibri"/>
                <w:b/>
                <w:sz w:val="17"/>
              </w:rPr>
              <w:t>P1</w:t>
            </w:r>
          </w:p>
        </w:tc>
        <w:tc>
          <w:tcPr>
            <w:tcW w:type="dxa" w:w="5103"/>
            <w:vAlign w:val="center"/>
            <w:tcMar>
              <w:top w:w="80" w:type="dxa"/>
              <w:start w:w="100" w:type="dxa"/>
              <w:bottom w:w="80" w:type="dxa"/>
              <w:end w:w="100" w:type="dxa"/>
            </w:tcMar>
          </w:tcPr>
          <w:p>
            <w:pPr>
              <w:spacing w:after="0"/>
              <w:jc w:val="right"/>
            </w:pPr>
            <w:r>
              <w:rPr>
                <w:rFonts w:ascii="Calibri" w:hAnsi="Calibri"/>
                <w:sz w:val="17"/>
              </w:rPr>
              <w:t>Tennis/NFL/NBA</w:t>
            </w:r>
          </w:p>
        </w:tc>
        <w:tc>
          <w:tcPr>
            <w:tcW w:type="dxa" w:w="4025"/>
            <w:vAlign w:val="center"/>
            <w:tcMar>
              <w:top w:w="80" w:type="dxa"/>
              <w:start w:w="100" w:type="dxa"/>
              <w:bottom w:w="80" w:type="dxa"/>
              <w:end w:w="100" w:type="dxa"/>
            </w:tcMar>
          </w:tcPr>
          <w:p>
            <w:pPr>
              <w:spacing w:after="0"/>
              <w:jc w:val="right"/>
            </w:pPr>
            <w:r>
              <w:rPr>
                <w:rFonts w:ascii="Calibri" w:hAnsi="Calibri"/>
                <w:sz w:val="17"/>
              </w:rPr>
              <w:t>Nur nach 2+ zahlenden Kundenanforderungen je Sport</w:t>
            </w:r>
          </w:p>
        </w:tc>
      </w:tr>
    </w:tbl>
    <w:p>
      <w:pPr>
        <w:spacing w:after="20"/>
      </w:pPr>
    </w:p>
    <w:p>
      <w:r>
        <w:t>IP-Gate: Vor Gründung müssen beide Gründer dokumentieren, wann und unter welchen Arbeits-/Forschungsbedingungen Code, Modelle, Prompts, Datensätze und Paper entstanden. Mit der LMU-Transferstelle sind Erfindungsmeldung, Softwareurheberrecht, Nebentätigkeit, Forschungsdaten und mögliche Beteiligungsansprüche zu klären. [Q18]</w:t>
      </w:r>
    </w:p>
    <w:p>
      <w:r>
        <w:t>Daten-/Logo-Gate: Auch wenn Teamlogos nur zur Identifikation dienen, können Urheber-, Marken- und Datenbankrechte betroffen sein. Für TheSportsDB und jede weitere API ist eine schriftlich archivierte kommerzielle Lizenzprüfung erforderlich. Fehlt sie, sind neutrale Text-/Abkürzungsdarstellungen und lizenzierte Ersatzassets zu verwenden.</w:t>
      </w:r>
    </w:p>
    <w:p>
      <w:r>
        <w:br w:type="page"/>
      </w:r>
    </w:p>
    <w:p>
      <w:pPr>
        <w:pStyle w:val="Heading1"/>
      </w:pPr>
      <w:r>
        <w:t>12. Operativer Plan, Prozesse und benötigte Ressourcen</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7"/>
              </w:rPr>
              <w:t>Prozess</w:t>
            </w:r>
          </w:p>
        </w:tc>
        <w:tc>
          <w:tcPr>
            <w:tcW w:type="dxa" w:w="1927"/>
            <w:shd w:fill="1F5A7A"/>
            <w:vAlign w:val="center"/>
            <w:tcMar>
              <w:top w:w="80" w:type="dxa"/>
              <w:start w:w="100" w:type="dxa"/>
              <w:bottom w:w="80" w:type="dxa"/>
              <w:end w:w="100" w:type="dxa"/>
            </w:tcMar>
          </w:tcPr>
          <w:p>
            <w:pPr>
              <w:spacing w:after="0"/>
              <w:jc w:val="center"/>
            </w:pPr>
            <w:r>
              <w:rPr>
                <w:rFonts w:ascii="Calibri" w:hAnsi="Calibri"/>
                <w:b/>
                <w:color w:val="FFFFFF"/>
                <w:sz w:val="17"/>
              </w:rPr>
              <w:t>Owner</w:t>
            </w:r>
          </w:p>
        </w:tc>
        <w:tc>
          <w:tcPr>
            <w:tcW w:type="dxa" w:w="1927"/>
            <w:shd w:fill="1F5A7A"/>
            <w:vAlign w:val="center"/>
            <w:tcMar>
              <w:top w:w="80" w:type="dxa"/>
              <w:start w:w="100" w:type="dxa"/>
              <w:bottom w:w="80" w:type="dxa"/>
              <w:end w:w="100" w:type="dxa"/>
            </w:tcMar>
          </w:tcPr>
          <w:p>
            <w:pPr>
              <w:spacing w:after="0"/>
              <w:jc w:val="center"/>
            </w:pPr>
            <w:r>
              <w:rPr>
                <w:rFonts w:ascii="Calibri" w:hAnsi="Calibri"/>
                <w:b/>
                <w:color w:val="FFFFFF"/>
                <w:sz w:val="17"/>
              </w:rPr>
              <w:t>Rhythmus</w:t>
            </w:r>
          </w:p>
        </w:tc>
        <w:tc>
          <w:tcPr>
            <w:tcW w:type="dxa" w:w="4195"/>
            <w:shd w:fill="1F5A7A"/>
            <w:vAlign w:val="center"/>
            <w:tcMar>
              <w:top w:w="80" w:type="dxa"/>
              <w:start w:w="100" w:type="dxa"/>
              <w:bottom w:w="80" w:type="dxa"/>
              <w:end w:w="100" w:type="dxa"/>
            </w:tcMar>
          </w:tcPr>
          <w:p>
            <w:pPr>
              <w:spacing w:after="0"/>
              <w:jc w:val="center"/>
            </w:pPr>
            <w:r>
              <w:rPr>
                <w:rFonts w:ascii="Calibri" w:hAnsi="Calibri"/>
                <w:b/>
                <w:color w:val="FFFFFF"/>
                <w:sz w:val="17"/>
              </w:rPr>
              <w:t>Kontrolle</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7"/>
              </w:rPr>
              <w:t>Datenimport &amp; Prognosen</w:t>
            </w:r>
          </w:p>
        </w:tc>
        <w:tc>
          <w:tcPr>
            <w:tcW w:type="dxa" w:w="1927"/>
            <w:vAlign w:val="center"/>
            <w:tcMar>
              <w:top w:w="80" w:type="dxa"/>
              <w:start w:w="100" w:type="dxa"/>
              <w:bottom w:w="80" w:type="dxa"/>
              <w:end w:w="100" w:type="dxa"/>
            </w:tcMar>
          </w:tcPr>
          <w:p>
            <w:pPr>
              <w:spacing w:after="0"/>
              <w:jc w:val="right"/>
            </w:pPr>
            <w:r>
              <w:rPr>
                <w:rFonts w:ascii="Calibri" w:hAnsi="Calibri"/>
                <w:sz w:val="17"/>
              </w:rPr>
              <w:t>Founder Tech</w:t>
            </w:r>
          </w:p>
        </w:tc>
        <w:tc>
          <w:tcPr>
            <w:tcW w:type="dxa" w:w="1927"/>
            <w:vAlign w:val="center"/>
            <w:tcMar>
              <w:top w:w="80" w:type="dxa"/>
              <w:start w:w="100" w:type="dxa"/>
              <w:bottom w:w="80" w:type="dxa"/>
              <w:end w:w="100" w:type="dxa"/>
            </w:tcMar>
          </w:tcPr>
          <w:p>
            <w:pPr>
              <w:spacing w:after="0"/>
              <w:jc w:val="right"/>
            </w:pPr>
            <w:r>
              <w:rPr>
                <w:rFonts w:ascii="Calibri" w:hAnsi="Calibri"/>
                <w:sz w:val="17"/>
              </w:rPr>
              <w:t>ereignisabhängig/täglich</w:t>
            </w:r>
          </w:p>
        </w:tc>
        <w:tc>
          <w:tcPr>
            <w:tcW w:type="dxa" w:w="4195"/>
            <w:vAlign w:val="center"/>
            <w:tcMar>
              <w:top w:w="80" w:type="dxa"/>
              <w:start w:w="100" w:type="dxa"/>
              <w:bottom w:w="80" w:type="dxa"/>
              <w:end w:w="100" w:type="dxa"/>
            </w:tcMar>
          </w:tcPr>
          <w:p>
            <w:pPr>
              <w:spacing w:after="0"/>
              <w:jc w:val="right"/>
            </w:pPr>
            <w:r>
              <w:rPr>
                <w:rFonts w:ascii="Calibri" w:hAnsi="Calibri"/>
                <w:sz w:val="17"/>
              </w:rPr>
              <w:t>Freshness, Vollständigkeit, Drift</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7"/>
              </w:rPr>
              <w:t>Editorial QA</w:t>
            </w:r>
          </w:p>
        </w:tc>
        <w:tc>
          <w:tcPr>
            <w:tcW w:type="dxa" w:w="1927"/>
            <w:vAlign w:val="center"/>
            <w:tcMar>
              <w:top w:w="80" w:type="dxa"/>
              <w:start w:w="100" w:type="dxa"/>
              <w:bottom w:w="80" w:type="dxa"/>
              <w:end w:w="100" w:type="dxa"/>
            </w:tcMar>
            <w:shd w:fill="F3F7F9"/>
          </w:tcPr>
          <w:p>
            <w:pPr>
              <w:spacing w:after="0"/>
              <w:jc w:val="right"/>
            </w:pPr>
            <w:r>
              <w:rPr>
                <w:rFonts w:ascii="Calibri" w:hAnsi="Calibri"/>
                <w:sz w:val="17"/>
              </w:rPr>
              <w:t>wechselnd</w:t>
            </w:r>
          </w:p>
        </w:tc>
        <w:tc>
          <w:tcPr>
            <w:tcW w:type="dxa" w:w="1927"/>
            <w:vAlign w:val="center"/>
            <w:tcMar>
              <w:top w:w="80" w:type="dxa"/>
              <w:start w:w="100" w:type="dxa"/>
              <w:bottom w:w="80" w:type="dxa"/>
              <w:end w:w="100" w:type="dxa"/>
            </w:tcMar>
            <w:shd w:fill="F3F7F9"/>
          </w:tcPr>
          <w:p>
            <w:pPr>
              <w:spacing w:after="0"/>
              <w:jc w:val="right"/>
            </w:pPr>
            <w:r>
              <w:rPr>
                <w:rFonts w:ascii="Calibri" w:hAnsi="Calibri"/>
                <w:sz w:val="17"/>
              </w:rPr>
              <w:t>vor Veröffentlichung</w:t>
            </w:r>
          </w:p>
        </w:tc>
        <w:tc>
          <w:tcPr>
            <w:tcW w:type="dxa" w:w="4195"/>
            <w:vAlign w:val="center"/>
            <w:tcMar>
              <w:top w:w="80" w:type="dxa"/>
              <w:start w:w="100" w:type="dxa"/>
              <w:bottom w:w="80" w:type="dxa"/>
              <w:end w:w="100" w:type="dxa"/>
            </w:tcMar>
            <w:shd w:fill="F3F7F9"/>
          </w:tcPr>
          <w:p>
            <w:pPr>
              <w:spacing w:after="0"/>
              <w:jc w:val="right"/>
            </w:pPr>
            <w:r>
              <w:rPr>
                <w:rFonts w:ascii="Calibri" w:hAnsi="Calibri"/>
                <w:sz w:val="17"/>
              </w:rPr>
              <w:t>Unsicherheit, Quellen, unzulässige Aussagen</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7"/>
              </w:rPr>
              <w:t>Widgetbetrieb</w:t>
            </w:r>
          </w:p>
        </w:tc>
        <w:tc>
          <w:tcPr>
            <w:tcW w:type="dxa" w:w="1927"/>
            <w:vAlign w:val="center"/>
            <w:tcMar>
              <w:top w:w="80" w:type="dxa"/>
              <w:start w:w="100" w:type="dxa"/>
              <w:bottom w:w="80" w:type="dxa"/>
              <w:end w:w="100" w:type="dxa"/>
            </w:tcMar>
          </w:tcPr>
          <w:p>
            <w:pPr>
              <w:spacing w:after="0"/>
              <w:jc w:val="right"/>
            </w:pPr>
            <w:r>
              <w:rPr>
                <w:rFonts w:ascii="Calibri" w:hAnsi="Calibri"/>
                <w:sz w:val="17"/>
              </w:rPr>
              <w:t>Founder Tech</w:t>
            </w:r>
          </w:p>
        </w:tc>
        <w:tc>
          <w:tcPr>
            <w:tcW w:type="dxa" w:w="1927"/>
            <w:vAlign w:val="center"/>
            <w:tcMar>
              <w:top w:w="80" w:type="dxa"/>
              <w:start w:w="100" w:type="dxa"/>
              <w:bottom w:w="80" w:type="dxa"/>
              <w:end w:w="100" w:type="dxa"/>
            </w:tcMar>
          </w:tcPr>
          <w:p>
            <w:pPr>
              <w:spacing w:after="0"/>
              <w:jc w:val="right"/>
            </w:pPr>
            <w:r>
              <w:rPr>
                <w:rFonts w:ascii="Calibri" w:hAnsi="Calibri"/>
                <w:sz w:val="17"/>
              </w:rPr>
              <w:t>laufend</w:t>
            </w:r>
          </w:p>
        </w:tc>
        <w:tc>
          <w:tcPr>
            <w:tcW w:type="dxa" w:w="4195"/>
            <w:vAlign w:val="center"/>
            <w:tcMar>
              <w:top w:w="80" w:type="dxa"/>
              <w:start w:w="100" w:type="dxa"/>
              <w:bottom w:w="80" w:type="dxa"/>
              <w:end w:w="100" w:type="dxa"/>
            </w:tcMar>
          </w:tcPr>
          <w:p>
            <w:pPr>
              <w:spacing w:after="0"/>
              <w:jc w:val="right"/>
            </w:pPr>
            <w:r>
              <w:rPr>
                <w:rFonts w:ascii="Calibri" w:hAnsi="Calibri"/>
                <w:sz w:val="17"/>
              </w:rPr>
              <w:t>Uptime, Ladezeit, Fehlerquote</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7"/>
              </w:rPr>
              <w:t>Sales &amp; Onboarding</w:t>
            </w:r>
          </w:p>
        </w:tc>
        <w:tc>
          <w:tcPr>
            <w:tcW w:type="dxa" w:w="1927"/>
            <w:vAlign w:val="center"/>
            <w:tcMar>
              <w:top w:w="80" w:type="dxa"/>
              <w:start w:w="100" w:type="dxa"/>
              <w:bottom w:w="80" w:type="dxa"/>
              <w:end w:w="100" w:type="dxa"/>
            </w:tcMar>
            <w:shd w:fill="F3F7F9"/>
          </w:tcPr>
          <w:p>
            <w:pPr>
              <w:spacing w:after="0"/>
              <w:jc w:val="right"/>
            </w:pPr>
            <w:r>
              <w:rPr>
                <w:rFonts w:ascii="Calibri" w:hAnsi="Calibri"/>
                <w:sz w:val="17"/>
              </w:rPr>
              <w:t>Founder Commercial</w:t>
            </w:r>
          </w:p>
        </w:tc>
        <w:tc>
          <w:tcPr>
            <w:tcW w:type="dxa" w:w="1927"/>
            <w:vAlign w:val="center"/>
            <w:tcMar>
              <w:top w:w="80" w:type="dxa"/>
              <w:start w:w="100" w:type="dxa"/>
              <w:bottom w:w="80" w:type="dxa"/>
              <w:end w:w="100" w:type="dxa"/>
            </w:tcMar>
            <w:shd w:fill="F3F7F9"/>
          </w:tcPr>
          <w:p>
            <w:pPr>
              <w:spacing w:after="0"/>
              <w:jc w:val="right"/>
            </w:pPr>
            <w:r>
              <w:rPr>
                <w:rFonts w:ascii="Calibri" w:hAnsi="Calibri"/>
                <w:sz w:val="17"/>
              </w:rPr>
              <w:t>wöchentlich</w:t>
            </w:r>
          </w:p>
        </w:tc>
        <w:tc>
          <w:tcPr>
            <w:tcW w:type="dxa" w:w="4195"/>
            <w:vAlign w:val="center"/>
            <w:tcMar>
              <w:top w:w="80" w:type="dxa"/>
              <w:start w:w="100" w:type="dxa"/>
              <w:bottom w:w="80" w:type="dxa"/>
              <w:end w:w="100" w:type="dxa"/>
            </w:tcMar>
            <w:shd w:fill="F3F7F9"/>
          </w:tcPr>
          <w:p>
            <w:pPr>
              <w:spacing w:after="0"/>
              <w:jc w:val="right"/>
            </w:pPr>
            <w:r>
              <w:rPr>
                <w:rFonts w:ascii="Calibri" w:hAnsi="Calibri"/>
                <w:sz w:val="17"/>
              </w:rPr>
              <w:t>Pipeline, Conversion, Onboardingstunden</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7"/>
              </w:rPr>
              <w:t>Billing &amp; Support</w:t>
            </w:r>
          </w:p>
        </w:tc>
        <w:tc>
          <w:tcPr>
            <w:tcW w:type="dxa" w:w="1927"/>
            <w:vAlign w:val="center"/>
            <w:tcMar>
              <w:top w:w="80" w:type="dxa"/>
              <w:start w:w="100" w:type="dxa"/>
              <w:bottom w:w="80" w:type="dxa"/>
              <w:end w:w="100" w:type="dxa"/>
            </w:tcMar>
          </w:tcPr>
          <w:p>
            <w:pPr>
              <w:spacing w:after="0"/>
              <w:jc w:val="right"/>
            </w:pPr>
            <w:r>
              <w:rPr>
                <w:rFonts w:ascii="Calibri" w:hAnsi="Calibri"/>
                <w:sz w:val="17"/>
              </w:rPr>
              <w:t>Founder Commercial</w:t>
            </w:r>
          </w:p>
        </w:tc>
        <w:tc>
          <w:tcPr>
            <w:tcW w:type="dxa" w:w="1927"/>
            <w:vAlign w:val="center"/>
            <w:tcMar>
              <w:top w:w="80" w:type="dxa"/>
              <w:start w:w="100" w:type="dxa"/>
              <w:bottom w:w="80" w:type="dxa"/>
              <w:end w:w="100" w:type="dxa"/>
            </w:tcMar>
          </w:tcPr>
          <w:p>
            <w:pPr>
              <w:spacing w:after="0"/>
              <w:jc w:val="right"/>
            </w:pPr>
            <w:r>
              <w:rPr>
                <w:rFonts w:ascii="Calibri" w:hAnsi="Calibri"/>
                <w:sz w:val="17"/>
              </w:rPr>
              <w:t>monatlich/laufend</w:t>
            </w:r>
          </w:p>
        </w:tc>
        <w:tc>
          <w:tcPr>
            <w:tcW w:type="dxa" w:w="4195"/>
            <w:vAlign w:val="center"/>
            <w:tcMar>
              <w:top w:w="80" w:type="dxa"/>
              <w:start w:w="100" w:type="dxa"/>
              <w:bottom w:w="80" w:type="dxa"/>
              <w:end w:w="100" w:type="dxa"/>
            </w:tcMar>
          </w:tcPr>
          <w:p>
            <w:pPr>
              <w:spacing w:after="0"/>
              <w:jc w:val="right"/>
            </w:pPr>
            <w:r>
              <w:rPr>
                <w:rFonts w:ascii="Calibri" w:hAnsi="Calibri"/>
                <w:sz w:val="17"/>
              </w:rPr>
              <w:t>DSO, Tickets, SLA</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7"/>
              </w:rPr>
              <w:t>Security &amp; Backups</w:t>
            </w:r>
          </w:p>
        </w:tc>
        <w:tc>
          <w:tcPr>
            <w:tcW w:type="dxa" w:w="1927"/>
            <w:vAlign w:val="center"/>
            <w:tcMar>
              <w:top w:w="80" w:type="dxa"/>
              <w:start w:w="100" w:type="dxa"/>
              <w:bottom w:w="80" w:type="dxa"/>
              <w:end w:w="100" w:type="dxa"/>
            </w:tcMar>
            <w:shd w:fill="F3F7F9"/>
          </w:tcPr>
          <w:p>
            <w:pPr>
              <w:spacing w:after="0"/>
              <w:jc w:val="right"/>
            </w:pPr>
            <w:r>
              <w:rPr>
                <w:rFonts w:ascii="Calibri" w:hAnsi="Calibri"/>
                <w:sz w:val="17"/>
              </w:rPr>
              <w:t>Founder Tech</w:t>
            </w:r>
          </w:p>
        </w:tc>
        <w:tc>
          <w:tcPr>
            <w:tcW w:type="dxa" w:w="1927"/>
            <w:vAlign w:val="center"/>
            <w:tcMar>
              <w:top w:w="80" w:type="dxa"/>
              <w:start w:w="100" w:type="dxa"/>
              <w:bottom w:w="80" w:type="dxa"/>
              <w:end w:w="100" w:type="dxa"/>
            </w:tcMar>
            <w:shd w:fill="F3F7F9"/>
          </w:tcPr>
          <w:p>
            <w:pPr>
              <w:spacing w:after="0"/>
              <w:jc w:val="right"/>
            </w:pPr>
            <w:r>
              <w:rPr>
                <w:rFonts w:ascii="Calibri" w:hAnsi="Calibri"/>
                <w:sz w:val="17"/>
              </w:rPr>
              <w:t>wöchentlich/monatlich</w:t>
            </w:r>
          </w:p>
        </w:tc>
        <w:tc>
          <w:tcPr>
            <w:tcW w:type="dxa" w:w="4195"/>
            <w:vAlign w:val="center"/>
            <w:tcMar>
              <w:top w:w="80" w:type="dxa"/>
              <w:start w:w="100" w:type="dxa"/>
              <w:bottom w:w="80" w:type="dxa"/>
              <w:end w:w="100" w:type="dxa"/>
            </w:tcMar>
            <w:shd w:fill="F3F7F9"/>
          </w:tcPr>
          <w:p>
            <w:pPr>
              <w:spacing w:after="0"/>
              <w:jc w:val="right"/>
            </w:pPr>
            <w:r>
              <w:rPr>
                <w:rFonts w:ascii="Calibri" w:hAnsi="Calibri"/>
                <w:sz w:val="17"/>
              </w:rPr>
              <w:t>Restore-Test, Secrets, Zugriff</w:t>
            </w:r>
          </w:p>
        </w:tc>
      </w:tr>
    </w:tbl>
    <w:p>
      <w:pPr>
        <w:spacing w:after="20"/>
      </w:pPr>
    </w:p>
    <w:p>
      <w:r>
        <w:t>Aktuelle Infrastrukturkosten betragen nach Gründerangabe rund 80 € AWS und 10 € Sportdaten-API pro Monat. Prognosen werden vorab berechnet und gecacht; zusätzliche Widgetaufrufe lösen innerhalb der vorhandenen Kontingente praktisch keine zusätzlichen Rechen- oder Datenkosten aus. AWS, Sportdaten-API, LLM-Betrieb und Founder-Support werden deshalb als fixe beziehungsweise stufenfixe Kosten eingeordnet. Das Modell ergänzt Software/Admin, Buchhaltung, Versicherung, Recht/Compliance und Marketing. Anbieterlimits und der Punkt des nächsten Kostensprungs sind durch Lasttests zu dokumentieren.</w:t>
      </w:r>
    </w:p>
    <w:p>
      <w:pPr>
        <w:pStyle w:val="ListBullet"/>
      </w:pPr>
      <w:r>
        <w:t>Serviceziel zum Start: 99,5% monatliche Verfügbarkeit ohne hartes SLA; Enterprise-SLA erst nach Messhistorie.</w:t>
      </w:r>
    </w:p>
    <w:p>
      <w:pPr>
        <w:pStyle w:val="ListBullet"/>
      </w:pPr>
      <w:r>
        <w:t>Recovery: tägliche Datenbanksicherung, monatlicher Restore-Test, dokumentierte RPO/RTO-Ziele.</w:t>
      </w:r>
    </w:p>
    <w:p>
      <w:pPr>
        <w:pStyle w:val="ListBullet"/>
      </w:pPr>
      <w:r>
        <w:t>Support: klare Geschäftszeiten, Severity-Stufen und Statusseite; keine pauschale 24/7-Zusage.</w:t>
      </w:r>
    </w:p>
    <w:p>
      <w:pPr>
        <w:pStyle w:val="ListBullet"/>
      </w:pPr>
      <w:r>
        <w:t>Vendor Risk: mindestens eine alternative Sportdatenquelle und austauschbare Modellprovider-Schnittstelle.</w:t>
      </w:r>
    </w:p>
    <w:p>
      <w:r>
        <w:br w:type="page"/>
      </w:r>
    </w:p>
    <w:p>
      <w:pPr>
        <w:pStyle w:val="Heading1"/>
      </w:pPr>
      <w:r>
        <w:t>13. Gründerteam, Rollen und zukünftiger Personalbedarf</w:t>
      </w:r>
    </w:p>
    <w:p>
      <w:r>
        <w:t>Jonas Schröder und Jonas Schweisthal forschen nach Gründerangabe am Munich Center for Machine Learning/LMU im Bereich Causal Machine Learning und promovieren. Beide sind zu gleichen Teilen als Founder vorgesehen und können jeweils ungefähr zehn Stunden pro Woche beitragen. Die fachliche Stärke liegt klar in ML, Evaluation und Software; die größte Kompetenzlücke liegt in B2B-Vertrieb, Publisher-Produkten und kommerzieller Verantwortung.</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1701"/>
            <w:shd w:fill="1F5A7A"/>
            <w:vAlign w:val="center"/>
            <w:tcMar>
              <w:top w:w="80" w:type="dxa"/>
              <w:start w:w="100" w:type="dxa"/>
              <w:bottom w:w="80" w:type="dxa"/>
              <w:end w:w="100" w:type="dxa"/>
            </w:tcMar>
          </w:tcPr>
          <w:p>
            <w:pPr>
              <w:spacing w:after="0"/>
              <w:jc w:val="center"/>
            </w:pPr>
            <w:r>
              <w:rPr>
                <w:rFonts w:ascii="Calibri" w:hAnsi="Calibri"/>
                <w:b/>
                <w:color w:val="FFFFFF"/>
                <w:sz w:val="17"/>
              </w:rPr>
              <w:t>Zeitraum</w:t>
            </w:r>
          </w:p>
        </w:tc>
        <w:tc>
          <w:tcPr>
            <w:tcW w:type="dxa" w:w="3402"/>
            <w:shd w:fill="1F5A7A"/>
            <w:vAlign w:val="center"/>
            <w:tcMar>
              <w:top w:w="80" w:type="dxa"/>
              <w:start w:w="100" w:type="dxa"/>
              <w:bottom w:w="80" w:type="dxa"/>
              <w:end w:w="100" w:type="dxa"/>
            </w:tcMar>
          </w:tcPr>
          <w:p>
            <w:pPr>
              <w:spacing w:after="0"/>
              <w:jc w:val="center"/>
            </w:pPr>
            <w:r>
              <w:rPr>
                <w:rFonts w:ascii="Calibri" w:hAnsi="Calibri"/>
                <w:b/>
                <w:color w:val="FFFFFF"/>
                <w:sz w:val="17"/>
              </w:rPr>
              <w:t>Rollenmodell</w:t>
            </w:r>
          </w:p>
        </w:tc>
        <w:tc>
          <w:tcPr>
            <w:tcW w:type="dxa" w:w="2381"/>
            <w:shd w:fill="1F5A7A"/>
            <w:vAlign w:val="center"/>
            <w:tcMar>
              <w:top w:w="80" w:type="dxa"/>
              <w:start w:w="100" w:type="dxa"/>
              <w:bottom w:w="80" w:type="dxa"/>
              <w:end w:w="100" w:type="dxa"/>
            </w:tcMar>
          </w:tcPr>
          <w:p>
            <w:pPr>
              <w:spacing w:after="0"/>
              <w:jc w:val="center"/>
            </w:pPr>
            <w:r>
              <w:rPr>
                <w:rFonts w:ascii="Calibri" w:hAnsi="Calibri"/>
                <w:b/>
                <w:color w:val="FFFFFF"/>
                <w:sz w:val="17"/>
              </w:rPr>
              <w:t>Cash-Personalaufwand</w:t>
            </w:r>
          </w:p>
        </w:tc>
        <w:tc>
          <w:tcPr>
            <w:tcW w:type="dxa" w:w="2835"/>
            <w:shd w:fill="1F5A7A"/>
            <w:vAlign w:val="center"/>
            <w:tcMar>
              <w:top w:w="80" w:type="dxa"/>
              <w:start w:w="100" w:type="dxa"/>
              <w:bottom w:w="80" w:type="dxa"/>
              <w:end w:w="100" w:type="dxa"/>
            </w:tcMar>
          </w:tcPr>
          <w:p>
            <w:pPr>
              <w:spacing w:after="0"/>
              <w:jc w:val="center"/>
            </w:pPr>
            <w:r>
              <w:rPr>
                <w:rFonts w:ascii="Calibri" w:hAnsi="Calibri"/>
                <w:b/>
                <w:color w:val="FFFFFF"/>
                <w:sz w:val="17"/>
              </w:rPr>
              <w:t>Auslöser</w:t>
            </w:r>
          </w:p>
        </w:tc>
      </w:tr>
      <w:tr>
        <w:trPr>
          <w:cantSplit/>
        </w:trPr>
        <w:tc>
          <w:tcPr>
            <w:tcW w:type="dxa" w:w="1701"/>
            <w:vAlign w:val="center"/>
            <w:tcMar>
              <w:top w:w="80" w:type="dxa"/>
              <w:start w:w="100" w:type="dxa"/>
              <w:bottom w:w="80" w:type="dxa"/>
              <w:end w:w="100" w:type="dxa"/>
            </w:tcMar>
          </w:tcPr>
          <w:p>
            <w:pPr>
              <w:spacing w:after="0"/>
              <w:jc w:val="left"/>
            </w:pPr>
            <w:r>
              <w:rPr>
                <w:rFonts w:ascii="Calibri" w:hAnsi="Calibri"/>
                <w:b/>
                <w:sz w:val="17"/>
              </w:rPr>
              <w:t>M1–M24</w:t>
            </w:r>
          </w:p>
        </w:tc>
        <w:tc>
          <w:tcPr>
            <w:tcW w:type="dxa" w:w="3402"/>
            <w:vAlign w:val="center"/>
            <w:tcMar>
              <w:top w:w="80" w:type="dxa"/>
              <w:start w:w="100" w:type="dxa"/>
              <w:bottom w:w="80" w:type="dxa"/>
              <w:end w:w="100" w:type="dxa"/>
            </w:tcMar>
          </w:tcPr>
          <w:p>
            <w:pPr>
              <w:spacing w:after="0"/>
              <w:jc w:val="right"/>
            </w:pPr>
            <w:r>
              <w:rPr>
                <w:rFonts w:ascii="Calibri" w:hAnsi="Calibri"/>
                <w:sz w:val="17"/>
              </w:rPr>
              <w:t>2 Founder, je ca. 10 h/Woche</w:t>
            </w:r>
          </w:p>
        </w:tc>
        <w:tc>
          <w:tcPr>
            <w:tcW w:type="dxa" w:w="2381"/>
            <w:vAlign w:val="center"/>
            <w:tcMar>
              <w:top w:w="80" w:type="dxa"/>
              <w:start w:w="100" w:type="dxa"/>
              <w:bottom w:w="80" w:type="dxa"/>
              <w:end w:w="100" w:type="dxa"/>
            </w:tcMar>
          </w:tcPr>
          <w:p>
            <w:pPr>
              <w:spacing w:after="0"/>
              <w:jc w:val="right"/>
            </w:pPr>
            <w:r>
              <w:rPr>
                <w:rFonts w:ascii="Calibri" w:hAnsi="Calibri"/>
                <w:sz w:val="17"/>
              </w:rPr>
              <w:t>0 € Gehalt im Modell</w:t>
            </w:r>
          </w:p>
        </w:tc>
        <w:tc>
          <w:tcPr>
            <w:tcW w:type="dxa" w:w="2835"/>
            <w:vAlign w:val="center"/>
            <w:tcMar>
              <w:top w:w="80" w:type="dxa"/>
              <w:start w:w="100" w:type="dxa"/>
              <w:bottom w:w="80" w:type="dxa"/>
              <w:end w:w="100" w:type="dxa"/>
            </w:tcMar>
          </w:tcPr>
          <w:p>
            <w:pPr>
              <w:spacing w:after="0"/>
              <w:jc w:val="right"/>
            </w:pPr>
            <w:r>
              <w:rPr>
                <w:rFonts w:ascii="Calibri" w:hAnsi="Calibri"/>
                <w:sz w:val="17"/>
              </w:rPr>
              <w:t>Neben PhD; Schattenkosten 5.196 €/Monat</w:t>
            </w:r>
          </w:p>
        </w:tc>
      </w:tr>
      <w:tr>
        <w:trPr>
          <w:cantSplit/>
        </w:trPr>
        <w:tc>
          <w:tcPr>
            <w:tcW w:type="dxa" w:w="1701"/>
            <w:vAlign w:val="center"/>
            <w:tcMar>
              <w:top w:w="80" w:type="dxa"/>
              <w:start w:w="100" w:type="dxa"/>
              <w:bottom w:w="80" w:type="dxa"/>
              <w:end w:w="100" w:type="dxa"/>
            </w:tcMar>
            <w:shd w:fill="F3F7F9"/>
          </w:tcPr>
          <w:p>
            <w:pPr>
              <w:spacing w:after="0"/>
              <w:jc w:val="left"/>
            </w:pPr>
            <w:r>
              <w:rPr>
                <w:rFonts w:ascii="Calibri" w:hAnsi="Calibri"/>
                <w:b/>
                <w:sz w:val="17"/>
              </w:rPr>
              <w:t>Jahr 3</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7"/>
              </w:rPr>
              <w:t>Teilzeit Sales/Customer Success</w:t>
            </w:r>
          </w:p>
        </w:tc>
        <w:tc>
          <w:tcPr>
            <w:tcW w:type="dxa" w:w="2381"/>
            <w:vAlign w:val="center"/>
            <w:tcMar>
              <w:top w:w="80" w:type="dxa"/>
              <w:start w:w="100" w:type="dxa"/>
              <w:bottom w:w="80" w:type="dxa"/>
              <w:end w:w="100" w:type="dxa"/>
            </w:tcMar>
            <w:shd w:fill="F3F7F9"/>
          </w:tcPr>
          <w:p>
            <w:pPr>
              <w:spacing w:after="0"/>
              <w:jc w:val="right"/>
            </w:pPr>
            <w:r>
              <w:rPr>
                <w:rFonts w:ascii="Calibri" w:hAnsi="Calibri"/>
                <w:sz w:val="17"/>
              </w:rPr>
              <w:t>30 T€ realistisch</w:t>
            </w:r>
          </w:p>
        </w:tc>
        <w:tc>
          <w:tcPr>
            <w:tcW w:type="dxa" w:w="2835"/>
            <w:vAlign w:val="center"/>
            <w:tcMar>
              <w:top w:w="80" w:type="dxa"/>
              <w:start w:w="100" w:type="dxa"/>
              <w:bottom w:w="80" w:type="dxa"/>
              <w:end w:w="100" w:type="dxa"/>
            </w:tcMar>
            <w:shd w:fill="F3F7F9"/>
          </w:tcPr>
          <w:p>
            <w:pPr>
              <w:spacing w:after="0"/>
              <w:jc w:val="right"/>
            </w:pPr>
            <w:r>
              <w:rPr>
                <w:rFonts w:ascii="Calibri" w:hAnsi="Calibri"/>
                <w:sz w:val="17"/>
              </w:rPr>
              <w:t>&gt;75 Ø Kunden/definierte Pipeline</w:t>
            </w:r>
          </w:p>
        </w:tc>
      </w:tr>
      <w:tr>
        <w:trPr>
          <w:cantSplit/>
        </w:trPr>
        <w:tc>
          <w:tcPr>
            <w:tcW w:type="dxa" w:w="1701"/>
            <w:vAlign w:val="center"/>
            <w:tcMar>
              <w:top w:w="80" w:type="dxa"/>
              <w:start w:w="100" w:type="dxa"/>
              <w:bottom w:w="80" w:type="dxa"/>
              <w:end w:w="100" w:type="dxa"/>
            </w:tcMar>
          </w:tcPr>
          <w:p>
            <w:pPr>
              <w:spacing w:after="0"/>
              <w:jc w:val="left"/>
            </w:pPr>
            <w:r>
              <w:rPr>
                <w:rFonts w:ascii="Calibri" w:hAnsi="Calibri"/>
                <w:b/>
                <w:sz w:val="17"/>
              </w:rPr>
              <w:t>Jahr 4</w:t>
            </w:r>
          </w:p>
        </w:tc>
        <w:tc>
          <w:tcPr>
            <w:tcW w:type="dxa" w:w="3402"/>
            <w:vAlign w:val="center"/>
            <w:tcMar>
              <w:top w:w="80" w:type="dxa"/>
              <w:start w:w="100" w:type="dxa"/>
              <w:bottom w:w="80" w:type="dxa"/>
              <w:end w:w="100" w:type="dxa"/>
            </w:tcMar>
          </w:tcPr>
          <w:p>
            <w:pPr>
              <w:spacing w:after="0"/>
              <w:jc w:val="right"/>
            </w:pPr>
            <w:r>
              <w:rPr>
                <w:rFonts w:ascii="Calibri" w:hAnsi="Calibri"/>
                <w:sz w:val="17"/>
              </w:rPr>
              <w:t>Sales/CS + Engineering/Operations</w:t>
            </w:r>
          </w:p>
        </w:tc>
        <w:tc>
          <w:tcPr>
            <w:tcW w:type="dxa" w:w="2381"/>
            <w:vAlign w:val="center"/>
            <w:tcMar>
              <w:top w:w="80" w:type="dxa"/>
              <w:start w:w="100" w:type="dxa"/>
              <w:bottom w:w="80" w:type="dxa"/>
              <w:end w:w="100" w:type="dxa"/>
            </w:tcMar>
          </w:tcPr>
          <w:p>
            <w:pPr>
              <w:spacing w:after="0"/>
              <w:jc w:val="right"/>
            </w:pPr>
            <w:r>
              <w:rPr>
                <w:rFonts w:ascii="Calibri" w:hAnsi="Calibri"/>
                <w:sz w:val="17"/>
              </w:rPr>
              <w:t>132 T€ realistisch</w:t>
            </w:r>
          </w:p>
        </w:tc>
        <w:tc>
          <w:tcPr>
            <w:tcW w:type="dxa" w:w="2835"/>
            <w:vAlign w:val="center"/>
            <w:tcMar>
              <w:top w:w="80" w:type="dxa"/>
              <w:start w:w="100" w:type="dxa"/>
              <w:bottom w:w="80" w:type="dxa"/>
              <w:end w:w="100" w:type="dxa"/>
            </w:tcMar>
          </w:tcPr>
          <w:p>
            <w:pPr>
              <w:spacing w:after="0"/>
              <w:jc w:val="right"/>
            </w:pPr>
            <w:r>
              <w:rPr>
                <w:rFonts w:ascii="Calibri" w:hAnsi="Calibri"/>
                <w:sz w:val="17"/>
              </w:rPr>
              <w:t>170 Kunden, Support-/Uptimebedarf</w:t>
            </w:r>
          </w:p>
        </w:tc>
      </w:tr>
      <w:tr>
        <w:trPr>
          <w:cantSplit/>
        </w:trPr>
        <w:tc>
          <w:tcPr>
            <w:tcW w:type="dxa" w:w="1701"/>
            <w:vAlign w:val="center"/>
            <w:tcMar>
              <w:top w:w="80" w:type="dxa"/>
              <w:start w:w="100" w:type="dxa"/>
              <w:bottom w:w="80" w:type="dxa"/>
              <w:end w:w="100" w:type="dxa"/>
            </w:tcMar>
            <w:shd w:fill="F3F7F9"/>
          </w:tcPr>
          <w:p>
            <w:pPr>
              <w:spacing w:after="0"/>
              <w:jc w:val="left"/>
            </w:pPr>
            <w:r>
              <w:rPr>
                <w:rFonts w:ascii="Calibri" w:hAnsi="Calibri"/>
                <w:b/>
                <w:sz w:val="17"/>
              </w:rPr>
              <w:t>Jahr 5</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7"/>
              </w:rPr>
              <w:t>kleines Kernteam</w:t>
            </w:r>
          </w:p>
        </w:tc>
        <w:tc>
          <w:tcPr>
            <w:tcW w:type="dxa" w:w="2381"/>
            <w:vAlign w:val="center"/>
            <w:tcMar>
              <w:top w:w="80" w:type="dxa"/>
              <w:start w:w="100" w:type="dxa"/>
              <w:bottom w:w="80" w:type="dxa"/>
              <w:end w:w="100" w:type="dxa"/>
            </w:tcMar>
            <w:shd w:fill="F3F7F9"/>
          </w:tcPr>
          <w:p>
            <w:pPr>
              <w:spacing w:after="0"/>
              <w:jc w:val="right"/>
            </w:pPr>
            <w:r>
              <w:rPr>
                <w:rFonts w:ascii="Calibri" w:hAnsi="Calibri"/>
                <w:sz w:val="17"/>
              </w:rPr>
              <w:t>190 T€ realistisch</w:t>
            </w:r>
          </w:p>
        </w:tc>
        <w:tc>
          <w:tcPr>
            <w:tcW w:type="dxa" w:w="2835"/>
            <w:vAlign w:val="center"/>
            <w:tcMar>
              <w:top w:w="80" w:type="dxa"/>
              <w:start w:w="100" w:type="dxa"/>
              <w:bottom w:w="80" w:type="dxa"/>
              <w:end w:w="100" w:type="dxa"/>
            </w:tcMar>
            <w:shd w:fill="F3F7F9"/>
          </w:tcPr>
          <w:p>
            <w:pPr>
              <w:spacing w:after="0"/>
              <w:jc w:val="right"/>
            </w:pPr>
            <w:r>
              <w:rPr>
                <w:rFonts w:ascii="Calibri" w:hAnsi="Calibri"/>
                <w:sz w:val="17"/>
              </w:rPr>
              <w:t>260 Kunden, Internationalisierungsvorbereitung</w:t>
            </w:r>
          </w:p>
        </w:tc>
      </w:tr>
    </w:tbl>
    <w:p>
      <w:pPr>
        <w:spacing w:after="20"/>
      </w:pPr>
    </w:p>
    <w:p>
      <w:r>
        <w:t>Die 50/50-Struktur braucht einen Gesellschaftervertrag mit Deadlock-Verfahren, Reserved Matters, Vesting/Reverse Vesting, Good-/Bad-Leaver, IP-Übertragung, Zeitcommitment, Nebenbeschäftigung, Wettbewerbsregeln und Konfliktlösung. Gleichvergütung ist nur sinnvoll, solange Beiträge und Verantwortungen vergleichbar sind; Abweichungen müssen transparent beschlossen werden.</w:t>
      </w:r>
    </w:p>
    <w:p>
      <w:r>
        <w:br w:type="page"/>
      </w:r>
    </w:p>
    <w:p>
      <w:pPr>
        <w:pStyle w:val="Heading1"/>
      </w:pPr>
      <w:r>
        <w:t>14. Rechtsform, Beteiligungsstruktur und regulatorische Aspekte</w:t>
      </w:r>
    </w:p>
    <w:p>
      <w:r>
        <w:t>Empfehlung: UG (haftungsbeschränkt) mit 2.000 € Stammkapital, ergänzt um eine dokumentierte Gesellschafterdarlehens-/Liquiditätszusage. Eine GmbH verlangt 25.000 € Stammkapital; bei Bargründung müssen vor Anmeldung grundsätzlich mindestens 12.500 € eingezahlt sein. Mit 2.000 € ist die UG die realistische haftungsbeschränkte Startform. [Q19]</w:t>
      </w:r>
    </w:p>
    <w:tbl>
      <w:tblPr>
        <w:tblStyle w:val="TableGrid"/>
        <w:tblW w:type="auto" w:w="0"/>
        <w:jc w:val="center"/>
        <w:tblLayout w:type="fixed"/>
        <w:tblLook w:firstColumn="1" w:firstRow="1" w:lastColumn="0" w:lastRow="0" w:noHBand="0" w:noVBand="1" w:val="04A0"/>
      </w:tblPr>
      <w:tblGrid>
        <w:gridCol w:w="3283"/>
        <w:gridCol w:w="3283"/>
        <w:gridCol w:w="3283"/>
      </w:tblGrid>
      <w:tr>
        <w:trPr>
          <w:tblHeader w:val="true"/>
        </w:trPr>
        <w:tc>
          <w:tcPr>
            <w:tcW w:type="dxa" w:w="2324"/>
            <w:shd w:fill="1F5A7A"/>
            <w:vAlign w:val="center"/>
            <w:tcMar>
              <w:top w:w="80" w:type="dxa"/>
              <w:start w:w="100" w:type="dxa"/>
              <w:bottom w:w="80" w:type="dxa"/>
              <w:end w:w="100" w:type="dxa"/>
            </w:tcMar>
          </w:tcPr>
          <w:p>
            <w:pPr>
              <w:spacing w:after="0"/>
              <w:jc w:val="center"/>
            </w:pPr>
            <w:r>
              <w:rPr>
                <w:rFonts w:ascii="Calibri" w:hAnsi="Calibri"/>
                <w:b/>
                <w:color w:val="FFFFFF"/>
                <w:sz w:val="17"/>
              </w:rPr>
              <w:t>Thema</w:t>
            </w:r>
          </w:p>
        </w:tc>
        <w:tc>
          <w:tcPr>
            <w:tcW w:type="dxa" w:w="4932"/>
            <w:shd w:fill="1F5A7A"/>
            <w:vAlign w:val="center"/>
            <w:tcMar>
              <w:top w:w="80" w:type="dxa"/>
              <w:start w:w="100" w:type="dxa"/>
              <w:bottom w:w="80" w:type="dxa"/>
              <w:end w:w="100" w:type="dxa"/>
            </w:tcMar>
          </w:tcPr>
          <w:p>
            <w:pPr>
              <w:spacing w:after="0"/>
              <w:jc w:val="center"/>
            </w:pPr>
            <w:r>
              <w:rPr>
                <w:rFonts w:ascii="Calibri" w:hAnsi="Calibri"/>
                <w:b/>
                <w:color w:val="FFFFFF"/>
                <w:sz w:val="17"/>
              </w:rPr>
              <w:t>Erforderliche Maßnahme</w:t>
            </w:r>
          </w:p>
        </w:tc>
        <w:tc>
          <w:tcPr>
            <w:tcW w:type="dxa" w:w="3005"/>
            <w:shd w:fill="1F5A7A"/>
            <w:vAlign w:val="center"/>
            <w:tcMar>
              <w:top w:w="80" w:type="dxa"/>
              <w:start w:w="100" w:type="dxa"/>
              <w:bottom w:w="80" w:type="dxa"/>
              <w:end w:w="100" w:type="dxa"/>
            </w:tcMar>
          </w:tcPr>
          <w:p>
            <w:pPr>
              <w:spacing w:after="0"/>
              <w:jc w:val="center"/>
            </w:pPr>
            <w:r>
              <w:rPr>
                <w:rFonts w:ascii="Calibri" w:hAnsi="Calibri"/>
                <w:b/>
                <w:color w:val="FFFFFF"/>
                <w:sz w:val="17"/>
              </w:rPr>
              <w:t>Status/Gate</w:t>
            </w:r>
          </w:p>
        </w:tc>
      </w:tr>
      <w:tr>
        <w:trPr>
          <w:cantSplit/>
        </w:trPr>
        <w:tc>
          <w:tcPr>
            <w:tcW w:type="dxa" w:w="2324"/>
            <w:vAlign w:val="center"/>
            <w:tcMar>
              <w:top w:w="80" w:type="dxa"/>
              <w:start w:w="100" w:type="dxa"/>
              <w:bottom w:w="80" w:type="dxa"/>
              <w:end w:w="100" w:type="dxa"/>
            </w:tcMar>
          </w:tcPr>
          <w:p>
            <w:pPr>
              <w:spacing w:after="0"/>
              <w:jc w:val="left"/>
            </w:pPr>
            <w:r>
              <w:rPr>
                <w:rFonts w:ascii="Calibri" w:hAnsi="Calibri"/>
                <w:b/>
                <w:sz w:val="17"/>
              </w:rPr>
              <w:t>Sitz München vs. Grünwald</w:t>
            </w:r>
          </w:p>
        </w:tc>
        <w:tc>
          <w:tcPr>
            <w:tcW w:type="dxa" w:w="4932"/>
            <w:vAlign w:val="center"/>
            <w:tcMar>
              <w:top w:w="80" w:type="dxa"/>
              <w:start w:w="100" w:type="dxa"/>
              <w:bottom w:w="80" w:type="dxa"/>
              <w:end w:w="100" w:type="dxa"/>
            </w:tcMar>
          </w:tcPr>
          <w:p>
            <w:pPr>
              <w:spacing w:after="0"/>
              <w:jc w:val="right"/>
            </w:pPr>
            <w:r>
              <w:rPr>
                <w:rFonts w:ascii="Calibri" w:hAnsi="Calibri"/>
                <w:sz w:val="17"/>
              </w:rPr>
              <w:t>Tatsächlichen Ort der Geschäftsleitung, Betriebsstätte und Gewerbesteuer prüfen</w:t>
            </w:r>
          </w:p>
        </w:tc>
        <w:tc>
          <w:tcPr>
            <w:tcW w:type="dxa" w:w="3005"/>
            <w:vAlign w:val="center"/>
            <w:tcMar>
              <w:top w:w="80" w:type="dxa"/>
              <w:start w:w="100" w:type="dxa"/>
              <w:bottom w:w="80" w:type="dxa"/>
              <w:end w:w="100" w:type="dxa"/>
            </w:tcMar>
          </w:tcPr>
          <w:p>
            <w:pPr>
              <w:spacing w:after="0"/>
              <w:jc w:val="right"/>
            </w:pPr>
            <w:r>
              <w:rPr>
                <w:rFonts w:ascii="Calibri" w:hAnsi="Calibri"/>
                <w:sz w:val="17"/>
              </w:rPr>
              <w:t>München konservativ modelliert; keine Briefkastengestaltung</w:t>
            </w:r>
          </w:p>
        </w:tc>
      </w:tr>
      <w:tr>
        <w:trPr>
          <w:cantSplit/>
        </w:trPr>
        <w:tc>
          <w:tcPr>
            <w:tcW w:type="dxa" w:w="2324"/>
            <w:vAlign w:val="center"/>
            <w:tcMar>
              <w:top w:w="80" w:type="dxa"/>
              <w:start w:w="100" w:type="dxa"/>
              <w:bottom w:w="80" w:type="dxa"/>
              <w:end w:w="100" w:type="dxa"/>
            </w:tcMar>
            <w:shd w:fill="F3F7F9"/>
          </w:tcPr>
          <w:p>
            <w:pPr>
              <w:spacing w:after="0"/>
              <w:jc w:val="left"/>
            </w:pPr>
            <w:r>
              <w:rPr>
                <w:rFonts w:ascii="Calibri" w:hAnsi="Calibri"/>
                <w:b/>
                <w:sz w:val="17"/>
              </w:rPr>
              <w:t>AI Act</w:t>
            </w:r>
          </w:p>
        </w:tc>
        <w:tc>
          <w:tcPr>
            <w:tcW w:type="dxa" w:w="4932"/>
            <w:vAlign w:val="center"/>
            <w:tcMar>
              <w:top w:w="80" w:type="dxa"/>
              <w:start w:w="100" w:type="dxa"/>
              <w:bottom w:w="80" w:type="dxa"/>
              <w:end w:w="100" w:type="dxa"/>
            </w:tcMar>
            <w:shd w:fill="F3F7F9"/>
          </w:tcPr>
          <w:p>
            <w:pPr>
              <w:spacing w:after="0"/>
              <w:jc w:val="right"/>
            </w:pPr>
            <w:r>
              <w:rPr>
                <w:rFonts w:ascii="Calibri" w:hAnsi="Calibri"/>
                <w:sz w:val="17"/>
              </w:rPr>
              <w:t>KI-generierte Inhalte und Systemgrenzen transparent kennzeichnen</w:t>
            </w:r>
          </w:p>
        </w:tc>
        <w:tc>
          <w:tcPr>
            <w:tcW w:type="dxa" w:w="3005"/>
            <w:vAlign w:val="center"/>
            <w:tcMar>
              <w:top w:w="80" w:type="dxa"/>
              <w:start w:w="100" w:type="dxa"/>
              <w:bottom w:w="80" w:type="dxa"/>
              <w:end w:w="100" w:type="dxa"/>
            </w:tcMar>
            <w:shd w:fill="F3F7F9"/>
          </w:tcPr>
          <w:p>
            <w:pPr>
              <w:spacing w:after="0"/>
              <w:jc w:val="right"/>
            </w:pPr>
            <w:r>
              <w:rPr>
                <w:rFonts w:ascii="Calibri" w:hAnsi="Calibri"/>
                <w:sz w:val="17"/>
              </w:rPr>
              <w:t>Transparenzpflichten ab 02.08.2026 prüfen [Q16]</w:t>
            </w:r>
          </w:p>
        </w:tc>
      </w:tr>
      <w:tr>
        <w:trPr>
          <w:cantSplit/>
        </w:trPr>
        <w:tc>
          <w:tcPr>
            <w:tcW w:type="dxa" w:w="2324"/>
            <w:vAlign w:val="center"/>
            <w:tcMar>
              <w:top w:w="80" w:type="dxa"/>
              <w:start w:w="100" w:type="dxa"/>
              <w:bottom w:w="80" w:type="dxa"/>
              <w:end w:w="100" w:type="dxa"/>
            </w:tcMar>
          </w:tcPr>
          <w:p>
            <w:pPr>
              <w:spacing w:after="0"/>
              <w:jc w:val="left"/>
            </w:pPr>
            <w:r>
              <w:rPr>
                <w:rFonts w:ascii="Calibri" w:hAnsi="Calibri"/>
                <w:b/>
                <w:sz w:val="17"/>
              </w:rPr>
              <w:t>Datenschutz/TDDDG</w:t>
            </w:r>
          </w:p>
        </w:tc>
        <w:tc>
          <w:tcPr>
            <w:tcW w:type="dxa" w:w="4932"/>
            <w:vAlign w:val="center"/>
            <w:tcMar>
              <w:top w:w="80" w:type="dxa"/>
              <w:start w:w="100" w:type="dxa"/>
              <w:bottom w:w="80" w:type="dxa"/>
              <w:end w:w="100" w:type="dxa"/>
            </w:tcMar>
          </w:tcPr>
          <w:p>
            <w:pPr>
              <w:spacing w:after="0"/>
              <w:jc w:val="right"/>
            </w:pPr>
            <w:r>
              <w:rPr>
                <w:rFonts w:ascii="Calibri" w:hAnsi="Calibri"/>
                <w:sz w:val="17"/>
              </w:rPr>
              <w:t>CMP, Cookie-/Ad-Tech-Prüfung, AVV/DPA, Löschkonzept, Verzeichnis</w:t>
            </w:r>
          </w:p>
        </w:tc>
        <w:tc>
          <w:tcPr>
            <w:tcW w:type="dxa" w:w="3005"/>
            <w:vAlign w:val="center"/>
            <w:tcMar>
              <w:top w:w="80" w:type="dxa"/>
              <w:start w:w="100" w:type="dxa"/>
              <w:bottom w:w="80" w:type="dxa"/>
              <w:end w:w="100" w:type="dxa"/>
            </w:tcMar>
          </w:tcPr>
          <w:p>
            <w:pPr>
              <w:spacing w:after="0"/>
              <w:jc w:val="right"/>
            </w:pPr>
            <w:r>
              <w:rPr>
                <w:rFonts w:ascii="Calibri" w:hAnsi="Calibri"/>
                <w:sz w:val="17"/>
              </w:rPr>
              <w:t>Vor Tracking/Ads live</w:t>
            </w:r>
          </w:p>
        </w:tc>
      </w:tr>
      <w:tr>
        <w:trPr>
          <w:cantSplit/>
        </w:trPr>
        <w:tc>
          <w:tcPr>
            <w:tcW w:type="dxa" w:w="2324"/>
            <w:vAlign w:val="center"/>
            <w:tcMar>
              <w:top w:w="80" w:type="dxa"/>
              <w:start w:w="100" w:type="dxa"/>
              <w:bottom w:w="80" w:type="dxa"/>
              <w:end w:w="100" w:type="dxa"/>
            </w:tcMar>
            <w:shd w:fill="F3F7F9"/>
          </w:tcPr>
          <w:p>
            <w:pPr>
              <w:spacing w:after="0"/>
              <w:jc w:val="left"/>
            </w:pPr>
            <w:r>
              <w:rPr>
                <w:rFonts w:ascii="Calibri" w:hAnsi="Calibri"/>
                <w:b/>
                <w:sz w:val="17"/>
              </w:rPr>
              <w:t>B2B-Verträge</w:t>
            </w:r>
          </w:p>
        </w:tc>
        <w:tc>
          <w:tcPr>
            <w:tcW w:type="dxa" w:w="4932"/>
            <w:vAlign w:val="center"/>
            <w:tcMar>
              <w:top w:w="80" w:type="dxa"/>
              <w:start w:w="100" w:type="dxa"/>
              <w:bottom w:w="80" w:type="dxa"/>
              <w:end w:w="100" w:type="dxa"/>
            </w:tcMar>
            <w:shd w:fill="F3F7F9"/>
          </w:tcPr>
          <w:p>
            <w:pPr>
              <w:spacing w:after="0"/>
              <w:jc w:val="right"/>
            </w:pPr>
            <w:r>
              <w:rPr>
                <w:rFonts w:ascii="Calibri" w:hAnsi="Calibri"/>
                <w:sz w:val="17"/>
              </w:rPr>
              <w:t>Leistungsumfang, SLA, Vergütung, Laufzeit, IP, AVV, Haftung, Support</w:t>
            </w:r>
          </w:p>
        </w:tc>
        <w:tc>
          <w:tcPr>
            <w:tcW w:type="dxa" w:w="3005"/>
            <w:vAlign w:val="center"/>
            <w:tcMar>
              <w:top w:w="80" w:type="dxa"/>
              <w:start w:w="100" w:type="dxa"/>
              <w:bottom w:w="80" w:type="dxa"/>
              <w:end w:w="100" w:type="dxa"/>
            </w:tcMar>
            <w:shd w:fill="F3F7F9"/>
          </w:tcPr>
          <w:p>
            <w:pPr>
              <w:spacing w:after="0"/>
              <w:jc w:val="right"/>
            </w:pPr>
            <w:r>
              <w:rPr>
                <w:rFonts w:ascii="Calibri" w:hAnsi="Calibri"/>
                <w:sz w:val="17"/>
              </w:rPr>
              <w:t>Anwaltlich prüfen</w:t>
            </w:r>
          </w:p>
        </w:tc>
      </w:tr>
      <w:tr>
        <w:trPr>
          <w:cantSplit/>
        </w:trPr>
        <w:tc>
          <w:tcPr>
            <w:tcW w:type="dxa" w:w="2324"/>
            <w:vAlign w:val="center"/>
            <w:tcMar>
              <w:top w:w="80" w:type="dxa"/>
              <w:start w:w="100" w:type="dxa"/>
              <w:bottom w:w="80" w:type="dxa"/>
              <w:end w:w="100" w:type="dxa"/>
            </w:tcMar>
          </w:tcPr>
          <w:p>
            <w:pPr>
              <w:spacing w:after="0"/>
              <w:jc w:val="left"/>
            </w:pPr>
            <w:r>
              <w:rPr>
                <w:rFonts w:ascii="Calibri" w:hAnsi="Calibri"/>
                <w:b/>
                <w:sz w:val="17"/>
              </w:rPr>
              <w:t>E-Rechnung/USt</w:t>
            </w:r>
          </w:p>
        </w:tc>
        <w:tc>
          <w:tcPr>
            <w:tcW w:type="dxa" w:w="4932"/>
            <w:vAlign w:val="center"/>
            <w:tcMar>
              <w:top w:w="80" w:type="dxa"/>
              <w:start w:w="100" w:type="dxa"/>
              <w:bottom w:w="80" w:type="dxa"/>
              <w:end w:w="100" w:type="dxa"/>
            </w:tcMar>
          </w:tcPr>
          <w:p>
            <w:pPr>
              <w:spacing w:after="0"/>
              <w:jc w:val="right"/>
            </w:pPr>
            <w:r>
              <w:rPr>
                <w:rFonts w:ascii="Calibri" w:hAnsi="Calibri"/>
                <w:sz w:val="17"/>
              </w:rPr>
              <w:t>Empfangs-/Ausgangsprozess, Reverse Charge bei Ausland, USt-ID</w:t>
            </w:r>
          </w:p>
        </w:tc>
        <w:tc>
          <w:tcPr>
            <w:tcW w:type="dxa" w:w="3005"/>
            <w:vAlign w:val="center"/>
            <w:tcMar>
              <w:top w:w="80" w:type="dxa"/>
              <w:start w:w="100" w:type="dxa"/>
              <w:bottom w:w="80" w:type="dxa"/>
              <w:end w:w="100" w:type="dxa"/>
            </w:tcMar>
          </w:tcPr>
          <w:p>
            <w:pPr>
              <w:spacing w:after="0"/>
              <w:jc w:val="right"/>
            </w:pPr>
            <w:r>
              <w:rPr>
                <w:rFonts w:ascii="Calibri" w:hAnsi="Calibri"/>
                <w:sz w:val="17"/>
              </w:rPr>
              <w:t>Mit Steuerberatung einrichten [Q20]</w:t>
            </w:r>
          </w:p>
        </w:tc>
      </w:tr>
      <w:tr>
        <w:trPr>
          <w:cantSplit/>
        </w:trPr>
        <w:tc>
          <w:tcPr>
            <w:tcW w:type="dxa" w:w="2324"/>
            <w:vAlign w:val="center"/>
            <w:tcMar>
              <w:top w:w="80" w:type="dxa"/>
              <w:start w:w="100" w:type="dxa"/>
              <w:bottom w:w="80" w:type="dxa"/>
              <w:end w:w="100" w:type="dxa"/>
            </w:tcMar>
            <w:shd w:fill="F3F7F9"/>
          </w:tcPr>
          <w:p>
            <w:pPr>
              <w:spacing w:after="0"/>
              <w:jc w:val="left"/>
            </w:pPr>
            <w:r>
              <w:rPr>
                <w:rFonts w:ascii="Calibri" w:hAnsi="Calibri"/>
                <w:b/>
                <w:sz w:val="17"/>
              </w:rPr>
              <w:t>Daten/Logos</w:t>
            </w:r>
          </w:p>
        </w:tc>
        <w:tc>
          <w:tcPr>
            <w:tcW w:type="dxa" w:w="4932"/>
            <w:vAlign w:val="center"/>
            <w:tcMar>
              <w:top w:w="80" w:type="dxa"/>
              <w:start w:w="100" w:type="dxa"/>
              <w:bottom w:w="80" w:type="dxa"/>
              <w:end w:w="100" w:type="dxa"/>
            </w:tcMar>
            <w:shd w:fill="F3F7F9"/>
          </w:tcPr>
          <w:p>
            <w:pPr>
              <w:spacing w:after="0"/>
              <w:jc w:val="right"/>
            </w:pPr>
            <w:r>
              <w:rPr>
                <w:rFonts w:ascii="Calibri" w:hAnsi="Calibri"/>
                <w:sz w:val="17"/>
              </w:rPr>
              <w:t>Kommerzielle Nutzungsrechte schriftlich sichern</w:t>
            </w:r>
          </w:p>
        </w:tc>
        <w:tc>
          <w:tcPr>
            <w:tcW w:type="dxa" w:w="3005"/>
            <w:vAlign w:val="center"/>
            <w:tcMar>
              <w:top w:w="80" w:type="dxa"/>
              <w:start w:w="100" w:type="dxa"/>
              <w:bottom w:w="80" w:type="dxa"/>
              <w:end w:w="100" w:type="dxa"/>
            </w:tcMar>
            <w:shd w:fill="F3F7F9"/>
          </w:tcPr>
          <w:p>
            <w:pPr>
              <w:spacing w:after="0"/>
              <w:jc w:val="right"/>
            </w:pPr>
            <w:r>
              <w:rPr>
                <w:rFonts w:ascii="Calibri" w:hAnsi="Calibri"/>
                <w:sz w:val="17"/>
              </w:rPr>
              <w:t>Launch-Gate</w:t>
            </w:r>
          </w:p>
        </w:tc>
      </w:tr>
    </w:tbl>
    <w:p>
      <w:pPr>
        <w:spacing w:after="20"/>
      </w:pPr>
    </w:p>
    <w:p>
      <w:pPr>
        <w:pStyle w:val="Heading2"/>
      </w:pPr>
      <w:r>
        <w:t>Haftung, Prognosen und Sportwetten</w:t>
      </w:r>
    </w:p>
    <w:p>
      <w:r>
        <w:t>Website und Widgets stellen statistische Informationen und Unterhaltung bereit, keine Wetteinsätze, Wettvermittlung oder Erfolgsgarantie. Startseitig und je Prognose sind Unsicherheit, Datenstand und Modellcharakter kenntlich zu machen. Ein Hinweis „keine Haftung“ beseitigt gesetzliche Haftung nicht. Insbesondere lassen sich Vorsatz, grobe Fahrlässigkeit, Verletzung von Leben/Körper/Gesundheit und zwingende Haftung nicht pauschal ausschließen. Haftungsbegrenzungen müssen adressatengerecht in B2B-AGB und Verträgen formuliert werden.</w:t>
      </w:r>
    </w:p>
    <w:p>
      <w:r>
        <w:t>Empfohlene Deckungen: IT-/Vermögensschadenhaftpflicht mit Medien-, IP-, Datenschutz- und Eigenschadenbausteinen; Cyberversicherung einschließlich Incident Response; Betriebshaftpflicht; später D&amp;O/Managerhaftpflicht und Firmenrechtsschutz. Prämien werden nicht geschätzt, sondern anhand eines vollständigen Risikofragebogens eingeholt. Die IHK betont die bedarfsbezogene Prüfung betrieblicher Versicherungen. [Q21]</w:t>
      </w:r>
    </w:p>
    <w:p>
      <w:r>
        <w:br w:type="page"/>
      </w:r>
    </w:p>
    <w:p>
      <w:pPr>
        <w:pStyle w:val="Heading1"/>
      </w:pPr>
      <w:r>
        <w:t>15. Meilenstein- und Umsetzungsplan für die nächsten 36 Monate</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1871"/>
            <w:shd w:fill="1F5A7A"/>
            <w:vAlign w:val="center"/>
            <w:tcMar>
              <w:top w:w="80" w:type="dxa"/>
              <w:start w:w="100" w:type="dxa"/>
              <w:bottom w:w="80" w:type="dxa"/>
              <w:end w:w="100" w:type="dxa"/>
            </w:tcMar>
          </w:tcPr>
          <w:p>
            <w:pPr>
              <w:spacing w:after="0"/>
              <w:jc w:val="center"/>
            </w:pPr>
            <w:r>
              <w:rPr>
                <w:rFonts w:ascii="Calibri" w:hAnsi="Calibri"/>
                <w:b/>
                <w:color w:val="FFFFFF"/>
                <w:sz w:val="15"/>
              </w:rPr>
              <w:t>Zeitraum</w:t>
            </w:r>
          </w:p>
        </w:tc>
        <w:tc>
          <w:tcPr>
            <w:tcW w:type="dxa" w:w="2381"/>
            <w:shd w:fill="1F5A7A"/>
            <w:vAlign w:val="center"/>
            <w:tcMar>
              <w:top w:w="80" w:type="dxa"/>
              <w:start w:w="100" w:type="dxa"/>
              <w:bottom w:w="80" w:type="dxa"/>
              <w:end w:w="100" w:type="dxa"/>
            </w:tcMar>
          </w:tcPr>
          <w:p>
            <w:pPr>
              <w:spacing w:after="0"/>
              <w:jc w:val="center"/>
            </w:pPr>
            <w:r>
              <w:rPr>
                <w:rFonts w:ascii="Calibri" w:hAnsi="Calibri"/>
                <w:b/>
                <w:color w:val="FFFFFF"/>
                <w:sz w:val="15"/>
              </w:rPr>
              <w:t>Meilenstein</w:t>
            </w:r>
          </w:p>
        </w:tc>
        <w:tc>
          <w:tcPr>
            <w:tcW w:type="dxa" w:w="3855"/>
            <w:shd w:fill="1F5A7A"/>
            <w:vAlign w:val="center"/>
            <w:tcMar>
              <w:top w:w="80" w:type="dxa"/>
              <w:start w:w="100" w:type="dxa"/>
              <w:bottom w:w="80" w:type="dxa"/>
              <w:end w:w="100" w:type="dxa"/>
            </w:tcMar>
          </w:tcPr>
          <w:p>
            <w:pPr>
              <w:spacing w:after="0"/>
              <w:jc w:val="center"/>
            </w:pPr>
            <w:r>
              <w:rPr>
                <w:rFonts w:ascii="Calibri" w:hAnsi="Calibri"/>
                <w:b/>
                <w:color w:val="FFFFFF"/>
                <w:sz w:val="15"/>
              </w:rPr>
              <w:t>Messbares Ergebnis</w:t>
            </w:r>
          </w:p>
        </w:tc>
        <w:tc>
          <w:tcPr>
            <w:tcW w:type="dxa" w:w="3118"/>
            <w:shd w:fill="1F5A7A"/>
            <w:vAlign w:val="center"/>
            <w:tcMar>
              <w:top w:w="80" w:type="dxa"/>
              <w:start w:w="100" w:type="dxa"/>
              <w:bottom w:w="80" w:type="dxa"/>
              <w:end w:w="100" w:type="dxa"/>
            </w:tcMar>
          </w:tcPr>
          <w:p>
            <w:pPr>
              <w:spacing w:after="0"/>
              <w:jc w:val="center"/>
            </w:pPr>
            <w:r>
              <w:rPr>
                <w:rFonts w:ascii="Calibri" w:hAnsi="Calibri"/>
                <w:b/>
                <w:color w:val="FFFFFF"/>
                <w:sz w:val="15"/>
              </w:rPr>
              <w:t>Abbruch-/Pivot-Gate</w:t>
            </w:r>
          </w:p>
        </w:tc>
      </w:tr>
      <w:tr>
        <w:trPr>
          <w:cantSplit/>
        </w:trPr>
        <w:tc>
          <w:tcPr>
            <w:tcW w:type="dxa" w:w="1871"/>
            <w:vAlign w:val="center"/>
            <w:tcMar>
              <w:top w:w="80" w:type="dxa"/>
              <w:start w:w="100" w:type="dxa"/>
              <w:bottom w:w="80" w:type="dxa"/>
              <w:end w:w="100" w:type="dxa"/>
            </w:tcMar>
          </w:tcPr>
          <w:p>
            <w:pPr>
              <w:spacing w:after="0"/>
              <w:jc w:val="left"/>
            </w:pPr>
            <w:r>
              <w:rPr>
                <w:rFonts w:ascii="Calibri" w:hAnsi="Calibri"/>
                <w:b/>
                <w:sz w:val="15"/>
              </w:rPr>
              <w:t>Aug–Okt 2026</w:t>
            </w:r>
          </w:p>
        </w:tc>
        <w:tc>
          <w:tcPr>
            <w:tcW w:type="dxa" w:w="2381"/>
            <w:vAlign w:val="center"/>
            <w:tcMar>
              <w:top w:w="80" w:type="dxa"/>
              <w:start w:w="100" w:type="dxa"/>
              <w:bottom w:w="80" w:type="dxa"/>
              <w:end w:w="100" w:type="dxa"/>
            </w:tcMar>
          </w:tcPr>
          <w:p>
            <w:pPr>
              <w:spacing w:after="0"/>
              <w:jc w:val="right"/>
            </w:pPr>
            <w:r>
              <w:rPr>
                <w:rFonts w:ascii="Calibri" w:hAnsi="Calibri"/>
                <w:sz w:val="15"/>
              </w:rPr>
              <w:t>Gründung &amp; Launch</w:t>
            </w:r>
          </w:p>
        </w:tc>
        <w:tc>
          <w:tcPr>
            <w:tcW w:type="dxa" w:w="3855"/>
            <w:vAlign w:val="center"/>
            <w:tcMar>
              <w:top w:w="80" w:type="dxa"/>
              <w:start w:w="100" w:type="dxa"/>
              <w:bottom w:w="80" w:type="dxa"/>
              <w:end w:w="100" w:type="dxa"/>
            </w:tcMar>
          </w:tcPr>
          <w:p>
            <w:pPr>
              <w:spacing w:after="0"/>
              <w:jc w:val="right"/>
            </w:pPr>
            <w:r>
              <w:rPr>
                <w:rFonts w:ascii="Calibri" w:hAnsi="Calibri"/>
                <w:sz w:val="15"/>
              </w:rPr>
              <w:t>UG, Verträge, Rechte, 4 Widgets, 3 zahlende Partner</w:t>
            </w:r>
          </w:p>
        </w:tc>
        <w:tc>
          <w:tcPr>
            <w:tcW w:type="dxa" w:w="3118"/>
            <w:vAlign w:val="center"/>
            <w:tcMar>
              <w:top w:w="80" w:type="dxa"/>
              <w:start w:w="100" w:type="dxa"/>
              <w:bottom w:w="80" w:type="dxa"/>
              <w:end w:w="100" w:type="dxa"/>
            </w:tcMar>
          </w:tcPr>
          <w:p>
            <w:pPr>
              <w:spacing w:after="0"/>
              <w:jc w:val="right"/>
            </w:pPr>
            <w:r>
              <w:rPr>
                <w:rFonts w:ascii="Calibri" w:hAnsi="Calibri"/>
                <w:sz w:val="15"/>
              </w:rPr>
              <w:t>Ohne Rechtefreigabe kein öffentlicher Launch</w:t>
            </w:r>
          </w:p>
        </w:tc>
      </w:tr>
      <w:tr>
        <w:trPr>
          <w:cantSplit/>
        </w:trPr>
        <w:tc>
          <w:tcPr>
            <w:tcW w:type="dxa" w:w="1871"/>
            <w:vAlign w:val="center"/>
            <w:tcMar>
              <w:top w:w="80" w:type="dxa"/>
              <w:start w:w="100" w:type="dxa"/>
              <w:bottom w:w="80" w:type="dxa"/>
              <w:end w:w="100" w:type="dxa"/>
            </w:tcMar>
            <w:shd w:fill="F3F7F9"/>
          </w:tcPr>
          <w:p>
            <w:pPr>
              <w:spacing w:after="0"/>
              <w:jc w:val="left"/>
            </w:pPr>
            <w:r>
              <w:rPr>
                <w:rFonts w:ascii="Calibri" w:hAnsi="Calibri"/>
                <w:b/>
                <w:sz w:val="15"/>
              </w:rPr>
              <w:t>Nov 2026–Jan 2027</w:t>
            </w:r>
          </w:p>
        </w:tc>
        <w:tc>
          <w:tcPr>
            <w:tcW w:type="dxa" w:w="2381"/>
            <w:vAlign w:val="center"/>
            <w:tcMar>
              <w:top w:w="80" w:type="dxa"/>
              <w:start w:w="100" w:type="dxa"/>
              <w:bottom w:w="80" w:type="dxa"/>
              <w:end w:w="100" w:type="dxa"/>
            </w:tcMar>
            <w:shd w:fill="F3F7F9"/>
          </w:tcPr>
          <w:p>
            <w:pPr>
              <w:spacing w:after="0"/>
              <w:jc w:val="right"/>
            </w:pPr>
            <w:r>
              <w:rPr>
                <w:rFonts w:ascii="Calibri" w:hAnsi="Calibri"/>
                <w:sz w:val="15"/>
              </w:rPr>
              <w:t>Paid-Pilot-Beweis</w:t>
            </w:r>
          </w:p>
        </w:tc>
        <w:tc>
          <w:tcPr>
            <w:tcW w:type="dxa" w:w="3855"/>
            <w:vAlign w:val="center"/>
            <w:tcMar>
              <w:top w:w="80" w:type="dxa"/>
              <w:start w:w="100" w:type="dxa"/>
              <w:bottom w:w="80" w:type="dxa"/>
              <w:end w:w="100" w:type="dxa"/>
            </w:tcMar>
            <w:shd w:fill="F3F7F9"/>
          </w:tcPr>
          <w:p>
            <w:pPr>
              <w:spacing w:after="0"/>
              <w:jc w:val="right"/>
            </w:pPr>
            <w:r>
              <w:rPr>
                <w:rFonts w:ascii="Calibri" w:hAnsi="Calibri"/>
                <w:sz w:val="15"/>
              </w:rPr>
              <w:t>5 Kunden, Onboarding &lt;8 h, erste Case Study</w:t>
            </w:r>
          </w:p>
        </w:tc>
        <w:tc>
          <w:tcPr>
            <w:tcW w:type="dxa" w:w="3118"/>
            <w:vAlign w:val="center"/>
            <w:tcMar>
              <w:top w:w="80" w:type="dxa"/>
              <w:start w:w="100" w:type="dxa"/>
              <w:bottom w:w="80" w:type="dxa"/>
              <w:end w:w="100" w:type="dxa"/>
            </w:tcMar>
            <w:shd w:fill="F3F7F9"/>
          </w:tcPr>
          <w:p>
            <w:pPr>
              <w:spacing w:after="0"/>
              <w:jc w:val="right"/>
            </w:pPr>
            <w:r>
              <w:rPr>
                <w:rFonts w:ascii="Calibri" w:hAnsi="Calibri"/>
                <w:sz w:val="15"/>
              </w:rPr>
              <w:t>&lt;2 zahlende Kunden: Segment/Preis neu testen</w:t>
            </w:r>
          </w:p>
        </w:tc>
      </w:tr>
      <w:tr>
        <w:trPr>
          <w:cantSplit/>
        </w:trPr>
        <w:tc>
          <w:tcPr>
            <w:tcW w:type="dxa" w:w="1871"/>
            <w:vAlign w:val="center"/>
            <w:tcMar>
              <w:top w:w="80" w:type="dxa"/>
              <w:start w:w="100" w:type="dxa"/>
              <w:bottom w:w="80" w:type="dxa"/>
              <w:end w:w="100" w:type="dxa"/>
            </w:tcMar>
          </w:tcPr>
          <w:p>
            <w:pPr>
              <w:spacing w:after="0"/>
              <w:jc w:val="left"/>
            </w:pPr>
            <w:r>
              <w:rPr>
                <w:rFonts w:ascii="Calibri" w:hAnsi="Calibri"/>
                <w:b/>
                <w:sz w:val="15"/>
              </w:rPr>
              <w:t>Feb–Jul 2027</w:t>
            </w:r>
          </w:p>
        </w:tc>
        <w:tc>
          <w:tcPr>
            <w:tcW w:type="dxa" w:w="2381"/>
            <w:vAlign w:val="center"/>
            <w:tcMar>
              <w:top w:w="80" w:type="dxa"/>
              <w:start w:w="100" w:type="dxa"/>
              <w:bottom w:w="80" w:type="dxa"/>
              <w:end w:w="100" w:type="dxa"/>
            </w:tcMar>
          </w:tcPr>
          <w:p>
            <w:pPr>
              <w:spacing w:after="0"/>
              <w:jc w:val="right"/>
            </w:pPr>
            <w:r>
              <w:rPr>
                <w:rFonts w:ascii="Calibri" w:hAnsi="Calibri"/>
                <w:sz w:val="15"/>
              </w:rPr>
              <w:t>Founder-led Sales</w:t>
            </w:r>
          </w:p>
        </w:tc>
        <w:tc>
          <w:tcPr>
            <w:tcW w:type="dxa" w:w="3855"/>
            <w:vAlign w:val="center"/>
            <w:tcMar>
              <w:top w:w="80" w:type="dxa"/>
              <w:start w:w="100" w:type="dxa"/>
              <w:bottom w:w="80" w:type="dxa"/>
              <w:end w:w="100" w:type="dxa"/>
            </w:tcMar>
          </w:tcPr>
          <w:p>
            <w:pPr>
              <w:spacing w:after="0"/>
              <w:jc w:val="right"/>
            </w:pPr>
            <w:r>
              <w:rPr>
                <w:rFonts w:ascii="Calibri" w:hAnsi="Calibri"/>
                <w:sz w:val="15"/>
              </w:rPr>
              <w:t>15 Kunden, 75k PV/Monat, Scorecard</w:t>
            </w:r>
          </w:p>
        </w:tc>
        <w:tc>
          <w:tcPr>
            <w:tcW w:type="dxa" w:w="3118"/>
            <w:vAlign w:val="center"/>
            <w:tcMar>
              <w:top w:w="80" w:type="dxa"/>
              <w:start w:w="100" w:type="dxa"/>
              <w:bottom w:w="80" w:type="dxa"/>
              <w:end w:w="100" w:type="dxa"/>
            </w:tcMar>
          </w:tcPr>
          <w:p>
            <w:pPr>
              <w:spacing w:after="0"/>
              <w:jc w:val="right"/>
            </w:pPr>
            <w:r>
              <w:rPr>
                <w:rFonts w:ascii="Calibri" w:hAnsi="Calibri"/>
                <w:sz w:val="15"/>
              </w:rPr>
              <w:t>Churn &gt;3%/Monat: Retention vor Wachstum</w:t>
            </w:r>
          </w:p>
        </w:tc>
      </w:tr>
      <w:tr>
        <w:trPr>
          <w:cantSplit/>
        </w:trPr>
        <w:tc>
          <w:tcPr>
            <w:tcW w:type="dxa" w:w="1871"/>
            <w:vAlign w:val="center"/>
            <w:tcMar>
              <w:top w:w="80" w:type="dxa"/>
              <w:start w:w="100" w:type="dxa"/>
              <w:bottom w:w="80" w:type="dxa"/>
              <w:end w:w="100" w:type="dxa"/>
            </w:tcMar>
            <w:shd w:fill="F3F7F9"/>
          </w:tcPr>
          <w:p>
            <w:pPr>
              <w:spacing w:after="0"/>
              <w:jc w:val="left"/>
            </w:pPr>
            <w:r>
              <w:rPr>
                <w:rFonts w:ascii="Calibri" w:hAnsi="Calibri"/>
                <w:b/>
                <w:sz w:val="15"/>
              </w:rPr>
              <w:t>Aug 2027–Jan 2028</w:t>
            </w:r>
          </w:p>
        </w:tc>
        <w:tc>
          <w:tcPr>
            <w:tcW w:type="dxa" w:w="2381"/>
            <w:vAlign w:val="center"/>
            <w:tcMar>
              <w:top w:w="80" w:type="dxa"/>
              <w:start w:w="100" w:type="dxa"/>
              <w:bottom w:w="80" w:type="dxa"/>
              <w:end w:w="100" w:type="dxa"/>
            </w:tcMar>
            <w:shd w:fill="F3F7F9"/>
          </w:tcPr>
          <w:p>
            <w:pPr>
              <w:spacing w:after="0"/>
              <w:jc w:val="right"/>
            </w:pPr>
            <w:r>
              <w:rPr>
                <w:rFonts w:ascii="Calibri" w:hAnsi="Calibri"/>
                <w:sz w:val="15"/>
              </w:rPr>
              <w:t>Produktisierung</w:t>
            </w:r>
          </w:p>
        </w:tc>
        <w:tc>
          <w:tcPr>
            <w:tcW w:type="dxa" w:w="3855"/>
            <w:vAlign w:val="center"/>
            <w:tcMar>
              <w:top w:w="80" w:type="dxa"/>
              <w:start w:w="100" w:type="dxa"/>
              <w:bottom w:w="80" w:type="dxa"/>
              <w:end w:w="100" w:type="dxa"/>
            </w:tcMar>
            <w:shd w:fill="F3F7F9"/>
          </w:tcPr>
          <w:p>
            <w:pPr>
              <w:spacing w:after="0"/>
              <w:jc w:val="right"/>
            </w:pPr>
            <w:r>
              <w:rPr>
                <w:rFonts w:ascii="Calibri" w:hAnsi="Calibri"/>
                <w:sz w:val="15"/>
              </w:rPr>
              <w:t>30 Kunden, Self-Service-Billing, Analytics</w:t>
            </w:r>
          </w:p>
        </w:tc>
        <w:tc>
          <w:tcPr>
            <w:tcW w:type="dxa" w:w="3118"/>
            <w:vAlign w:val="center"/>
            <w:tcMar>
              <w:top w:w="80" w:type="dxa"/>
              <w:start w:w="100" w:type="dxa"/>
              <w:bottom w:w="80" w:type="dxa"/>
              <w:end w:w="100" w:type="dxa"/>
            </w:tcMar>
            <w:shd w:fill="F3F7F9"/>
          </w:tcPr>
          <w:p>
            <w:pPr>
              <w:spacing w:after="0"/>
              <w:jc w:val="right"/>
            </w:pPr>
            <w:r>
              <w:rPr>
                <w:rFonts w:ascii="Calibri" w:hAnsi="Calibri"/>
                <w:sz w:val="15"/>
              </w:rPr>
              <w:t>Support &gt;2 h/Kunde/Monat: Produkt vereinfachen</w:t>
            </w:r>
          </w:p>
        </w:tc>
      </w:tr>
      <w:tr>
        <w:trPr>
          <w:cantSplit/>
        </w:trPr>
        <w:tc>
          <w:tcPr>
            <w:tcW w:type="dxa" w:w="1871"/>
            <w:vAlign w:val="center"/>
            <w:tcMar>
              <w:top w:w="80" w:type="dxa"/>
              <w:start w:w="100" w:type="dxa"/>
              <w:bottom w:w="80" w:type="dxa"/>
              <w:end w:w="100" w:type="dxa"/>
            </w:tcMar>
          </w:tcPr>
          <w:p>
            <w:pPr>
              <w:spacing w:after="0"/>
              <w:jc w:val="left"/>
            </w:pPr>
            <w:r>
              <w:rPr>
                <w:rFonts w:ascii="Calibri" w:hAnsi="Calibri"/>
                <w:b/>
                <w:sz w:val="15"/>
              </w:rPr>
              <w:t>Feb–Jul 2028</w:t>
            </w:r>
          </w:p>
        </w:tc>
        <w:tc>
          <w:tcPr>
            <w:tcW w:type="dxa" w:w="2381"/>
            <w:vAlign w:val="center"/>
            <w:tcMar>
              <w:top w:w="80" w:type="dxa"/>
              <w:start w:w="100" w:type="dxa"/>
              <w:bottom w:w="80" w:type="dxa"/>
              <w:end w:w="100" w:type="dxa"/>
            </w:tcMar>
          </w:tcPr>
          <w:p>
            <w:pPr>
              <w:spacing w:after="0"/>
              <w:jc w:val="right"/>
            </w:pPr>
            <w:r>
              <w:rPr>
                <w:rFonts w:ascii="Calibri" w:hAnsi="Calibri"/>
                <w:sz w:val="15"/>
              </w:rPr>
              <w:t>Wiederholbarkeit</w:t>
            </w:r>
          </w:p>
        </w:tc>
        <w:tc>
          <w:tcPr>
            <w:tcW w:type="dxa" w:w="3855"/>
            <w:vAlign w:val="center"/>
            <w:tcMar>
              <w:top w:w="80" w:type="dxa"/>
              <w:start w:w="100" w:type="dxa"/>
              <w:bottom w:w="80" w:type="dxa"/>
              <w:end w:w="100" w:type="dxa"/>
            </w:tcMar>
          </w:tcPr>
          <w:p>
            <w:pPr>
              <w:spacing w:after="0"/>
              <w:jc w:val="right"/>
            </w:pPr>
            <w:r>
              <w:rPr>
                <w:rFonts w:ascii="Calibri" w:hAnsi="Calibri"/>
                <w:sz w:val="15"/>
              </w:rPr>
              <w:t>50 Kunden, 250k PV/Monat, positive Cash-Run-rate</w:t>
            </w:r>
          </w:p>
        </w:tc>
        <w:tc>
          <w:tcPr>
            <w:tcW w:type="dxa" w:w="3118"/>
            <w:vAlign w:val="center"/>
            <w:tcMar>
              <w:top w:w="80" w:type="dxa"/>
              <w:start w:w="100" w:type="dxa"/>
              <w:bottom w:w="80" w:type="dxa"/>
              <w:end w:w="100" w:type="dxa"/>
            </w:tcMar>
          </w:tcPr>
          <w:p>
            <w:pPr>
              <w:spacing w:after="0"/>
              <w:jc w:val="right"/>
            </w:pPr>
            <w:r>
              <w:rPr>
                <w:rFonts w:ascii="Calibri" w:hAnsi="Calibri"/>
                <w:sz w:val="15"/>
              </w:rPr>
              <w:t>CAC-Payback &gt;12 Monate: Kanal stoppen</w:t>
            </w:r>
          </w:p>
        </w:tc>
      </w:tr>
      <w:tr>
        <w:trPr>
          <w:cantSplit/>
        </w:trPr>
        <w:tc>
          <w:tcPr>
            <w:tcW w:type="dxa" w:w="1871"/>
            <w:vAlign w:val="center"/>
            <w:tcMar>
              <w:top w:w="80" w:type="dxa"/>
              <w:start w:w="100" w:type="dxa"/>
              <w:bottom w:w="80" w:type="dxa"/>
              <w:end w:w="100" w:type="dxa"/>
            </w:tcMar>
            <w:shd w:fill="F3F7F9"/>
          </w:tcPr>
          <w:p>
            <w:pPr>
              <w:spacing w:after="0"/>
              <w:jc w:val="left"/>
            </w:pPr>
            <w:r>
              <w:rPr>
                <w:rFonts w:ascii="Calibri" w:hAnsi="Calibri"/>
                <w:b/>
                <w:sz w:val="15"/>
              </w:rPr>
              <w:t>Aug 2028–Jan 2029</w:t>
            </w:r>
          </w:p>
        </w:tc>
        <w:tc>
          <w:tcPr>
            <w:tcW w:type="dxa" w:w="2381"/>
            <w:vAlign w:val="center"/>
            <w:tcMar>
              <w:top w:w="80" w:type="dxa"/>
              <w:start w:w="100" w:type="dxa"/>
              <w:bottom w:w="80" w:type="dxa"/>
              <w:end w:w="100" w:type="dxa"/>
            </w:tcMar>
            <w:shd w:fill="F3F7F9"/>
          </w:tcPr>
          <w:p>
            <w:pPr>
              <w:spacing w:after="0"/>
              <w:jc w:val="right"/>
            </w:pPr>
            <w:r>
              <w:rPr>
                <w:rFonts w:ascii="Calibri" w:hAnsi="Calibri"/>
                <w:sz w:val="15"/>
              </w:rPr>
              <w:t>Team-Gate</w:t>
            </w:r>
          </w:p>
        </w:tc>
        <w:tc>
          <w:tcPr>
            <w:tcW w:type="dxa" w:w="3855"/>
            <w:vAlign w:val="center"/>
            <w:tcMar>
              <w:top w:w="80" w:type="dxa"/>
              <w:start w:w="100" w:type="dxa"/>
              <w:bottom w:w="80" w:type="dxa"/>
              <w:end w:w="100" w:type="dxa"/>
            </w:tcMar>
            <w:shd w:fill="F3F7F9"/>
          </w:tcPr>
          <w:p>
            <w:pPr>
              <w:spacing w:after="0"/>
              <w:jc w:val="right"/>
            </w:pPr>
            <w:r>
              <w:rPr>
                <w:rFonts w:ascii="Calibri" w:hAnsi="Calibri"/>
                <w:sz w:val="15"/>
              </w:rPr>
              <w:t>75 Kunden, erste Teilzeitrolle vorbereitet</w:t>
            </w:r>
          </w:p>
        </w:tc>
        <w:tc>
          <w:tcPr>
            <w:tcW w:type="dxa" w:w="3118"/>
            <w:vAlign w:val="center"/>
            <w:tcMar>
              <w:top w:w="80" w:type="dxa"/>
              <w:start w:w="100" w:type="dxa"/>
              <w:bottom w:w="80" w:type="dxa"/>
              <w:end w:w="100" w:type="dxa"/>
            </w:tcMar>
            <w:shd w:fill="F3F7F9"/>
          </w:tcPr>
          <w:p>
            <w:pPr>
              <w:spacing w:after="0"/>
              <w:jc w:val="right"/>
            </w:pPr>
            <w:r>
              <w:rPr>
                <w:rFonts w:ascii="Calibri" w:hAnsi="Calibri"/>
                <w:sz w:val="15"/>
              </w:rPr>
              <w:t>Keine Einstellung ohne 12 Monate Runway</w:t>
            </w:r>
          </w:p>
        </w:tc>
      </w:tr>
      <w:tr>
        <w:trPr>
          <w:cantSplit/>
        </w:trPr>
        <w:tc>
          <w:tcPr>
            <w:tcW w:type="dxa" w:w="1871"/>
            <w:vAlign w:val="center"/>
            <w:tcMar>
              <w:top w:w="80" w:type="dxa"/>
              <w:start w:w="100" w:type="dxa"/>
              <w:bottom w:w="80" w:type="dxa"/>
              <w:end w:w="100" w:type="dxa"/>
            </w:tcMar>
          </w:tcPr>
          <w:p>
            <w:pPr>
              <w:spacing w:after="0"/>
              <w:jc w:val="left"/>
            </w:pPr>
            <w:r>
              <w:rPr>
                <w:rFonts w:ascii="Calibri" w:hAnsi="Calibri"/>
                <w:b/>
                <w:sz w:val="15"/>
              </w:rPr>
              <w:t>Feb–Jul 2029</w:t>
            </w:r>
          </w:p>
        </w:tc>
        <w:tc>
          <w:tcPr>
            <w:tcW w:type="dxa" w:w="2381"/>
            <w:vAlign w:val="center"/>
            <w:tcMar>
              <w:top w:w="80" w:type="dxa"/>
              <w:start w:w="100" w:type="dxa"/>
              <w:bottom w:w="80" w:type="dxa"/>
              <w:end w:w="100" w:type="dxa"/>
            </w:tcMar>
          </w:tcPr>
          <w:p>
            <w:pPr>
              <w:spacing w:after="0"/>
              <w:jc w:val="right"/>
            </w:pPr>
            <w:r>
              <w:rPr>
                <w:rFonts w:ascii="Calibri" w:hAnsi="Calibri"/>
                <w:sz w:val="15"/>
              </w:rPr>
              <w:t>Deutschland-PMF</w:t>
            </w:r>
          </w:p>
        </w:tc>
        <w:tc>
          <w:tcPr>
            <w:tcW w:type="dxa" w:w="3855"/>
            <w:vAlign w:val="center"/>
            <w:tcMar>
              <w:top w:w="80" w:type="dxa"/>
              <w:start w:w="100" w:type="dxa"/>
              <w:bottom w:w="80" w:type="dxa"/>
              <w:end w:w="100" w:type="dxa"/>
            </w:tcMar>
          </w:tcPr>
          <w:p>
            <w:pPr>
              <w:spacing w:after="0"/>
              <w:jc w:val="right"/>
            </w:pPr>
            <w:r>
              <w:rPr>
                <w:rFonts w:ascii="Calibri" w:hAnsi="Calibri"/>
                <w:sz w:val="15"/>
              </w:rPr>
              <w:t>100 Kunden, dokumentierte Retention und Referenzen</w:t>
            </w:r>
          </w:p>
        </w:tc>
        <w:tc>
          <w:tcPr>
            <w:tcW w:type="dxa" w:w="3118"/>
            <w:vAlign w:val="center"/>
            <w:tcMar>
              <w:top w:w="80" w:type="dxa"/>
              <w:start w:w="100" w:type="dxa"/>
              <w:bottom w:w="80" w:type="dxa"/>
              <w:end w:w="100" w:type="dxa"/>
            </w:tcMar>
          </w:tcPr>
          <w:p>
            <w:pPr>
              <w:spacing w:after="0"/>
              <w:jc w:val="right"/>
            </w:pPr>
            <w:r>
              <w:rPr>
                <w:rFonts w:ascii="Calibri" w:hAnsi="Calibri"/>
                <w:sz w:val="15"/>
              </w:rPr>
              <w:t>Internationalisierung erst bei NRR ≥100%</w:t>
            </w:r>
          </w:p>
        </w:tc>
      </w:tr>
    </w:tbl>
    <w:p>
      <w:pPr>
        <w:spacing w:after="20"/>
      </w:pPr>
    </w:p>
    <w:p>
      <w:r>
        <w:br w:type="page"/>
      </w:r>
    </w:p>
    <w:p>
      <w:pPr>
        <w:pStyle w:val="Heading1"/>
      </w:pPr>
      <w:r>
        <w:t>16. Chancen, Risiken und konkrete Gegenmaßnahmen</w:t>
      </w:r>
    </w:p>
    <w:tbl>
      <w:tblPr>
        <w:tblStyle w:val="TableGrid"/>
        <w:tblW w:type="auto" w:w="0"/>
        <w:jc w:val="center"/>
        <w:tblLayout w:type="fixed"/>
        <w:tblLook w:firstColumn="1" w:firstRow="1" w:lastColumn="0" w:lastRow="0" w:noHBand="0" w:noVBand="1" w:val="04A0"/>
      </w:tblPr>
      <w:tblGrid>
        <w:gridCol w:w="1970"/>
        <w:gridCol w:w="1970"/>
        <w:gridCol w:w="1970"/>
        <w:gridCol w:w="1970"/>
        <w:gridCol w:w="1970"/>
      </w:tblGrid>
      <w:tr>
        <w:trPr>
          <w:tblHeader w:val="true"/>
        </w:trPr>
        <w:tc>
          <w:tcPr>
            <w:tcW w:type="dxa" w:w="1984"/>
            <w:shd w:fill="1F5A7A"/>
            <w:vAlign w:val="center"/>
            <w:tcMar>
              <w:top w:w="80" w:type="dxa"/>
              <w:start w:w="100" w:type="dxa"/>
              <w:bottom w:w="80" w:type="dxa"/>
              <w:end w:w="100" w:type="dxa"/>
            </w:tcMar>
          </w:tcPr>
          <w:p>
            <w:pPr>
              <w:spacing w:after="0"/>
              <w:jc w:val="center"/>
            </w:pPr>
            <w:r>
              <w:rPr>
                <w:rFonts w:ascii="Calibri" w:hAnsi="Calibri"/>
                <w:b/>
                <w:color w:val="FFFFFF"/>
                <w:sz w:val="14"/>
              </w:rPr>
              <w:t>Risiko</w:t>
            </w:r>
          </w:p>
        </w:tc>
        <w:tc>
          <w:tcPr>
            <w:tcW w:type="dxa" w:w="1474"/>
            <w:shd w:fill="1F5A7A"/>
            <w:vAlign w:val="center"/>
            <w:tcMar>
              <w:top w:w="80" w:type="dxa"/>
              <w:start w:w="100" w:type="dxa"/>
              <w:bottom w:w="80" w:type="dxa"/>
              <w:end w:w="100" w:type="dxa"/>
            </w:tcMar>
          </w:tcPr>
          <w:p>
            <w:pPr>
              <w:spacing w:after="0"/>
              <w:jc w:val="center"/>
            </w:pPr>
            <w:r>
              <w:rPr>
                <w:rFonts w:ascii="Calibri" w:hAnsi="Calibri"/>
                <w:b/>
                <w:color w:val="FFFFFF"/>
                <w:sz w:val="14"/>
              </w:rPr>
              <w:t>Wahrscheinlichkeit</w:t>
            </w:r>
          </w:p>
        </w:tc>
        <w:tc>
          <w:tcPr>
            <w:tcW w:type="dxa" w:w="1417"/>
            <w:shd w:fill="1F5A7A"/>
            <w:vAlign w:val="center"/>
            <w:tcMar>
              <w:top w:w="80" w:type="dxa"/>
              <w:start w:w="100" w:type="dxa"/>
              <w:bottom w:w="80" w:type="dxa"/>
              <w:end w:w="100" w:type="dxa"/>
            </w:tcMar>
          </w:tcPr>
          <w:p>
            <w:pPr>
              <w:spacing w:after="0"/>
              <w:jc w:val="center"/>
            </w:pPr>
            <w:r>
              <w:rPr>
                <w:rFonts w:ascii="Calibri" w:hAnsi="Calibri"/>
                <w:b/>
                <w:color w:val="FFFFFF"/>
                <w:sz w:val="14"/>
              </w:rPr>
              <w:t>Auswirkung</w:t>
            </w:r>
          </w:p>
        </w:tc>
        <w:tc>
          <w:tcPr>
            <w:tcW w:type="dxa" w:w="3912"/>
            <w:shd w:fill="1F5A7A"/>
            <w:vAlign w:val="center"/>
            <w:tcMar>
              <w:top w:w="80" w:type="dxa"/>
              <w:start w:w="100" w:type="dxa"/>
              <w:bottom w:w="80" w:type="dxa"/>
              <w:end w:w="100" w:type="dxa"/>
            </w:tcMar>
          </w:tcPr>
          <w:p>
            <w:pPr>
              <w:spacing w:after="0"/>
              <w:jc w:val="center"/>
            </w:pPr>
            <w:r>
              <w:rPr>
                <w:rFonts w:ascii="Calibri" w:hAnsi="Calibri"/>
                <w:b/>
                <w:color w:val="FFFFFF"/>
                <w:sz w:val="14"/>
              </w:rPr>
              <w:t>Gegenmaßnahme</w:t>
            </w:r>
          </w:p>
        </w:tc>
        <w:tc>
          <w:tcPr>
            <w:tcW w:type="dxa" w:w="2494"/>
            <w:shd w:fill="1F5A7A"/>
            <w:vAlign w:val="center"/>
            <w:tcMar>
              <w:top w:w="80" w:type="dxa"/>
              <w:start w:w="100" w:type="dxa"/>
              <w:bottom w:w="80" w:type="dxa"/>
              <w:end w:w="100" w:type="dxa"/>
            </w:tcMar>
          </w:tcPr>
          <w:p>
            <w:pPr>
              <w:spacing w:after="0"/>
              <w:jc w:val="center"/>
            </w:pPr>
            <w:r>
              <w:rPr>
                <w:rFonts w:ascii="Calibri" w:hAnsi="Calibri"/>
                <w:b/>
                <w:color w:val="FFFFFF"/>
                <w:sz w:val="14"/>
              </w:rPr>
              <w:t>Frühindikator</w:t>
            </w:r>
          </w:p>
        </w:tc>
      </w:tr>
      <w:tr>
        <w:trPr>
          <w:cantSplit/>
        </w:trPr>
        <w:tc>
          <w:tcPr>
            <w:tcW w:type="dxa" w:w="1984"/>
            <w:vAlign w:val="center"/>
            <w:tcMar>
              <w:top w:w="80" w:type="dxa"/>
              <w:start w:w="100" w:type="dxa"/>
              <w:bottom w:w="80" w:type="dxa"/>
              <w:end w:w="100" w:type="dxa"/>
            </w:tcMar>
          </w:tcPr>
          <w:p>
            <w:pPr>
              <w:spacing w:after="0"/>
              <w:jc w:val="left"/>
            </w:pPr>
            <w:r>
              <w:rPr>
                <w:rFonts w:ascii="Calibri" w:hAnsi="Calibri"/>
                <w:b/>
                <w:sz w:val="14"/>
              </w:rPr>
              <w:t>Keine Zahlungsbereitschaft</w:t>
            </w:r>
          </w:p>
        </w:tc>
        <w:tc>
          <w:tcPr>
            <w:tcW w:type="dxa" w:w="1474"/>
            <w:vAlign w:val="center"/>
            <w:tcMar>
              <w:top w:w="80" w:type="dxa"/>
              <w:start w:w="100" w:type="dxa"/>
              <w:bottom w:w="80" w:type="dxa"/>
              <w:end w:w="100" w:type="dxa"/>
            </w:tcMar>
          </w:tcPr>
          <w:p>
            <w:pPr>
              <w:spacing w:after="0"/>
              <w:jc w:val="right"/>
            </w:pPr>
            <w:r>
              <w:rPr>
                <w:rFonts w:ascii="Calibri" w:hAnsi="Calibri"/>
                <w:sz w:val="14"/>
              </w:rPr>
              <w:t>hoch</w:t>
            </w:r>
          </w:p>
        </w:tc>
        <w:tc>
          <w:tcPr>
            <w:tcW w:type="dxa" w:w="1417"/>
            <w:vAlign w:val="center"/>
            <w:tcMar>
              <w:top w:w="80" w:type="dxa"/>
              <w:start w:w="100" w:type="dxa"/>
              <w:bottom w:w="80" w:type="dxa"/>
              <w:end w:w="100" w:type="dxa"/>
            </w:tcMar>
          </w:tcPr>
          <w:p>
            <w:pPr>
              <w:spacing w:after="0"/>
              <w:jc w:val="right"/>
            </w:pPr>
            <w:r>
              <w:rPr>
                <w:rFonts w:ascii="Calibri" w:hAnsi="Calibri"/>
                <w:sz w:val="14"/>
              </w:rPr>
              <w:t>sehr hoch</w:t>
            </w:r>
          </w:p>
        </w:tc>
        <w:tc>
          <w:tcPr>
            <w:tcW w:type="dxa" w:w="3912"/>
            <w:vAlign w:val="center"/>
            <w:tcMar>
              <w:top w:w="80" w:type="dxa"/>
              <w:start w:w="100" w:type="dxa"/>
              <w:bottom w:w="80" w:type="dxa"/>
              <w:end w:w="100" w:type="dxa"/>
            </w:tcMar>
          </w:tcPr>
          <w:p>
            <w:pPr>
              <w:spacing w:after="0"/>
              <w:jc w:val="right"/>
            </w:pPr>
            <w:r>
              <w:rPr>
                <w:rFonts w:ascii="Calibri" w:hAnsi="Calibri"/>
                <w:sz w:val="14"/>
              </w:rPr>
              <w:t>bezahlte Designpartner, Preisinterviews, enger ICP</w:t>
            </w:r>
          </w:p>
        </w:tc>
        <w:tc>
          <w:tcPr>
            <w:tcW w:type="dxa" w:w="2494"/>
            <w:vAlign w:val="center"/>
            <w:tcMar>
              <w:top w:w="80" w:type="dxa"/>
              <w:start w:w="100" w:type="dxa"/>
              <w:bottom w:w="80" w:type="dxa"/>
              <w:end w:w="100" w:type="dxa"/>
            </w:tcMar>
          </w:tcPr>
          <w:p>
            <w:pPr>
              <w:spacing w:after="0"/>
              <w:jc w:val="right"/>
            </w:pPr>
            <w:r>
              <w:rPr>
                <w:rFonts w:ascii="Calibri" w:hAnsi="Calibri"/>
                <w:sz w:val="14"/>
              </w:rPr>
              <w:t>Pilot→Paid &lt;30%</w:t>
            </w:r>
          </w:p>
        </w:tc>
      </w:tr>
      <w:tr>
        <w:trPr>
          <w:cantSplit/>
        </w:trPr>
        <w:tc>
          <w:tcPr>
            <w:tcW w:type="dxa" w:w="1984"/>
            <w:vAlign w:val="center"/>
            <w:tcMar>
              <w:top w:w="80" w:type="dxa"/>
              <w:start w:w="100" w:type="dxa"/>
              <w:bottom w:w="80" w:type="dxa"/>
              <w:end w:w="100" w:type="dxa"/>
            </w:tcMar>
            <w:shd w:fill="F3F7F9"/>
          </w:tcPr>
          <w:p>
            <w:pPr>
              <w:spacing w:after="0"/>
              <w:jc w:val="left"/>
            </w:pPr>
            <w:r>
              <w:rPr>
                <w:rFonts w:ascii="Calibri" w:hAnsi="Calibri"/>
                <w:b/>
                <w:sz w:val="14"/>
              </w:rPr>
              <w:t>Eventtraffic fällt ab</w:t>
            </w:r>
          </w:p>
        </w:tc>
        <w:tc>
          <w:tcPr>
            <w:tcW w:type="dxa" w:w="1474"/>
            <w:vAlign w:val="center"/>
            <w:tcMar>
              <w:top w:w="80" w:type="dxa"/>
              <w:start w:w="100" w:type="dxa"/>
              <w:bottom w:w="80" w:type="dxa"/>
              <w:end w:w="100" w:type="dxa"/>
            </w:tcMar>
            <w:shd w:fill="F3F7F9"/>
          </w:tcPr>
          <w:p>
            <w:pPr>
              <w:spacing w:after="0"/>
              <w:jc w:val="right"/>
            </w:pPr>
            <w:r>
              <w:rPr>
                <w:rFonts w:ascii="Calibri" w:hAnsi="Calibri"/>
                <w:sz w:val="14"/>
              </w:rPr>
              <w:t>hoch</w:t>
            </w:r>
          </w:p>
        </w:tc>
        <w:tc>
          <w:tcPr>
            <w:tcW w:type="dxa" w:w="1417"/>
            <w:vAlign w:val="center"/>
            <w:tcMar>
              <w:top w:w="80" w:type="dxa"/>
              <w:start w:w="100" w:type="dxa"/>
              <w:bottom w:w="80" w:type="dxa"/>
              <w:end w:w="100" w:type="dxa"/>
            </w:tcMar>
            <w:shd w:fill="F3F7F9"/>
          </w:tcPr>
          <w:p>
            <w:pPr>
              <w:spacing w:after="0"/>
              <w:jc w:val="right"/>
            </w:pPr>
            <w:r>
              <w:rPr>
                <w:rFonts w:ascii="Calibri" w:hAnsi="Calibri"/>
                <w:sz w:val="14"/>
              </w:rPr>
              <w:t>mittel</w:t>
            </w:r>
          </w:p>
        </w:tc>
        <w:tc>
          <w:tcPr>
            <w:tcW w:type="dxa" w:w="3912"/>
            <w:vAlign w:val="center"/>
            <w:tcMar>
              <w:top w:w="80" w:type="dxa"/>
              <w:start w:w="100" w:type="dxa"/>
              <w:bottom w:w="80" w:type="dxa"/>
              <w:end w:w="100" w:type="dxa"/>
            </w:tcMar>
            <w:shd w:fill="F3F7F9"/>
          </w:tcPr>
          <w:p>
            <w:pPr>
              <w:spacing w:after="0"/>
              <w:jc w:val="right"/>
            </w:pPr>
            <w:r>
              <w:rPr>
                <w:rFonts w:ascii="Calibri" w:hAnsi="Calibri"/>
                <w:sz w:val="14"/>
              </w:rPr>
              <w:t>SaaS zuerst; Always-on Sportkalender/SEO/Newsletter</w:t>
            </w:r>
          </w:p>
        </w:tc>
        <w:tc>
          <w:tcPr>
            <w:tcW w:type="dxa" w:w="2494"/>
            <w:vAlign w:val="center"/>
            <w:tcMar>
              <w:top w:w="80" w:type="dxa"/>
              <w:start w:w="100" w:type="dxa"/>
              <w:bottom w:w="80" w:type="dxa"/>
              <w:end w:w="100" w:type="dxa"/>
            </w:tcMar>
            <w:shd w:fill="F3F7F9"/>
          </w:tcPr>
          <w:p>
            <w:pPr>
              <w:spacing w:after="0"/>
              <w:jc w:val="right"/>
            </w:pPr>
            <w:r>
              <w:rPr>
                <w:rFonts w:ascii="Calibri" w:hAnsi="Calibri"/>
                <w:sz w:val="14"/>
              </w:rPr>
              <w:t>PV außerhalb Events</w:t>
            </w:r>
          </w:p>
        </w:tc>
      </w:tr>
      <w:tr>
        <w:trPr>
          <w:cantSplit/>
        </w:trPr>
        <w:tc>
          <w:tcPr>
            <w:tcW w:type="dxa" w:w="1984"/>
            <w:vAlign w:val="center"/>
            <w:tcMar>
              <w:top w:w="80" w:type="dxa"/>
              <w:start w:w="100" w:type="dxa"/>
              <w:bottom w:w="80" w:type="dxa"/>
              <w:end w:w="100" w:type="dxa"/>
            </w:tcMar>
          </w:tcPr>
          <w:p>
            <w:pPr>
              <w:spacing w:after="0"/>
              <w:jc w:val="left"/>
            </w:pPr>
            <w:r>
              <w:rPr>
                <w:rFonts w:ascii="Calibri" w:hAnsi="Calibri"/>
                <w:b/>
                <w:sz w:val="14"/>
              </w:rPr>
              <w:t>Daten-/Logorechte unklar</w:t>
            </w:r>
          </w:p>
        </w:tc>
        <w:tc>
          <w:tcPr>
            <w:tcW w:type="dxa" w:w="1474"/>
            <w:vAlign w:val="center"/>
            <w:tcMar>
              <w:top w:w="80" w:type="dxa"/>
              <w:start w:w="100" w:type="dxa"/>
              <w:bottom w:w="80" w:type="dxa"/>
              <w:end w:w="100" w:type="dxa"/>
            </w:tcMar>
          </w:tcPr>
          <w:p>
            <w:pPr>
              <w:spacing w:after="0"/>
              <w:jc w:val="right"/>
            </w:pPr>
            <w:r>
              <w:rPr>
                <w:rFonts w:ascii="Calibri" w:hAnsi="Calibri"/>
                <w:sz w:val="14"/>
              </w:rPr>
              <w:t>mittel-hoch</w:t>
            </w:r>
          </w:p>
        </w:tc>
        <w:tc>
          <w:tcPr>
            <w:tcW w:type="dxa" w:w="1417"/>
            <w:vAlign w:val="center"/>
            <w:tcMar>
              <w:top w:w="80" w:type="dxa"/>
              <w:start w:w="100" w:type="dxa"/>
              <w:bottom w:w="80" w:type="dxa"/>
              <w:end w:w="100" w:type="dxa"/>
            </w:tcMar>
          </w:tcPr>
          <w:p>
            <w:pPr>
              <w:spacing w:after="0"/>
              <w:jc w:val="right"/>
            </w:pPr>
            <w:r>
              <w:rPr>
                <w:rFonts w:ascii="Calibri" w:hAnsi="Calibri"/>
                <w:sz w:val="14"/>
              </w:rPr>
              <w:t>sehr hoch</w:t>
            </w:r>
          </w:p>
        </w:tc>
        <w:tc>
          <w:tcPr>
            <w:tcW w:type="dxa" w:w="3912"/>
            <w:vAlign w:val="center"/>
            <w:tcMar>
              <w:top w:w="80" w:type="dxa"/>
              <w:start w:w="100" w:type="dxa"/>
              <w:bottom w:w="80" w:type="dxa"/>
              <w:end w:w="100" w:type="dxa"/>
            </w:tcMar>
          </w:tcPr>
          <w:p>
            <w:pPr>
              <w:spacing w:after="0"/>
              <w:jc w:val="right"/>
            </w:pPr>
            <w:r>
              <w:rPr>
                <w:rFonts w:ascii="Calibri" w:hAnsi="Calibri"/>
                <w:sz w:val="14"/>
              </w:rPr>
              <w:t>schriftliche Lizenz, Ersatzassets, Rechtsprüfung</w:t>
            </w:r>
          </w:p>
        </w:tc>
        <w:tc>
          <w:tcPr>
            <w:tcW w:type="dxa" w:w="2494"/>
            <w:vAlign w:val="center"/>
            <w:tcMar>
              <w:top w:w="80" w:type="dxa"/>
              <w:start w:w="100" w:type="dxa"/>
              <w:bottom w:w="80" w:type="dxa"/>
              <w:end w:w="100" w:type="dxa"/>
            </w:tcMar>
          </w:tcPr>
          <w:p>
            <w:pPr>
              <w:spacing w:after="0"/>
              <w:jc w:val="right"/>
            </w:pPr>
            <w:r>
              <w:rPr>
                <w:rFonts w:ascii="Calibri" w:hAnsi="Calibri"/>
                <w:sz w:val="14"/>
              </w:rPr>
              <w:t>fehlende Vertragsklausel</w:t>
            </w:r>
          </w:p>
        </w:tc>
      </w:tr>
      <w:tr>
        <w:trPr>
          <w:cantSplit/>
        </w:trPr>
        <w:tc>
          <w:tcPr>
            <w:tcW w:type="dxa" w:w="1984"/>
            <w:vAlign w:val="center"/>
            <w:tcMar>
              <w:top w:w="80" w:type="dxa"/>
              <w:start w:w="100" w:type="dxa"/>
              <w:bottom w:w="80" w:type="dxa"/>
              <w:end w:w="100" w:type="dxa"/>
            </w:tcMar>
            <w:shd w:fill="F3F7F9"/>
          </w:tcPr>
          <w:p>
            <w:pPr>
              <w:spacing w:after="0"/>
              <w:jc w:val="left"/>
            </w:pPr>
            <w:r>
              <w:rPr>
                <w:rFonts w:ascii="Calibri" w:hAnsi="Calibri"/>
                <w:b/>
                <w:sz w:val="14"/>
              </w:rPr>
              <w:t>Prognosegüte/Vertrauen</w:t>
            </w:r>
          </w:p>
        </w:tc>
        <w:tc>
          <w:tcPr>
            <w:tcW w:type="dxa" w:w="1474"/>
            <w:vAlign w:val="center"/>
            <w:tcMar>
              <w:top w:w="80" w:type="dxa"/>
              <w:start w:w="100" w:type="dxa"/>
              <w:bottom w:w="80" w:type="dxa"/>
              <w:end w:w="100" w:type="dxa"/>
            </w:tcMar>
            <w:shd w:fill="F3F7F9"/>
          </w:tcPr>
          <w:p>
            <w:pPr>
              <w:spacing w:after="0"/>
              <w:jc w:val="right"/>
            </w:pPr>
            <w:r>
              <w:rPr>
                <w:rFonts w:ascii="Calibri" w:hAnsi="Calibri"/>
                <w:sz w:val="14"/>
              </w:rPr>
              <w:t>mittel</w:t>
            </w:r>
          </w:p>
        </w:tc>
        <w:tc>
          <w:tcPr>
            <w:tcW w:type="dxa" w:w="1417"/>
            <w:vAlign w:val="center"/>
            <w:tcMar>
              <w:top w:w="80" w:type="dxa"/>
              <w:start w:w="100" w:type="dxa"/>
              <w:bottom w:w="80" w:type="dxa"/>
              <w:end w:w="100" w:type="dxa"/>
            </w:tcMar>
            <w:shd w:fill="F3F7F9"/>
          </w:tcPr>
          <w:p>
            <w:pPr>
              <w:spacing w:after="0"/>
              <w:jc w:val="right"/>
            </w:pPr>
            <w:r>
              <w:rPr>
                <w:rFonts w:ascii="Calibri" w:hAnsi="Calibri"/>
                <w:sz w:val="14"/>
              </w:rPr>
              <w:t>hoch</w:t>
            </w:r>
          </w:p>
        </w:tc>
        <w:tc>
          <w:tcPr>
            <w:tcW w:type="dxa" w:w="3912"/>
            <w:vAlign w:val="center"/>
            <w:tcMar>
              <w:top w:w="80" w:type="dxa"/>
              <w:start w:w="100" w:type="dxa"/>
              <w:bottom w:w="80" w:type="dxa"/>
              <w:end w:w="100" w:type="dxa"/>
            </w:tcMar>
            <w:shd w:fill="F3F7F9"/>
          </w:tcPr>
          <w:p>
            <w:pPr>
              <w:spacing w:after="0"/>
              <w:jc w:val="right"/>
            </w:pPr>
            <w:r>
              <w:rPr>
                <w:rFonts w:ascii="Calibri" w:hAnsi="Calibri"/>
                <w:sz w:val="14"/>
              </w:rPr>
              <w:t>öffentliche Kalibrierung, Baselines, Versionierung</w:t>
            </w:r>
          </w:p>
        </w:tc>
        <w:tc>
          <w:tcPr>
            <w:tcW w:type="dxa" w:w="2494"/>
            <w:vAlign w:val="center"/>
            <w:tcMar>
              <w:top w:w="80" w:type="dxa"/>
              <w:start w:w="100" w:type="dxa"/>
              <w:bottom w:w="80" w:type="dxa"/>
              <w:end w:w="100" w:type="dxa"/>
            </w:tcMar>
            <w:shd w:fill="F3F7F9"/>
          </w:tcPr>
          <w:p>
            <w:pPr>
              <w:spacing w:after="0"/>
              <w:jc w:val="right"/>
            </w:pPr>
            <w:r>
              <w:rPr>
                <w:rFonts w:ascii="Calibri" w:hAnsi="Calibri"/>
                <w:sz w:val="14"/>
              </w:rPr>
              <w:t>Brier/Log Loss driftet</w:t>
            </w:r>
          </w:p>
        </w:tc>
      </w:tr>
      <w:tr>
        <w:trPr>
          <w:cantSplit/>
        </w:trPr>
        <w:tc>
          <w:tcPr>
            <w:tcW w:type="dxa" w:w="1984"/>
            <w:vAlign w:val="center"/>
            <w:tcMar>
              <w:top w:w="80" w:type="dxa"/>
              <w:start w:w="100" w:type="dxa"/>
              <w:bottom w:w="80" w:type="dxa"/>
              <w:end w:w="100" w:type="dxa"/>
            </w:tcMar>
          </w:tcPr>
          <w:p>
            <w:pPr>
              <w:spacing w:after="0"/>
              <w:jc w:val="left"/>
            </w:pPr>
            <w:r>
              <w:rPr>
                <w:rFonts w:ascii="Calibri" w:hAnsi="Calibri"/>
                <w:b/>
                <w:sz w:val="14"/>
              </w:rPr>
              <w:t>Founder-Kapazität</w:t>
            </w:r>
          </w:p>
        </w:tc>
        <w:tc>
          <w:tcPr>
            <w:tcW w:type="dxa" w:w="1474"/>
            <w:vAlign w:val="center"/>
            <w:tcMar>
              <w:top w:w="80" w:type="dxa"/>
              <w:start w:w="100" w:type="dxa"/>
              <w:bottom w:w="80" w:type="dxa"/>
              <w:end w:w="100" w:type="dxa"/>
            </w:tcMar>
          </w:tcPr>
          <w:p>
            <w:pPr>
              <w:spacing w:after="0"/>
              <w:jc w:val="right"/>
            </w:pPr>
            <w:r>
              <w:rPr>
                <w:rFonts w:ascii="Calibri" w:hAnsi="Calibri"/>
                <w:sz w:val="14"/>
              </w:rPr>
              <w:t>hoch</w:t>
            </w:r>
          </w:p>
        </w:tc>
        <w:tc>
          <w:tcPr>
            <w:tcW w:type="dxa" w:w="1417"/>
            <w:vAlign w:val="center"/>
            <w:tcMar>
              <w:top w:w="80" w:type="dxa"/>
              <w:start w:w="100" w:type="dxa"/>
              <w:bottom w:w="80" w:type="dxa"/>
              <w:end w:w="100" w:type="dxa"/>
            </w:tcMar>
          </w:tcPr>
          <w:p>
            <w:pPr>
              <w:spacing w:after="0"/>
              <w:jc w:val="right"/>
            </w:pPr>
            <w:r>
              <w:rPr>
                <w:rFonts w:ascii="Calibri" w:hAnsi="Calibri"/>
                <w:sz w:val="14"/>
              </w:rPr>
              <w:t>hoch</w:t>
            </w:r>
          </w:p>
        </w:tc>
        <w:tc>
          <w:tcPr>
            <w:tcW w:type="dxa" w:w="3912"/>
            <w:vAlign w:val="center"/>
            <w:tcMar>
              <w:top w:w="80" w:type="dxa"/>
              <w:start w:w="100" w:type="dxa"/>
              <w:bottom w:w="80" w:type="dxa"/>
              <w:end w:w="100" w:type="dxa"/>
            </w:tcMar>
          </w:tcPr>
          <w:p>
            <w:pPr>
              <w:spacing w:after="0"/>
              <w:jc w:val="right"/>
            </w:pPr>
            <w:r>
              <w:rPr>
                <w:rFonts w:ascii="Calibri" w:hAnsi="Calibri"/>
                <w:sz w:val="14"/>
              </w:rPr>
              <w:t>enge Roadmap, Rotationsplan, Automatisierung mit Kontrolle</w:t>
            </w:r>
          </w:p>
        </w:tc>
        <w:tc>
          <w:tcPr>
            <w:tcW w:type="dxa" w:w="2494"/>
            <w:vAlign w:val="center"/>
            <w:tcMar>
              <w:top w:w="80" w:type="dxa"/>
              <w:start w:w="100" w:type="dxa"/>
              <w:bottom w:w="80" w:type="dxa"/>
              <w:end w:w="100" w:type="dxa"/>
            </w:tcMar>
          </w:tcPr>
          <w:p>
            <w:pPr>
              <w:spacing w:after="0"/>
              <w:jc w:val="right"/>
            </w:pPr>
            <w:r>
              <w:rPr>
                <w:rFonts w:ascii="Calibri" w:hAnsi="Calibri"/>
                <w:sz w:val="14"/>
              </w:rPr>
              <w:t>Support-/Sales-SLAs verfehlt</w:t>
            </w:r>
          </w:p>
        </w:tc>
      </w:tr>
      <w:tr>
        <w:trPr>
          <w:cantSplit/>
        </w:trPr>
        <w:tc>
          <w:tcPr>
            <w:tcW w:type="dxa" w:w="1984"/>
            <w:vAlign w:val="center"/>
            <w:tcMar>
              <w:top w:w="80" w:type="dxa"/>
              <w:start w:w="100" w:type="dxa"/>
              <w:bottom w:w="80" w:type="dxa"/>
              <w:end w:w="100" w:type="dxa"/>
            </w:tcMar>
            <w:shd w:fill="F3F7F9"/>
          </w:tcPr>
          <w:p>
            <w:pPr>
              <w:spacing w:after="0"/>
              <w:jc w:val="left"/>
            </w:pPr>
            <w:r>
              <w:rPr>
                <w:rFonts w:ascii="Calibri" w:hAnsi="Calibri"/>
                <w:b/>
                <w:sz w:val="14"/>
              </w:rPr>
              <w:t>50/50-Deadlock</w:t>
            </w:r>
          </w:p>
        </w:tc>
        <w:tc>
          <w:tcPr>
            <w:tcW w:type="dxa" w:w="1474"/>
            <w:vAlign w:val="center"/>
            <w:tcMar>
              <w:top w:w="80" w:type="dxa"/>
              <w:start w:w="100" w:type="dxa"/>
              <w:bottom w:w="80" w:type="dxa"/>
              <w:end w:w="100" w:type="dxa"/>
            </w:tcMar>
            <w:shd w:fill="F3F7F9"/>
          </w:tcPr>
          <w:p>
            <w:pPr>
              <w:spacing w:after="0"/>
              <w:jc w:val="right"/>
            </w:pPr>
            <w:r>
              <w:rPr>
                <w:rFonts w:ascii="Calibri" w:hAnsi="Calibri"/>
                <w:sz w:val="14"/>
              </w:rPr>
              <w:t>mittel</w:t>
            </w:r>
          </w:p>
        </w:tc>
        <w:tc>
          <w:tcPr>
            <w:tcW w:type="dxa" w:w="1417"/>
            <w:vAlign w:val="center"/>
            <w:tcMar>
              <w:top w:w="80" w:type="dxa"/>
              <w:start w:w="100" w:type="dxa"/>
              <w:bottom w:w="80" w:type="dxa"/>
              <w:end w:w="100" w:type="dxa"/>
            </w:tcMar>
            <w:shd w:fill="F3F7F9"/>
          </w:tcPr>
          <w:p>
            <w:pPr>
              <w:spacing w:after="0"/>
              <w:jc w:val="right"/>
            </w:pPr>
            <w:r>
              <w:rPr>
                <w:rFonts w:ascii="Calibri" w:hAnsi="Calibri"/>
                <w:sz w:val="14"/>
              </w:rPr>
              <w:t>hoch</w:t>
            </w:r>
          </w:p>
        </w:tc>
        <w:tc>
          <w:tcPr>
            <w:tcW w:type="dxa" w:w="3912"/>
            <w:vAlign w:val="center"/>
            <w:tcMar>
              <w:top w:w="80" w:type="dxa"/>
              <w:start w:w="100" w:type="dxa"/>
              <w:bottom w:w="80" w:type="dxa"/>
              <w:end w:w="100" w:type="dxa"/>
            </w:tcMar>
            <w:shd w:fill="F3F7F9"/>
          </w:tcPr>
          <w:p>
            <w:pPr>
              <w:spacing w:after="0"/>
              <w:jc w:val="right"/>
            </w:pPr>
            <w:r>
              <w:rPr>
                <w:rFonts w:ascii="Calibri" w:hAnsi="Calibri"/>
                <w:sz w:val="14"/>
              </w:rPr>
              <w:t>Gesellschaftervertrag, Mediations-/Buy-sell-Mechanismus</w:t>
            </w:r>
          </w:p>
        </w:tc>
        <w:tc>
          <w:tcPr>
            <w:tcW w:type="dxa" w:w="2494"/>
            <w:vAlign w:val="center"/>
            <w:tcMar>
              <w:top w:w="80" w:type="dxa"/>
              <w:start w:w="100" w:type="dxa"/>
              <w:bottom w:w="80" w:type="dxa"/>
              <w:end w:w="100" w:type="dxa"/>
            </w:tcMar>
            <w:shd w:fill="F3F7F9"/>
          </w:tcPr>
          <w:p>
            <w:pPr>
              <w:spacing w:after="0"/>
              <w:jc w:val="right"/>
            </w:pPr>
            <w:r>
              <w:rPr>
                <w:rFonts w:ascii="Calibri" w:hAnsi="Calibri"/>
                <w:sz w:val="14"/>
              </w:rPr>
              <w:t>wiederholte Blockaden</w:t>
            </w:r>
          </w:p>
        </w:tc>
      </w:tr>
      <w:tr>
        <w:trPr>
          <w:cantSplit/>
        </w:trPr>
        <w:tc>
          <w:tcPr>
            <w:tcW w:type="dxa" w:w="1984"/>
            <w:vAlign w:val="center"/>
            <w:tcMar>
              <w:top w:w="80" w:type="dxa"/>
              <w:start w:w="100" w:type="dxa"/>
              <w:bottom w:w="80" w:type="dxa"/>
              <w:end w:w="100" w:type="dxa"/>
            </w:tcMar>
          </w:tcPr>
          <w:p>
            <w:pPr>
              <w:spacing w:after="0"/>
              <w:jc w:val="left"/>
            </w:pPr>
            <w:r>
              <w:rPr>
                <w:rFonts w:ascii="Calibri" w:hAnsi="Calibri"/>
                <w:b/>
                <w:sz w:val="14"/>
              </w:rPr>
              <w:t>Vendor-/Cloud-Ausfall</w:t>
            </w:r>
          </w:p>
        </w:tc>
        <w:tc>
          <w:tcPr>
            <w:tcW w:type="dxa" w:w="1474"/>
            <w:vAlign w:val="center"/>
            <w:tcMar>
              <w:top w:w="80" w:type="dxa"/>
              <w:start w:w="100" w:type="dxa"/>
              <w:bottom w:w="80" w:type="dxa"/>
              <w:end w:w="100" w:type="dxa"/>
            </w:tcMar>
          </w:tcPr>
          <w:p>
            <w:pPr>
              <w:spacing w:after="0"/>
              <w:jc w:val="right"/>
            </w:pPr>
            <w:r>
              <w:rPr>
                <w:rFonts w:ascii="Calibri" w:hAnsi="Calibri"/>
                <w:sz w:val="14"/>
              </w:rPr>
              <w:t>mittel</w:t>
            </w:r>
          </w:p>
        </w:tc>
        <w:tc>
          <w:tcPr>
            <w:tcW w:type="dxa" w:w="1417"/>
            <w:vAlign w:val="center"/>
            <w:tcMar>
              <w:top w:w="80" w:type="dxa"/>
              <w:start w:w="100" w:type="dxa"/>
              <w:bottom w:w="80" w:type="dxa"/>
              <w:end w:w="100" w:type="dxa"/>
            </w:tcMar>
          </w:tcPr>
          <w:p>
            <w:pPr>
              <w:spacing w:after="0"/>
              <w:jc w:val="right"/>
            </w:pPr>
            <w:r>
              <w:rPr>
                <w:rFonts w:ascii="Calibri" w:hAnsi="Calibri"/>
                <w:sz w:val="14"/>
              </w:rPr>
              <w:t>mittel</w:t>
            </w:r>
          </w:p>
        </w:tc>
        <w:tc>
          <w:tcPr>
            <w:tcW w:type="dxa" w:w="3912"/>
            <w:vAlign w:val="center"/>
            <w:tcMar>
              <w:top w:w="80" w:type="dxa"/>
              <w:start w:w="100" w:type="dxa"/>
              <w:bottom w:w="80" w:type="dxa"/>
              <w:end w:w="100" w:type="dxa"/>
            </w:tcMar>
          </w:tcPr>
          <w:p>
            <w:pPr>
              <w:spacing w:after="0"/>
              <w:jc w:val="right"/>
            </w:pPr>
            <w:r>
              <w:rPr>
                <w:rFonts w:ascii="Calibri" w:hAnsi="Calibri"/>
                <w:sz w:val="14"/>
              </w:rPr>
              <w:t>Caching, Backups, Fallback-Provider, Statusseite</w:t>
            </w:r>
          </w:p>
        </w:tc>
        <w:tc>
          <w:tcPr>
            <w:tcW w:type="dxa" w:w="2494"/>
            <w:vAlign w:val="center"/>
            <w:tcMar>
              <w:top w:w="80" w:type="dxa"/>
              <w:start w:w="100" w:type="dxa"/>
              <w:bottom w:w="80" w:type="dxa"/>
              <w:end w:w="100" w:type="dxa"/>
            </w:tcMar>
          </w:tcPr>
          <w:p>
            <w:pPr>
              <w:spacing w:after="0"/>
              <w:jc w:val="right"/>
            </w:pPr>
            <w:r>
              <w:rPr>
                <w:rFonts w:ascii="Calibri" w:hAnsi="Calibri"/>
                <w:sz w:val="14"/>
              </w:rPr>
              <w:t>Fehlerrate/Latenz</w:t>
            </w:r>
          </w:p>
        </w:tc>
      </w:tr>
      <w:tr>
        <w:trPr>
          <w:cantSplit/>
        </w:trPr>
        <w:tc>
          <w:tcPr>
            <w:tcW w:type="dxa" w:w="1984"/>
            <w:vAlign w:val="center"/>
            <w:tcMar>
              <w:top w:w="80" w:type="dxa"/>
              <w:start w:w="100" w:type="dxa"/>
              <w:bottom w:w="80" w:type="dxa"/>
              <w:end w:w="100" w:type="dxa"/>
            </w:tcMar>
            <w:shd w:fill="F3F7F9"/>
          </w:tcPr>
          <w:p>
            <w:pPr>
              <w:spacing w:after="0"/>
              <w:jc w:val="left"/>
            </w:pPr>
            <w:r>
              <w:rPr>
                <w:rFonts w:ascii="Calibri" w:hAnsi="Calibri"/>
                <w:b/>
                <w:sz w:val="14"/>
              </w:rPr>
              <w:t>Haftung/Datenschutz</w:t>
            </w:r>
          </w:p>
        </w:tc>
        <w:tc>
          <w:tcPr>
            <w:tcW w:type="dxa" w:w="1474"/>
            <w:vAlign w:val="center"/>
            <w:tcMar>
              <w:top w:w="80" w:type="dxa"/>
              <w:start w:w="100" w:type="dxa"/>
              <w:bottom w:w="80" w:type="dxa"/>
              <w:end w:w="100" w:type="dxa"/>
            </w:tcMar>
            <w:shd w:fill="F3F7F9"/>
          </w:tcPr>
          <w:p>
            <w:pPr>
              <w:spacing w:after="0"/>
              <w:jc w:val="right"/>
            </w:pPr>
            <w:r>
              <w:rPr>
                <w:rFonts w:ascii="Calibri" w:hAnsi="Calibri"/>
                <w:sz w:val="14"/>
              </w:rPr>
              <w:t>mittel</w:t>
            </w:r>
          </w:p>
        </w:tc>
        <w:tc>
          <w:tcPr>
            <w:tcW w:type="dxa" w:w="1417"/>
            <w:vAlign w:val="center"/>
            <w:tcMar>
              <w:top w:w="80" w:type="dxa"/>
              <w:start w:w="100" w:type="dxa"/>
              <w:bottom w:w="80" w:type="dxa"/>
              <w:end w:w="100" w:type="dxa"/>
            </w:tcMar>
            <w:shd w:fill="F3F7F9"/>
          </w:tcPr>
          <w:p>
            <w:pPr>
              <w:spacing w:after="0"/>
              <w:jc w:val="right"/>
            </w:pPr>
            <w:r>
              <w:rPr>
                <w:rFonts w:ascii="Calibri" w:hAnsi="Calibri"/>
                <w:sz w:val="14"/>
              </w:rPr>
              <w:t>hoch</w:t>
            </w:r>
          </w:p>
        </w:tc>
        <w:tc>
          <w:tcPr>
            <w:tcW w:type="dxa" w:w="3912"/>
            <w:vAlign w:val="center"/>
            <w:tcMar>
              <w:top w:w="80" w:type="dxa"/>
              <w:start w:w="100" w:type="dxa"/>
              <w:bottom w:w="80" w:type="dxa"/>
              <w:end w:w="100" w:type="dxa"/>
            </w:tcMar>
            <w:shd w:fill="F3F7F9"/>
          </w:tcPr>
          <w:p>
            <w:pPr>
              <w:spacing w:after="0"/>
              <w:jc w:val="right"/>
            </w:pPr>
            <w:r>
              <w:rPr>
                <w:rFonts w:ascii="Calibri" w:hAnsi="Calibri"/>
                <w:sz w:val="14"/>
              </w:rPr>
              <w:t>AGB, DPA, CMP, Security, Versicherungen</w:t>
            </w:r>
          </w:p>
        </w:tc>
        <w:tc>
          <w:tcPr>
            <w:tcW w:type="dxa" w:w="2494"/>
            <w:vAlign w:val="center"/>
            <w:tcMar>
              <w:top w:w="80" w:type="dxa"/>
              <w:start w:w="100" w:type="dxa"/>
              <w:bottom w:w="80" w:type="dxa"/>
              <w:end w:w="100" w:type="dxa"/>
            </w:tcMar>
            <w:shd w:fill="F3F7F9"/>
          </w:tcPr>
          <w:p>
            <w:pPr>
              <w:spacing w:after="0"/>
              <w:jc w:val="right"/>
            </w:pPr>
            <w:r>
              <w:rPr>
                <w:rFonts w:ascii="Calibri" w:hAnsi="Calibri"/>
                <w:sz w:val="14"/>
              </w:rPr>
              <w:t>Incidents/Beschwerden</w:t>
            </w:r>
          </w:p>
        </w:tc>
      </w:tr>
    </w:tbl>
    <w:p>
      <w:pPr>
        <w:spacing w:after="20"/>
      </w:pPr>
    </w:p>
    <w:p>
      <w:r>
        <w:t>Größte Chance ist die Kombination aus glaubwürdiger ML-Kompetenz, vorhandener Reichweitenresonanz und einem klaren, kleinen Publisher-Problem. Größtes Risiko ist, diese Resonanz fälschlich als Product-Market-Fit zu behandeln.</w:t>
      </w:r>
    </w:p>
    <w:p>
      <w:r>
        <w:br w:type="page"/>
      </w:r>
    </w:p>
    <w:p>
      <w:pPr>
        <w:pStyle w:val="Heading1"/>
      </w:pPr>
      <w:r>
        <w:t>17. Finanzplanung für mindestens fünf Jahre</w:t>
      </w:r>
    </w:p>
    <w:p>
      <w:r>
        <w:t>Das Modell plant die ersten 24 Monate monatlich und die Jahre 3–5 jährlich. Beträge sind netto. Gründergehälter betragen in M1–M24 cash-seitig 0 €, die Opportunitätskosten von 5.196 € pro Monat werden separat als Schattenrechnung gezeigt. Die Steuerbasis ist konservativ München; Verlustvorträge werden berücksichtigt. Das vollständige, formelgestützte Modell wird als Excel-Datei mitgeliefert.</w:t>
      </w:r>
    </w:p>
    <w:p>
      <w:pPr>
        <w:pStyle w:val="Heading2"/>
      </w:pPr>
      <w:r>
        <w:t>Kernannahmen</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2891"/>
            <w:shd w:fill="1F5A7A"/>
            <w:vAlign w:val="center"/>
            <w:tcMar>
              <w:top w:w="80" w:type="dxa"/>
              <w:start w:w="100" w:type="dxa"/>
              <w:bottom w:w="80" w:type="dxa"/>
              <w:end w:w="100" w:type="dxa"/>
            </w:tcMar>
          </w:tcPr>
          <w:p>
            <w:pPr>
              <w:spacing w:after="0"/>
              <w:jc w:val="center"/>
            </w:pPr>
            <w:r>
              <w:rPr>
                <w:rFonts w:ascii="Calibri" w:hAnsi="Calibri"/>
                <w:b/>
                <w:color w:val="FFFFFF"/>
                <w:sz w:val="17"/>
              </w:rPr>
              <w:t>Treiber</w:t>
            </w:r>
          </w:p>
        </w:tc>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7"/>
              </w:rPr>
              <w:t>Pessimistisch</w:t>
            </w:r>
          </w:p>
        </w:tc>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7"/>
              </w:rPr>
              <w:t>Realistisch</w:t>
            </w:r>
          </w:p>
        </w:tc>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7"/>
              </w:rPr>
              <w:t>Optimistisch</w:t>
            </w:r>
          </w:p>
        </w:tc>
      </w:tr>
      <w:tr>
        <w:trPr>
          <w:cantSplit/>
        </w:trPr>
        <w:tc>
          <w:tcPr>
            <w:tcW w:type="dxa" w:w="2891"/>
            <w:vAlign w:val="center"/>
            <w:tcMar>
              <w:top w:w="80" w:type="dxa"/>
              <w:start w:w="100" w:type="dxa"/>
              <w:bottom w:w="80" w:type="dxa"/>
              <w:end w:w="100" w:type="dxa"/>
            </w:tcMar>
          </w:tcPr>
          <w:p>
            <w:pPr>
              <w:spacing w:after="0"/>
              <w:jc w:val="left"/>
            </w:pPr>
            <w:r>
              <w:rPr>
                <w:rFonts w:ascii="Calibri" w:hAnsi="Calibri"/>
                <w:b/>
                <w:sz w:val="17"/>
              </w:rPr>
              <w:t>B2B-Kunden Ende M12 / M24 / J5</w:t>
            </w:r>
          </w:p>
        </w:tc>
        <w:tc>
          <w:tcPr>
            <w:tcW w:type="dxa" w:w="2268"/>
            <w:vAlign w:val="center"/>
            <w:tcMar>
              <w:top w:w="80" w:type="dxa"/>
              <w:start w:w="100" w:type="dxa"/>
              <w:bottom w:w="80" w:type="dxa"/>
              <w:end w:w="100" w:type="dxa"/>
            </w:tcMar>
          </w:tcPr>
          <w:p>
            <w:pPr>
              <w:spacing w:after="0"/>
              <w:jc w:val="right"/>
            </w:pPr>
            <w:r>
              <w:rPr>
                <w:rFonts w:ascii="Calibri" w:hAnsi="Calibri"/>
                <w:sz w:val="17"/>
              </w:rPr>
              <w:t>5 / 15 / 45</w:t>
            </w:r>
          </w:p>
        </w:tc>
        <w:tc>
          <w:tcPr>
            <w:tcW w:type="dxa" w:w="2268"/>
            <w:vAlign w:val="center"/>
            <w:tcMar>
              <w:top w:w="80" w:type="dxa"/>
              <w:start w:w="100" w:type="dxa"/>
              <w:bottom w:w="80" w:type="dxa"/>
              <w:end w:w="100" w:type="dxa"/>
            </w:tcMar>
          </w:tcPr>
          <w:p>
            <w:pPr>
              <w:spacing w:after="0"/>
              <w:jc w:val="right"/>
            </w:pPr>
            <w:r>
              <w:rPr>
                <w:rFonts w:ascii="Calibri" w:hAnsi="Calibri"/>
                <w:sz w:val="17"/>
              </w:rPr>
              <w:t>15 / 50 / 260</w:t>
            </w:r>
          </w:p>
        </w:tc>
        <w:tc>
          <w:tcPr>
            <w:tcW w:type="dxa" w:w="2268"/>
            <w:vAlign w:val="center"/>
            <w:tcMar>
              <w:top w:w="80" w:type="dxa"/>
              <w:start w:w="100" w:type="dxa"/>
              <w:bottom w:w="80" w:type="dxa"/>
              <w:end w:w="100" w:type="dxa"/>
            </w:tcMar>
          </w:tcPr>
          <w:p>
            <w:pPr>
              <w:spacing w:after="0"/>
              <w:jc w:val="right"/>
            </w:pPr>
            <w:r>
              <w:rPr>
                <w:rFonts w:ascii="Calibri" w:hAnsi="Calibri"/>
                <w:sz w:val="17"/>
              </w:rPr>
              <w:t>30 / 100 / 650</w:t>
            </w:r>
          </w:p>
        </w:tc>
      </w:tr>
      <w:tr>
        <w:trPr>
          <w:cantSplit/>
        </w:trPr>
        <w:tc>
          <w:tcPr>
            <w:tcW w:type="dxa" w:w="2891"/>
            <w:vAlign w:val="center"/>
            <w:tcMar>
              <w:top w:w="80" w:type="dxa"/>
              <w:start w:w="100" w:type="dxa"/>
              <w:bottom w:w="80" w:type="dxa"/>
              <w:end w:w="100" w:type="dxa"/>
            </w:tcMar>
            <w:shd w:fill="F3F7F9"/>
          </w:tcPr>
          <w:p>
            <w:pPr>
              <w:spacing w:after="0"/>
              <w:jc w:val="left"/>
            </w:pPr>
            <w:r>
              <w:rPr>
                <w:rFonts w:ascii="Calibri" w:hAnsi="Calibri"/>
                <w:b/>
                <w:sz w:val="17"/>
              </w:rPr>
              <w:t>Pageviews M12 / M24 / J5</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7"/>
              </w:rPr>
              <w:t>25k / 60k / 200k</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7"/>
              </w:rPr>
              <w:t>75k / 250k / 1,5 Mio.</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7"/>
              </w:rPr>
              <w:t>150k / 700k / 5 Mio.</w:t>
            </w:r>
          </w:p>
        </w:tc>
      </w:tr>
      <w:tr>
        <w:trPr>
          <w:cantSplit/>
        </w:trPr>
        <w:tc>
          <w:tcPr>
            <w:tcW w:type="dxa" w:w="2891"/>
            <w:vAlign w:val="center"/>
            <w:tcMar>
              <w:top w:w="80" w:type="dxa"/>
              <w:start w:w="100" w:type="dxa"/>
              <w:bottom w:w="80" w:type="dxa"/>
              <w:end w:w="100" w:type="dxa"/>
            </w:tcMar>
          </w:tcPr>
          <w:p>
            <w:pPr>
              <w:spacing w:after="0"/>
              <w:jc w:val="left"/>
            </w:pPr>
            <w:r>
              <w:rPr>
                <w:rFonts w:ascii="Calibri" w:hAnsi="Calibri"/>
                <w:b/>
                <w:sz w:val="17"/>
              </w:rPr>
              <w:t>Netto-RPM</w:t>
            </w:r>
          </w:p>
        </w:tc>
        <w:tc>
          <w:tcPr>
            <w:tcW w:type="dxa" w:w="2268"/>
            <w:vAlign w:val="center"/>
            <w:tcMar>
              <w:top w:w="80" w:type="dxa"/>
              <w:start w:w="100" w:type="dxa"/>
              <w:bottom w:w="80" w:type="dxa"/>
              <w:end w:w="100" w:type="dxa"/>
            </w:tcMar>
          </w:tcPr>
          <w:p>
            <w:pPr>
              <w:spacing w:after="0"/>
              <w:jc w:val="right"/>
            </w:pPr>
            <w:r>
              <w:rPr>
                <w:rFonts w:ascii="Calibri" w:hAnsi="Calibri"/>
                <w:sz w:val="17"/>
              </w:rPr>
              <w:t>2,50 €</w:t>
            </w:r>
          </w:p>
        </w:tc>
        <w:tc>
          <w:tcPr>
            <w:tcW w:type="dxa" w:w="2268"/>
            <w:vAlign w:val="center"/>
            <w:tcMar>
              <w:top w:w="80" w:type="dxa"/>
              <w:start w:w="100" w:type="dxa"/>
              <w:bottom w:w="80" w:type="dxa"/>
              <w:end w:w="100" w:type="dxa"/>
            </w:tcMar>
          </w:tcPr>
          <w:p>
            <w:pPr>
              <w:spacing w:after="0"/>
              <w:jc w:val="right"/>
            </w:pPr>
            <w:r>
              <w:rPr>
                <w:rFonts w:ascii="Calibri" w:hAnsi="Calibri"/>
                <w:sz w:val="17"/>
              </w:rPr>
              <w:t>5,00 €</w:t>
            </w:r>
          </w:p>
        </w:tc>
        <w:tc>
          <w:tcPr>
            <w:tcW w:type="dxa" w:w="2268"/>
            <w:vAlign w:val="center"/>
            <w:tcMar>
              <w:top w:w="80" w:type="dxa"/>
              <w:start w:w="100" w:type="dxa"/>
              <w:bottom w:w="80" w:type="dxa"/>
              <w:end w:w="100" w:type="dxa"/>
            </w:tcMar>
          </w:tcPr>
          <w:p>
            <w:pPr>
              <w:spacing w:after="0"/>
              <w:jc w:val="right"/>
            </w:pPr>
            <w:r>
              <w:rPr>
                <w:rFonts w:ascii="Calibri" w:hAnsi="Calibri"/>
                <w:sz w:val="17"/>
              </w:rPr>
              <w:t>8,00 €</w:t>
            </w:r>
          </w:p>
        </w:tc>
      </w:tr>
      <w:tr>
        <w:trPr>
          <w:cantSplit/>
        </w:trPr>
        <w:tc>
          <w:tcPr>
            <w:tcW w:type="dxa" w:w="2891"/>
            <w:vAlign w:val="center"/>
            <w:tcMar>
              <w:top w:w="80" w:type="dxa"/>
              <w:start w:w="100" w:type="dxa"/>
              <w:bottom w:w="80" w:type="dxa"/>
              <w:end w:w="100" w:type="dxa"/>
            </w:tcMar>
            <w:shd w:fill="F3F7F9"/>
          </w:tcPr>
          <w:p>
            <w:pPr>
              <w:spacing w:after="0"/>
              <w:jc w:val="left"/>
            </w:pPr>
            <w:r>
              <w:rPr>
                <w:rFonts w:ascii="Calibri" w:hAnsi="Calibri"/>
                <w:b/>
                <w:sz w:val="17"/>
              </w:rPr>
              <w:t>Monatlicher Churn nach Mindestlaufzeit</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7"/>
              </w:rPr>
              <w:t>3,0%</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7"/>
              </w:rPr>
              <w:t>2,0%</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7"/>
              </w:rPr>
              <w:t>1,0%</w:t>
            </w:r>
          </w:p>
        </w:tc>
      </w:tr>
      <w:tr>
        <w:trPr>
          <w:cantSplit/>
        </w:trPr>
        <w:tc>
          <w:tcPr>
            <w:tcW w:type="dxa" w:w="2891"/>
            <w:vAlign w:val="center"/>
            <w:tcMar>
              <w:top w:w="80" w:type="dxa"/>
              <w:start w:w="100" w:type="dxa"/>
              <w:bottom w:w="80" w:type="dxa"/>
              <w:end w:w="100" w:type="dxa"/>
            </w:tcMar>
          </w:tcPr>
          <w:p>
            <w:pPr>
              <w:spacing w:after="0"/>
              <w:jc w:val="left"/>
            </w:pPr>
            <w:r>
              <w:rPr>
                <w:rFonts w:ascii="Calibri" w:hAnsi="Calibri"/>
                <w:b/>
                <w:sz w:val="17"/>
              </w:rPr>
              <w:t>Variable Daten-/LLM-/Supportkosten</w:t>
            </w:r>
          </w:p>
        </w:tc>
        <w:tc>
          <w:tcPr>
            <w:tcW w:type="dxa" w:w="2268"/>
            <w:vAlign w:val="center"/>
            <w:tcMar>
              <w:top w:w="80" w:type="dxa"/>
              <w:start w:w="100" w:type="dxa"/>
              <w:bottom w:w="80" w:type="dxa"/>
              <w:end w:w="100" w:type="dxa"/>
            </w:tcMar>
          </w:tcPr>
          <w:p>
            <w:pPr>
              <w:spacing w:after="0"/>
              <w:jc w:val="right"/>
            </w:pPr>
            <w:r>
              <w:rPr>
                <w:rFonts w:ascii="Calibri" w:hAnsi="Calibri"/>
                <w:sz w:val="17"/>
              </w:rPr>
              <w:t>0%</w:t>
            </w:r>
          </w:p>
        </w:tc>
        <w:tc>
          <w:tcPr>
            <w:tcW w:type="dxa" w:w="2268"/>
            <w:vAlign w:val="center"/>
            <w:tcMar>
              <w:top w:w="80" w:type="dxa"/>
              <w:start w:w="100" w:type="dxa"/>
              <w:bottom w:w="80" w:type="dxa"/>
              <w:end w:w="100" w:type="dxa"/>
            </w:tcMar>
          </w:tcPr>
          <w:p>
            <w:pPr>
              <w:spacing w:after="0"/>
              <w:jc w:val="right"/>
            </w:pPr>
            <w:r>
              <w:rPr>
                <w:rFonts w:ascii="Calibri" w:hAnsi="Calibri"/>
                <w:sz w:val="17"/>
              </w:rPr>
              <w:t>0%</w:t>
            </w:r>
          </w:p>
        </w:tc>
        <w:tc>
          <w:tcPr>
            <w:tcW w:type="dxa" w:w="2268"/>
            <w:vAlign w:val="center"/>
            <w:tcMar>
              <w:top w:w="80" w:type="dxa"/>
              <w:start w:w="100" w:type="dxa"/>
              <w:bottom w:w="80" w:type="dxa"/>
              <w:end w:w="100" w:type="dxa"/>
            </w:tcMar>
          </w:tcPr>
          <w:p>
            <w:pPr>
              <w:spacing w:after="0"/>
              <w:jc w:val="right"/>
            </w:pPr>
            <w:r>
              <w:rPr>
                <w:rFonts w:ascii="Calibri" w:hAnsi="Calibri"/>
                <w:sz w:val="17"/>
              </w:rPr>
              <w:t>0%</w:t>
            </w:r>
          </w:p>
        </w:tc>
      </w:tr>
      <w:tr>
        <w:trPr>
          <w:cantSplit/>
        </w:trPr>
        <w:tc>
          <w:tcPr>
            <w:tcW w:type="dxa" w:w="2891"/>
            <w:vAlign w:val="center"/>
            <w:tcMar>
              <w:top w:w="80" w:type="dxa"/>
              <w:start w:w="100" w:type="dxa"/>
              <w:bottom w:w="80" w:type="dxa"/>
              <w:end w:w="100" w:type="dxa"/>
            </w:tcMar>
            <w:shd w:fill="F3F7F9"/>
          </w:tcPr>
          <w:p>
            <w:pPr>
              <w:spacing w:after="0"/>
              <w:jc w:val="left"/>
            </w:pPr>
            <w:r>
              <w:rPr>
                <w:rFonts w:ascii="Calibri" w:hAnsi="Calibri"/>
                <w:b/>
                <w:sz w:val="17"/>
              </w:rPr>
              <w:t>Kostenklassifikation</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7"/>
              </w:rPr>
              <w:t>API/Cloud stufenfix</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7"/>
              </w:rPr>
              <w:t>API/Cloud stufenfix</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7"/>
              </w:rPr>
              <w:t>API/Cloud stufenfix</w:t>
            </w:r>
          </w:p>
        </w:tc>
      </w:tr>
      <w:tr>
        <w:trPr>
          <w:cantSplit/>
        </w:trPr>
        <w:tc>
          <w:tcPr>
            <w:tcW w:type="dxa" w:w="2891"/>
            <w:vAlign w:val="center"/>
            <w:tcMar>
              <w:top w:w="80" w:type="dxa"/>
              <w:start w:w="100" w:type="dxa"/>
              <w:bottom w:w="80" w:type="dxa"/>
              <w:end w:w="100" w:type="dxa"/>
            </w:tcMar>
          </w:tcPr>
          <w:p>
            <w:pPr>
              <w:spacing w:after="0"/>
              <w:jc w:val="left"/>
            </w:pPr>
            <w:r>
              <w:rPr>
                <w:rFonts w:ascii="Calibri" w:hAnsi="Calibri"/>
                <w:b/>
                <w:sz w:val="17"/>
              </w:rPr>
              <w:t>Vollkosten-CAC</w:t>
            </w:r>
          </w:p>
        </w:tc>
        <w:tc>
          <w:tcPr>
            <w:tcW w:type="dxa" w:w="2268"/>
            <w:vAlign w:val="center"/>
            <w:tcMar>
              <w:top w:w="80" w:type="dxa"/>
              <w:start w:w="100" w:type="dxa"/>
              <w:bottom w:w="80" w:type="dxa"/>
              <w:end w:w="100" w:type="dxa"/>
            </w:tcMar>
          </w:tcPr>
          <w:p>
            <w:pPr>
              <w:spacing w:after="0"/>
              <w:jc w:val="right"/>
            </w:pPr>
            <w:r>
              <w:rPr>
                <w:rFonts w:ascii="Calibri" w:hAnsi="Calibri"/>
                <w:sz w:val="17"/>
              </w:rPr>
              <w:t>1.500 €</w:t>
            </w:r>
          </w:p>
        </w:tc>
        <w:tc>
          <w:tcPr>
            <w:tcW w:type="dxa" w:w="2268"/>
            <w:vAlign w:val="center"/>
            <w:tcMar>
              <w:top w:w="80" w:type="dxa"/>
              <w:start w:w="100" w:type="dxa"/>
              <w:bottom w:w="80" w:type="dxa"/>
              <w:end w:w="100" w:type="dxa"/>
            </w:tcMar>
          </w:tcPr>
          <w:p>
            <w:pPr>
              <w:spacing w:after="0"/>
              <w:jc w:val="right"/>
            </w:pPr>
            <w:r>
              <w:rPr>
                <w:rFonts w:ascii="Calibri" w:hAnsi="Calibri"/>
                <w:sz w:val="17"/>
              </w:rPr>
              <w:t>750 €</w:t>
            </w:r>
          </w:p>
        </w:tc>
        <w:tc>
          <w:tcPr>
            <w:tcW w:type="dxa" w:w="2268"/>
            <w:vAlign w:val="center"/>
            <w:tcMar>
              <w:top w:w="80" w:type="dxa"/>
              <w:start w:w="100" w:type="dxa"/>
              <w:bottom w:w="80" w:type="dxa"/>
              <w:end w:w="100" w:type="dxa"/>
            </w:tcMar>
          </w:tcPr>
          <w:p>
            <w:pPr>
              <w:spacing w:after="0"/>
              <w:jc w:val="right"/>
            </w:pPr>
            <w:r>
              <w:rPr>
                <w:rFonts w:ascii="Calibri" w:hAnsi="Calibri"/>
                <w:sz w:val="17"/>
              </w:rPr>
              <w:t>350 €</w:t>
            </w:r>
          </w:p>
        </w:tc>
      </w:tr>
    </w:tbl>
    <w:p>
      <w:pPr>
        <w:spacing w:after="20"/>
      </w:pPr>
    </w:p>
    <w:p>
      <w:pPr>
        <w:pStyle w:val="Heading2"/>
      </w:pPr>
      <w:r>
        <w:t>Fünfjahresergebnis</w:t>
      </w:r>
    </w:p>
    <w:p>
      <w:pPr>
        <w:pStyle w:val="Heading3"/>
      </w:pPr>
      <w:r>
        <w:t>Pessimistisch</w:t>
      </w:r>
    </w:p>
    <w:tbl>
      <w:tblPr>
        <w:tblStyle w:val="TableGrid"/>
        <w:tblW w:type="auto" w:w="0"/>
        <w:jc w:val="center"/>
        <w:tblLayout w:type="fixed"/>
        <w:tblLook w:firstColumn="1" w:firstRow="1" w:lastColumn="0" w:lastRow="0" w:noHBand="0" w:noVBand="1" w:val="04A0"/>
      </w:tblPr>
      <w:tblGrid>
        <w:gridCol w:w="1642"/>
        <w:gridCol w:w="1642"/>
        <w:gridCol w:w="1642"/>
        <w:gridCol w:w="1642"/>
        <w:gridCol w:w="1642"/>
        <w:gridCol w:w="1642"/>
      </w:tblGrid>
      <w:tr>
        <w:trPr>
          <w:tblHeader w:val="true"/>
        </w:trPr>
        <w:tc>
          <w:tcPr>
            <w:tcW w:type="dxa" w:w="2381"/>
            <w:shd w:fill="1F5A7A"/>
            <w:vAlign w:val="center"/>
            <w:tcMar>
              <w:top w:w="80" w:type="dxa"/>
              <w:start w:w="100" w:type="dxa"/>
              <w:bottom w:w="80" w:type="dxa"/>
              <w:end w:w="100" w:type="dxa"/>
            </w:tcMar>
          </w:tcPr>
          <w:p>
            <w:pPr>
              <w:spacing w:after="0"/>
              <w:jc w:val="center"/>
            </w:pPr>
            <w:r>
              <w:rPr>
                <w:rFonts w:ascii="Calibri" w:hAnsi="Calibri"/>
                <w:b/>
                <w:color w:val="FFFFFF"/>
                <w:sz w:val="14"/>
              </w:rPr>
              <w:t>Kennzahl</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1</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2</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3</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4</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5</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Umsatz</w:t>
            </w:r>
          </w:p>
        </w:tc>
        <w:tc>
          <w:tcPr>
            <w:tcW w:type="dxa" w:w="1445"/>
            <w:vAlign w:val="center"/>
            <w:tcMar>
              <w:top w:w="80" w:type="dxa"/>
              <w:start w:w="100" w:type="dxa"/>
              <w:bottom w:w="80" w:type="dxa"/>
              <w:end w:w="100" w:type="dxa"/>
            </w:tcMar>
          </w:tcPr>
          <w:p>
            <w:pPr>
              <w:spacing w:after="0"/>
              <w:jc w:val="right"/>
            </w:pPr>
            <w:r>
              <w:rPr>
                <w:rFonts w:ascii="Calibri" w:hAnsi="Calibri"/>
                <w:sz w:val="14"/>
              </w:rPr>
              <w:t>2.585 €</w:t>
            </w:r>
          </w:p>
        </w:tc>
        <w:tc>
          <w:tcPr>
            <w:tcW w:type="dxa" w:w="1445"/>
            <w:vAlign w:val="center"/>
            <w:tcMar>
              <w:top w:w="80" w:type="dxa"/>
              <w:start w:w="100" w:type="dxa"/>
              <w:bottom w:w="80" w:type="dxa"/>
              <w:end w:w="100" w:type="dxa"/>
            </w:tcMar>
          </w:tcPr>
          <w:p>
            <w:pPr>
              <w:spacing w:after="0"/>
              <w:jc w:val="right"/>
            </w:pPr>
            <w:r>
              <w:rPr>
                <w:rFonts w:ascii="Calibri" w:hAnsi="Calibri"/>
                <w:sz w:val="14"/>
              </w:rPr>
              <w:t>10.819 €</w:t>
            </w:r>
          </w:p>
        </w:tc>
        <w:tc>
          <w:tcPr>
            <w:tcW w:type="dxa" w:w="1445"/>
            <w:vAlign w:val="center"/>
            <w:tcMar>
              <w:top w:w="80" w:type="dxa"/>
              <w:start w:w="100" w:type="dxa"/>
              <w:bottom w:w="80" w:type="dxa"/>
              <w:end w:w="100" w:type="dxa"/>
            </w:tcMar>
          </w:tcPr>
          <w:p>
            <w:pPr>
              <w:spacing w:after="0"/>
              <w:jc w:val="right"/>
            </w:pPr>
            <w:r>
              <w:rPr>
                <w:rFonts w:ascii="Calibri" w:hAnsi="Calibri"/>
                <w:sz w:val="14"/>
              </w:rPr>
              <w:t>21.751 €</w:t>
            </w:r>
          </w:p>
        </w:tc>
        <w:tc>
          <w:tcPr>
            <w:tcW w:type="dxa" w:w="1445"/>
            <w:vAlign w:val="center"/>
            <w:tcMar>
              <w:top w:w="80" w:type="dxa"/>
              <w:start w:w="100" w:type="dxa"/>
              <w:bottom w:w="80" w:type="dxa"/>
              <w:end w:w="100" w:type="dxa"/>
            </w:tcMar>
          </w:tcPr>
          <w:p>
            <w:pPr>
              <w:spacing w:after="0"/>
              <w:jc w:val="right"/>
            </w:pPr>
            <w:r>
              <w:rPr>
                <w:rFonts w:ascii="Calibri" w:hAnsi="Calibri"/>
                <w:sz w:val="14"/>
              </w:rPr>
              <w:t>33.647 €</w:t>
            </w:r>
          </w:p>
        </w:tc>
        <w:tc>
          <w:tcPr>
            <w:tcW w:type="dxa" w:w="1445"/>
            <w:vAlign w:val="center"/>
            <w:tcMar>
              <w:top w:w="80" w:type="dxa"/>
              <w:start w:w="100" w:type="dxa"/>
              <w:bottom w:w="80" w:type="dxa"/>
              <w:end w:w="100" w:type="dxa"/>
            </w:tcMar>
          </w:tcPr>
          <w:p>
            <w:pPr>
              <w:spacing w:after="0"/>
              <w:jc w:val="right"/>
            </w:pPr>
            <w:r>
              <w:rPr>
                <w:rFonts w:ascii="Calibri" w:hAnsi="Calibri"/>
                <w:sz w:val="14"/>
              </w:rPr>
              <w:t>46.309 €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Variable Kosten</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Fixkosten</w:t>
            </w:r>
          </w:p>
        </w:tc>
        <w:tc>
          <w:tcPr>
            <w:tcW w:type="dxa" w:w="1445"/>
            <w:vAlign w:val="center"/>
            <w:tcMar>
              <w:top w:w="80" w:type="dxa"/>
              <w:start w:w="100" w:type="dxa"/>
              <w:bottom w:w="80" w:type="dxa"/>
              <w:end w:w="100" w:type="dxa"/>
            </w:tcMar>
          </w:tcPr>
          <w:p>
            <w:pPr>
              <w:spacing w:after="0"/>
              <w:jc w:val="right"/>
            </w:pPr>
            <w:r>
              <w:rPr>
                <w:rFonts w:ascii="Calibri" w:hAnsi="Calibri"/>
                <w:sz w:val="14"/>
              </w:rPr>
              <w:t>12.970 €</w:t>
            </w:r>
          </w:p>
        </w:tc>
        <w:tc>
          <w:tcPr>
            <w:tcW w:type="dxa" w:w="1445"/>
            <w:vAlign w:val="center"/>
            <w:tcMar>
              <w:top w:w="80" w:type="dxa"/>
              <w:start w:w="100" w:type="dxa"/>
              <w:bottom w:w="80" w:type="dxa"/>
              <w:end w:w="100" w:type="dxa"/>
            </w:tcMar>
          </w:tcPr>
          <w:p>
            <w:pPr>
              <w:spacing w:after="0"/>
              <w:jc w:val="right"/>
            </w:pPr>
            <w:r>
              <w:rPr>
                <w:rFonts w:ascii="Calibri" w:hAnsi="Calibri"/>
                <w:sz w:val="14"/>
              </w:rPr>
              <w:t>9.420 €</w:t>
            </w:r>
          </w:p>
        </w:tc>
        <w:tc>
          <w:tcPr>
            <w:tcW w:type="dxa" w:w="1445"/>
            <w:vAlign w:val="center"/>
            <w:tcMar>
              <w:top w:w="80" w:type="dxa"/>
              <w:start w:w="100" w:type="dxa"/>
              <w:bottom w:w="80" w:type="dxa"/>
              <w:end w:w="100" w:type="dxa"/>
            </w:tcMar>
          </w:tcPr>
          <w:p>
            <w:pPr>
              <w:spacing w:after="0"/>
              <w:jc w:val="right"/>
            </w:pPr>
            <w:r>
              <w:rPr>
                <w:rFonts w:ascii="Calibri" w:hAnsi="Calibri"/>
                <w:sz w:val="14"/>
              </w:rPr>
              <w:t>15.000 €</w:t>
            </w:r>
          </w:p>
        </w:tc>
        <w:tc>
          <w:tcPr>
            <w:tcW w:type="dxa" w:w="1445"/>
            <w:vAlign w:val="center"/>
            <w:tcMar>
              <w:top w:w="80" w:type="dxa"/>
              <w:start w:w="100" w:type="dxa"/>
              <w:bottom w:w="80" w:type="dxa"/>
              <w:end w:w="100" w:type="dxa"/>
            </w:tcMar>
          </w:tcPr>
          <w:p>
            <w:pPr>
              <w:spacing w:after="0"/>
              <w:jc w:val="right"/>
            </w:pPr>
            <w:r>
              <w:rPr>
                <w:rFonts w:ascii="Calibri" w:hAnsi="Calibri"/>
                <w:sz w:val="14"/>
              </w:rPr>
              <w:t>18.000 €</w:t>
            </w:r>
          </w:p>
        </w:tc>
        <w:tc>
          <w:tcPr>
            <w:tcW w:type="dxa" w:w="1445"/>
            <w:vAlign w:val="center"/>
            <w:tcMar>
              <w:top w:w="80" w:type="dxa"/>
              <w:start w:w="100" w:type="dxa"/>
              <w:bottom w:w="80" w:type="dxa"/>
              <w:end w:w="100" w:type="dxa"/>
            </w:tcMar>
          </w:tcPr>
          <w:p>
            <w:pPr>
              <w:spacing w:after="0"/>
              <w:jc w:val="right"/>
            </w:pPr>
            <w:r>
              <w:rPr>
                <w:rFonts w:ascii="Calibri" w:hAnsi="Calibri"/>
                <w:sz w:val="14"/>
              </w:rPr>
              <w:t>22.000 €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Personalaufwand</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12.000 €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EBITDA</w:t>
            </w:r>
          </w:p>
        </w:tc>
        <w:tc>
          <w:tcPr>
            <w:tcW w:type="dxa" w:w="1445"/>
            <w:vAlign w:val="center"/>
            <w:tcMar>
              <w:top w:w="80" w:type="dxa"/>
              <w:start w:w="100" w:type="dxa"/>
              <w:bottom w:w="80" w:type="dxa"/>
              <w:end w:w="100" w:type="dxa"/>
            </w:tcMar>
          </w:tcPr>
          <w:p>
            <w:pPr>
              <w:spacing w:after="0"/>
              <w:jc w:val="right"/>
            </w:pPr>
            <w:r>
              <w:rPr>
                <w:rFonts w:ascii="Calibri" w:hAnsi="Calibri"/>
                <w:sz w:val="14"/>
              </w:rPr>
              <w:t>−10.385 €</w:t>
            </w:r>
          </w:p>
        </w:tc>
        <w:tc>
          <w:tcPr>
            <w:tcW w:type="dxa" w:w="1445"/>
            <w:vAlign w:val="center"/>
            <w:tcMar>
              <w:top w:w="80" w:type="dxa"/>
              <w:start w:w="100" w:type="dxa"/>
              <w:bottom w:w="80" w:type="dxa"/>
              <w:end w:w="100" w:type="dxa"/>
            </w:tcMar>
          </w:tcPr>
          <w:p>
            <w:pPr>
              <w:spacing w:after="0"/>
              <w:jc w:val="right"/>
            </w:pPr>
            <w:r>
              <w:rPr>
                <w:rFonts w:ascii="Calibri" w:hAnsi="Calibri"/>
                <w:sz w:val="14"/>
              </w:rPr>
              <w:t>1.399 €</w:t>
            </w:r>
          </w:p>
        </w:tc>
        <w:tc>
          <w:tcPr>
            <w:tcW w:type="dxa" w:w="1445"/>
            <w:vAlign w:val="center"/>
            <w:tcMar>
              <w:top w:w="80" w:type="dxa"/>
              <w:start w:w="100" w:type="dxa"/>
              <w:bottom w:w="80" w:type="dxa"/>
              <w:end w:w="100" w:type="dxa"/>
            </w:tcMar>
          </w:tcPr>
          <w:p>
            <w:pPr>
              <w:spacing w:after="0"/>
              <w:jc w:val="right"/>
            </w:pPr>
            <w:r>
              <w:rPr>
                <w:rFonts w:ascii="Calibri" w:hAnsi="Calibri"/>
                <w:sz w:val="14"/>
              </w:rPr>
              <w:t>6.751 €</w:t>
            </w:r>
          </w:p>
        </w:tc>
        <w:tc>
          <w:tcPr>
            <w:tcW w:type="dxa" w:w="1445"/>
            <w:vAlign w:val="center"/>
            <w:tcMar>
              <w:top w:w="80" w:type="dxa"/>
              <w:start w:w="100" w:type="dxa"/>
              <w:bottom w:w="80" w:type="dxa"/>
              <w:end w:w="100" w:type="dxa"/>
            </w:tcMar>
          </w:tcPr>
          <w:p>
            <w:pPr>
              <w:spacing w:after="0"/>
              <w:jc w:val="right"/>
            </w:pPr>
            <w:r>
              <w:rPr>
                <w:rFonts w:ascii="Calibri" w:hAnsi="Calibri"/>
                <w:sz w:val="14"/>
              </w:rPr>
              <w:t>15.647 €</w:t>
            </w:r>
          </w:p>
        </w:tc>
        <w:tc>
          <w:tcPr>
            <w:tcW w:type="dxa" w:w="1445"/>
            <w:vAlign w:val="center"/>
            <w:tcMar>
              <w:top w:w="80" w:type="dxa"/>
              <w:start w:w="100" w:type="dxa"/>
              <w:bottom w:w="80" w:type="dxa"/>
              <w:end w:w="100" w:type="dxa"/>
            </w:tcMar>
          </w:tcPr>
          <w:p>
            <w:pPr>
              <w:spacing w:after="0"/>
              <w:jc w:val="right"/>
            </w:pPr>
            <w:r>
              <w:rPr>
                <w:rFonts w:ascii="Calibri" w:hAnsi="Calibri"/>
                <w:sz w:val="14"/>
              </w:rPr>
              <w:t>12.309 €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EBIT</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−10.718 €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999 €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6.484 €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15.647 €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12.309 €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Steuern</w:t>
            </w:r>
          </w:p>
        </w:tc>
        <w:tc>
          <w:tcPr>
            <w:tcW w:type="dxa" w:w="1445"/>
            <w:vAlign w:val="center"/>
            <w:tcMar>
              <w:top w:w="80" w:type="dxa"/>
              <w:start w:w="100" w:type="dxa"/>
              <w:bottom w:w="80" w:type="dxa"/>
              <w:end w:w="100" w:type="dxa"/>
            </w:tcMar>
          </w:tcPr>
          <w:p>
            <w:pPr>
              <w:spacing w:after="0"/>
              <w:jc w:val="right"/>
            </w:pPr>
            <w:r>
              <w:rPr>
                <w:rFonts w:ascii="Calibri" w:hAnsi="Calibri"/>
                <w:sz w:val="14"/>
              </w:rPr>
              <w:t>0 €</w:t>
            </w:r>
          </w:p>
        </w:tc>
        <w:tc>
          <w:tcPr>
            <w:tcW w:type="dxa" w:w="1445"/>
            <w:vAlign w:val="center"/>
            <w:tcMar>
              <w:top w:w="80" w:type="dxa"/>
              <w:start w:w="100" w:type="dxa"/>
              <w:bottom w:w="80" w:type="dxa"/>
              <w:end w:w="100" w:type="dxa"/>
            </w:tcMar>
          </w:tcPr>
          <w:p>
            <w:pPr>
              <w:spacing w:after="0"/>
              <w:jc w:val="right"/>
            </w:pPr>
            <w:r>
              <w:rPr>
                <w:rFonts w:ascii="Calibri" w:hAnsi="Calibri"/>
                <w:sz w:val="14"/>
              </w:rPr>
              <w:t>0 €</w:t>
            </w:r>
          </w:p>
        </w:tc>
        <w:tc>
          <w:tcPr>
            <w:tcW w:type="dxa" w:w="1445"/>
            <w:vAlign w:val="center"/>
            <w:tcMar>
              <w:top w:w="80" w:type="dxa"/>
              <w:start w:w="100" w:type="dxa"/>
              <w:bottom w:w="80" w:type="dxa"/>
              <w:end w:w="100" w:type="dxa"/>
            </w:tcMar>
          </w:tcPr>
          <w:p>
            <w:pPr>
              <w:spacing w:after="0"/>
              <w:jc w:val="right"/>
            </w:pPr>
            <w:r>
              <w:rPr>
                <w:rFonts w:ascii="Calibri" w:hAnsi="Calibri"/>
                <w:sz w:val="14"/>
              </w:rPr>
              <w:t>0 €</w:t>
            </w:r>
          </w:p>
        </w:tc>
        <w:tc>
          <w:tcPr>
            <w:tcW w:type="dxa" w:w="1445"/>
            <w:vAlign w:val="center"/>
            <w:tcMar>
              <w:top w:w="80" w:type="dxa"/>
              <w:start w:w="100" w:type="dxa"/>
              <w:bottom w:w="80" w:type="dxa"/>
              <w:end w:w="100" w:type="dxa"/>
            </w:tcMar>
          </w:tcPr>
          <w:p>
            <w:pPr>
              <w:spacing w:after="0"/>
              <w:jc w:val="right"/>
            </w:pPr>
            <w:r>
              <w:rPr>
                <w:rFonts w:ascii="Calibri" w:hAnsi="Calibri"/>
                <w:sz w:val="14"/>
              </w:rPr>
              <w:t>3.831 €</w:t>
            </w:r>
          </w:p>
        </w:tc>
        <w:tc>
          <w:tcPr>
            <w:tcW w:type="dxa" w:w="1445"/>
            <w:vAlign w:val="center"/>
            <w:tcMar>
              <w:top w:w="80" w:type="dxa"/>
              <w:start w:w="100" w:type="dxa"/>
              <w:bottom w:w="80" w:type="dxa"/>
              <w:end w:w="100" w:type="dxa"/>
            </w:tcMar>
          </w:tcPr>
          <w:p>
            <w:pPr>
              <w:spacing w:after="0"/>
              <w:jc w:val="right"/>
            </w:pPr>
            <w:r>
              <w:rPr>
                <w:rFonts w:ascii="Calibri" w:hAnsi="Calibri"/>
                <w:sz w:val="14"/>
              </w:rPr>
              <w:t>3.669 €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Jahresergebnis</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−10.718 €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999 €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6.484 €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11.816 €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8.639 €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Netto-Cashflow</w:t>
            </w:r>
          </w:p>
        </w:tc>
        <w:tc>
          <w:tcPr>
            <w:tcW w:type="dxa" w:w="1445"/>
            <w:vAlign w:val="center"/>
            <w:tcMar>
              <w:top w:w="80" w:type="dxa"/>
              <w:start w:w="100" w:type="dxa"/>
              <w:bottom w:w="80" w:type="dxa"/>
              <w:end w:w="100" w:type="dxa"/>
            </w:tcMar>
          </w:tcPr>
          <w:p>
            <w:pPr>
              <w:spacing w:after="0"/>
              <w:jc w:val="right"/>
            </w:pPr>
            <w:r>
              <w:rPr>
                <w:rFonts w:ascii="Calibri" w:hAnsi="Calibri"/>
                <w:sz w:val="14"/>
              </w:rPr>
              <w:t>−11.054 €</w:t>
            </w:r>
          </w:p>
        </w:tc>
        <w:tc>
          <w:tcPr>
            <w:tcW w:type="dxa" w:w="1445"/>
            <w:vAlign w:val="center"/>
            <w:tcMar>
              <w:top w:w="80" w:type="dxa"/>
              <w:start w:w="100" w:type="dxa"/>
              <w:bottom w:w="80" w:type="dxa"/>
              <w:end w:w="100" w:type="dxa"/>
            </w:tcMar>
          </w:tcPr>
          <w:p>
            <w:pPr>
              <w:spacing w:after="0"/>
              <w:jc w:val="right"/>
            </w:pPr>
            <w:r>
              <w:rPr>
                <w:rFonts w:ascii="Calibri" w:hAnsi="Calibri"/>
                <w:sz w:val="14"/>
              </w:rPr>
              <w:t>2.412 €</w:t>
            </w:r>
          </w:p>
        </w:tc>
        <w:tc>
          <w:tcPr>
            <w:tcW w:type="dxa" w:w="1445"/>
            <w:vAlign w:val="center"/>
            <w:tcMar>
              <w:top w:w="80" w:type="dxa"/>
              <w:start w:w="100" w:type="dxa"/>
              <w:bottom w:w="80" w:type="dxa"/>
              <w:end w:w="100" w:type="dxa"/>
            </w:tcMar>
          </w:tcPr>
          <w:p>
            <w:pPr>
              <w:spacing w:after="0"/>
              <w:jc w:val="right"/>
            </w:pPr>
            <w:r>
              <w:rPr>
                <w:rFonts w:ascii="Calibri" w:hAnsi="Calibri"/>
                <w:sz w:val="14"/>
              </w:rPr>
              <w:t>6.751 €</w:t>
            </w:r>
          </w:p>
        </w:tc>
        <w:tc>
          <w:tcPr>
            <w:tcW w:type="dxa" w:w="1445"/>
            <w:vAlign w:val="center"/>
            <w:tcMar>
              <w:top w:w="80" w:type="dxa"/>
              <w:start w:w="100" w:type="dxa"/>
              <w:bottom w:w="80" w:type="dxa"/>
              <w:end w:w="100" w:type="dxa"/>
            </w:tcMar>
          </w:tcPr>
          <w:p>
            <w:pPr>
              <w:spacing w:after="0"/>
              <w:jc w:val="right"/>
            </w:pPr>
            <w:r>
              <w:rPr>
                <w:rFonts w:ascii="Calibri" w:hAnsi="Calibri"/>
                <w:sz w:val="14"/>
              </w:rPr>
              <w:t>10.816 €</w:t>
            </w:r>
          </w:p>
        </w:tc>
        <w:tc>
          <w:tcPr>
            <w:tcW w:type="dxa" w:w="1445"/>
            <w:vAlign w:val="center"/>
            <w:tcMar>
              <w:top w:w="80" w:type="dxa"/>
              <w:start w:w="100" w:type="dxa"/>
              <w:bottom w:w="80" w:type="dxa"/>
              <w:end w:w="100" w:type="dxa"/>
            </w:tcMar>
          </w:tcPr>
          <w:p>
            <w:pPr>
              <w:spacing w:after="0"/>
              <w:jc w:val="right"/>
            </w:pPr>
            <w:r>
              <w:rPr>
                <w:rFonts w:ascii="Calibri" w:hAnsi="Calibri"/>
                <w:sz w:val="14"/>
              </w:rPr>
              <w:t>7.639 €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Endliquidität</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−9.054 €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−6.642 €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108 €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10.925 €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18.564 €</w:t>
            </w:r>
          </w:p>
        </w:tc>
      </w:tr>
    </w:tbl>
    <w:p>
      <w:pPr>
        <w:spacing w:after="20"/>
      </w:pPr>
    </w:p>
    <w:p>
      <w:r>
        <w:br w:type="page"/>
      </w:r>
    </w:p>
    <w:p>
      <w:pPr>
        <w:pStyle w:val="Heading3"/>
      </w:pPr>
      <w:r>
        <w:t>Realistisch</w:t>
      </w:r>
    </w:p>
    <w:tbl>
      <w:tblPr>
        <w:tblStyle w:val="TableGrid"/>
        <w:tblW w:type="auto" w:w="0"/>
        <w:jc w:val="center"/>
        <w:tblLayout w:type="fixed"/>
        <w:tblLook w:firstColumn="1" w:firstRow="1" w:lastColumn="0" w:lastRow="0" w:noHBand="0" w:noVBand="1" w:val="04A0"/>
      </w:tblPr>
      <w:tblGrid>
        <w:gridCol w:w="1642"/>
        <w:gridCol w:w="1642"/>
        <w:gridCol w:w="1642"/>
        <w:gridCol w:w="1642"/>
        <w:gridCol w:w="1642"/>
        <w:gridCol w:w="1642"/>
      </w:tblGrid>
      <w:tr>
        <w:trPr>
          <w:tblHeader w:val="true"/>
        </w:trPr>
        <w:tc>
          <w:tcPr>
            <w:tcW w:type="dxa" w:w="2381"/>
            <w:shd w:fill="1F5A7A"/>
            <w:vAlign w:val="center"/>
            <w:tcMar>
              <w:top w:w="80" w:type="dxa"/>
              <w:start w:w="100" w:type="dxa"/>
              <w:bottom w:w="80" w:type="dxa"/>
              <w:end w:w="100" w:type="dxa"/>
            </w:tcMar>
          </w:tcPr>
          <w:p>
            <w:pPr>
              <w:spacing w:after="0"/>
              <w:jc w:val="center"/>
            </w:pPr>
            <w:r>
              <w:rPr>
                <w:rFonts w:ascii="Calibri" w:hAnsi="Calibri"/>
                <w:b/>
                <w:color w:val="FFFFFF"/>
                <w:sz w:val="14"/>
              </w:rPr>
              <w:t>Kennzahl</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1</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2</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3</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4</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5</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Umsatz</w:t>
            </w:r>
          </w:p>
        </w:tc>
        <w:tc>
          <w:tcPr>
            <w:tcW w:type="dxa" w:w="1445"/>
            <w:vAlign w:val="center"/>
            <w:tcMar>
              <w:top w:w="80" w:type="dxa"/>
              <w:start w:w="100" w:type="dxa"/>
              <w:bottom w:w="80" w:type="dxa"/>
              <w:end w:w="100" w:type="dxa"/>
            </w:tcMar>
          </w:tcPr>
          <w:p>
            <w:pPr>
              <w:spacing w:after="0"/>
              <w:jc w:val="right"/>
            </w:pPr>
            <w:r>
              <w:rPr>
                <w:rFonts w:ascii="Calibri" w:hAnsi="Calibri"/>
                <w:sz w:val="14"/>
              </w:rPr>
              <w:t>10.864 €</w:t>
            </w:r>
          </w:p>
        </w:tc>
        <w:tc>
          <w:tcPr>
            <w:tcW w:type="dxa" w:w="1445"/>
            <w:vAlign w:val="center"/>
            <w:tcMar>
              <w:top w:w="80" w:type="dxa"/>
              <w:start w:w="100" w:type="dxa"/>
              <w:bottom w:w="80" w:type="dxa"/>
              <w:end w:w="100" w:type="dxa"/>
            </w:tcMar>
          </w:tcPr>
          <w:p>
            <w:pPr>
              <w:spacing w:after="0"/>
              <w:jc w:val="right"/>
            </w:pPr>
            <w:r>
              <w:rPr>
                <w:rFonts w:ascii="Calibri" w:hAnsi="Calibri"/>
                <w:sz w:val="14"/>
              </w:rPr>
              <w:t>51.549 €</w:t>
            </w:r>
          </w:p>
        </w:tc>
        <w:tc>
          <w:tcPr>
            <w:tcW w:type="dxa" w:w="1445"/>
            <w:vAlign w:val="center"/>
            <w:tcMar>
              <w:top w:w="80" w:type="dxa"/>
              <w:start w:w="100" w:type="dxa"/>
              <w:bottom w:w="80" w:type="dxa"/>
              <w:end w:w="100" w:type="dxa"/>
            </w:tcMar>
          </w:tcPr>
          <w:p>
            <w:pPr>
              <w:spacing w:after="0"/>
              <w:jc w:val="right"/>
            </w:pPr>
            <w:r>
              <w:rPr>
                <w:rFonts w:ascii="Calibri" w:hAnsi="Calibri"/>
                <w:sz w:val="14"/>
              </w:rPr>
              <w:t>119.413 €</w:t>
            </w:r>
          </w:p>
        </w:tc>
        <w:tc>
          <w:tcPr>
            <w:tcW w:type="dxa" w:w="1445"/>
            <w:vAlign w:val="center"/>
            <w:tcMar>
              <w:top w:w="80" w:type="dxa"/>
              <w:start w:w="100" w:type="dxa"/>
              <w:bottom w:w="80" w:type="dxa"/>
              <w:end w:w="100" w:type="dxa"/>
            </w:tcMar>
          </w:tcPr>
          <w:p>
            <w:pPr>
              <w:spacing w:after="0"/>
              <w:jc w:val="right"/>
            </w:pPr>
            <w:r>
              <w:rPr>
                <w:rFonts w:ascii="Calibri" w:hAnsi="Calibri"/>
                <w:sz w:val="14"/>
              </w:rPr>
              <w:t>221.677 €</w:t>
            </w:r>
          </w:p>
        </w:tc>
        <w:tc>
          <w:tcPr>
            <w:tcW w:type="dxa" w:w="1445"/>
            <w:vAlign w:val="center"/>
            <w:tcMar>
              <w:top w:w="80" w:type="dxa"/>
              <w:start w:w="100" w:type="dxa"/>
              <w:bottom w:w="80" w:type="dxa"/>
              <w:end w:w="100" w:type="dxa"/>
            </w:tcMar>
          </w:tcPr>
          <w:p>
            <w:pPr>
              <w:spacing w:after="0"/>
              <w:jc w:val="right"/>
            </w:pPr>
            <w:r>
              <w:rPr>
                <w:rFonts w:ascii="Calibri" w:hAnsi="Calibri"/>
                <w:sz w:val="14"/>
              </w:rPr>
              <w:t>366.737 €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Variable Kosten</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Fixkosten</w:t>
            </w:r>
          </w:p>
        </w:tc>
        <w:tc>
          <w:tcPr>
            <w:tcW w:type="dxa" w:w="1445"/>
            <w:vAlign w:val="center"/>
            <w:tcMar>
              <w:top w:w="80" w:type="dxa"/>
              <w:start w:w="100" w:type="dxa"/>
              <w:bottom w:w="80" w:type="dxa"/>
              <w:end w:w="100" w:type="dxa"/>
            </w:tcMar>
          </w:tcPr>
          <w:p>
            <w:pPr>
              <w:spacing w:after="0"/>
              <w:jc w:val="right"/>
            </w:pPr>
            <w:r>
              <w:rPr>
                <w:rFonts w:ascii="Calibri" w:hAnsi="Calibri"/>
                <w:sz w:val="14"/>
              </w:rPr>
              <w:t>14.770 €</w:t>
            </w:r>
          </w:p>
        </w:tc>
        <w:tc>
          <w:tcPr>
            <w:tcW w:type="dxa" w:w="1445"/>
            <w:vAlign w:val="center"/>
            <w:tcMar>
              <w:top w:w="80" w:type="dxa"/>
              <w:start w:w="100" w:type="dxa"/>
              <w:bottom w:w="80" w:type="dxa"/>
              <w:end w:w="100" w:type="dxa"/>
            </w:tcMar>
          </w:tcPr>
          <w:p>
            <w:pPr>
              <w:spacing w:after="0"/>
              <w:jc w:val="right"/>
            </w:pPr>
            <w:r>
              <w:rPr>
                <w:rFonts w:ascii="Calibri" w:hAnsi="Calibri"/>
                <w:sz w:val="14"/>
              </w:rPr>
              <w:t>11.220 €</w:t>
            </w:r>
          </w:p>
        </w:tc>
        <w:tc>
          <w:tcPr>
            <w:tcW w:type="dxa" w:w="1445"/>
            <w:vAlign w:val="center"/>
            <w:tcMar>
              <w:top w:w="80" w:type="dxa"/>
              <w:start w:w="100" w:type="dxa"/>
              <w:bottom w:w="80" w:type="dxa"/>
              <w:end w:w="100" w:type="dxa"/>
            </w:tcMar>
          </w:tcPr>
          <w:p>
            <w:pPr>
              <w:spacing w:after="0"/>
              <w:jc w:val="right"/>
            </w:pPr>
            <w:r>
              <w:rPr>
                <w:rFonts w:ascii="Calibri" w:hAnsi="Calibri"/>
                <w:sz w:val="14"/>
              </w:rPr>
              <w:t>18.000 €</w:t>
            </w:r>
          </w:p>
        </w:tc>
        <w:tc>
          <w:tcPr>
            <w:tcW w:type="dxa" w:w="1445"/>
            <w:vAlign w:val="center"/>
            <w:tcMar>
              <w:top w:w="80" w:type="dxa"/>
              <w:start w:w="100" w:type="dxa"/>
              <w:bottom w:w="80" w:type="dxa"/>
              <w:end w:w="100" w:type="dxa"/>
            </w:tcMar>
          </w:tcPr>
          <w:p>
            <w:pPr>
              <w:spacing w:after="0"/>
              <w:jc w:val="right"/>
            </w:pPr>
            <w:r>
              <w:rPr>
                <w:rFonts w:ascii="Calibri" w:hAnsi="Calibri"/>
                <w:sz w:val="14"/>
              </w:rPr>
              <w:t>27.000 €</w:t>
            </w:r>
          </w:p>
        </w:tc>
        <w:tc>
          <w:tcPr>
            <w:tcW w:type="dxa" w:w="1445"/>
            <w:vAlign w:val="center"/>
            <w:tcMar>
              <w:top w:w="80" w:type="dxa"/>
              <w:start w:w="100" w:type="dxa"/>
              <w:bottom w:w="80" w:type="dxa"/>
              <w:end w:w="100" w:type="dxa"/>
            </w:tcMar>
          </w:tcPr>
          <w:p>
            <w:pPr>
              <w:spacing w:after="0"/>
              <w:jc w:val="right"/>
            </w:pPr>
            <w:r>
              <w:rPr>
                <w:rFonts w:ascii="Calibri" w:hAnsi="Calibri"/>
                <w:sz w:val="14"/>
              </w:rPr>
              <w:t>40.000 €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Personalaufwand</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30.000 €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132.000 €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190.000 €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EBITDA</w:t>
            </w:r>
          </w:p>
        </w:tc>
        <w:tc>
          <w:tcPr>
            <w:tcW w:type="dxa" w:w="1445"/>
            <w:vAlign w:val="center"/>
            <w:tcMar>
              <w:top w:w="80" w:type="dxa"/>
              <w:start w:w="100" w:type="dxa"/>
              <w:bottom w:w="80" w:type="dxa"/>
              <w:end w:w="100" w:type="dxa"/>
            </w:tcMar>
          </w:tcPr>
          <w:p>
            <w:pPr>
              <w:spacing w:after="0"/>
              <w:jc w:val="right"/>
            </w:pPr>
            <w:r>
              <w:rPr>
                <w:rFonts w:ascii="Calibri" w:hAnsi="Calibri"/>
                <w:sz w:val="14"/>
              </w:rPr>
              <w:t>−3.906 €</w:t>
            </w:r>
          </w:p>
        </w:tc>
        <w:tc>
          <w:tcPr>
            <w:tcW w:type="dxa" w:w="1445"/>
            <w:vAlign w:val="center"/>
            <w:tcMar>
              <w:top w:w="80" w:type="dxa"/>
              <w:start w:w="100" w:type="dxa"/>
              <w:bottom w:w="80" w:type="dxa"/>
              <w:end w:w="100" w:type="dxa"/>
            </w:tcMar>
          </w:tcPr>
          <w:p>
            <w:pPr>
              <w:spacing w:after="0"/>
              <w:jc w:val="right"/>
            </w:pPr>
            <w:r>
              <w:rPr>
                <w:rFonts w:ascii="Calibri" w:hAnsi="Calibri"/>
                <w:sz w:val="14"/>
              </w:rPr>
              <w:t>40.329 €</w:t>
            </w:r>
          </w:p>
        </w:tc>
        <w:tc>
          <w:tcPr>
            <w:tcW w:type="dxa" w:w="1445"/>
            <w:vAlign w:val="center"/>
            <w:tcMar>
              <w:top w:w="80" w:type="dxa"/>
              <w:start w:w="100" w:type="dxa"/>
              <w:bottom w:w="80" w:type="dxa"/>
              <w:end w:w="100" w:type="dxa"/>
            </w:tcMar>
          </w:tcPr>
          <w:p>
            <w:pPr>
              <w:spacing w:after="0"/>
              <w:jc w:val="right"/>
            </w:pPr>
            <w:r>
              <w:rPr>
                <w:rFonts w:ascii="Calibri" w:hAnsi="Calibri"/>
                <w:sz w:val="14"/>
              </w:rPr>
              <w:t>71.413 €</w:t>
            </w:r>
          </w:p>
        </w:tc>
        <w:tc>
          <w:tcPr>
            <w:tcW w:type="dxa" w:w="1445"/>
            <w:vAlign w:val="center"/>
            <w:tcMar>
              <w:top w:w="80" w:type="dxa"/>
              <w:start w:w="100" w:type="dxa"/>
              <w:bottom w:w="80" w:type="dxa"/>
              <w:end w:w="100" w:type="dxa"/>
            </w:tcMar>
          </w:tcPr>
          <w:p>
            <w:pPr>
              <w:spacing w:after="0"/>
              <w:jc w:val="right"/>
            </w:pPr>
            <w:r>
              <w:rPr>
                <w:rFonts w:ascii="Calibri" w:hAnsi="Calibri"/>
                <w:sz w:val="14"/>
              </w:rPr>
              <w:t>62.677 €</w:t>
            </w:r>
          </w:p>
        </w:tc>
        <w:tc>
          <w:tcPr>
            <w:tcW w:type="dxa" w:w="1445"/>
            <w:vAlign w:val="center"/>
            <w:tcMar>
              <w:top w:w="80" w:type="dxa"/>
              <w:start w:w="100" w:type="dxa"/>
              <w:bottom w:w="80" w:type="dxa"/>
              <w:end w:w="100" w:type="dxa"/>
            </w:tcMar>
          </w:tcPr>
          <w:p>
            <w:pPr>
              <w:spacing w:after="0"/>
              <w:jc w:val="right"/>
            </w:pPr>
            <w:r>
              <w:rPr>
                <w:rFonts w:ascii="Calibri" w:hAnsi="Calibri"/>
                <w:sz w:val="14"/>
              </w:rPr>
              <w:t>136.737 €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EBIT</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−4.240 €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39.929 €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71.147 €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62.677 €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136.737 €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Steuern</w:t>
            </w:r>
          </w:p>
        </w:tc>
        <w:tc>
          <w:tcPr>
            <w:tcW w:type="dxa" w:w="1445"/>
            <w:vAlign w:val="center"/>
            <w:tcMar>
              <w:top w:w="80" w:type="dxa"/>
              <w:start w:w="100" w:type="dxa"/>
              <w:bottom w:w="80" w:type="dxa"/>
              <w:end w:w="100" w:type="dxa"/>
            </w:tcMar>
          </w:tcPr>
          <w:p>
            <w:pPr>
              <w:spacing w:after="0"/>
              <w:jc w:val="right"/>
            </w:pPr>
            <w:r>
              <w:rPr>
                <w:rFonts w:ascii="Calibri" w:hAnsi="Calibri"/>
                <w:sz w:val="14"/>
              </w:rPr>
              <w:t>0 €</w:t>
            </w:r>
          </w:p>
        </w:tc>
        <w:tc>
          <w:tcPr>
            <w:tcW w:type="dxa" w:w="1445"/>
            <w:vAlign w:val="center"/>
            <w:tcMar>
              <w:top w:w="80" w:type="dxa"/>
              <w:start w:w="100" w:type="dxa"/>
              <w:bottom w:w="80" w:type="dxa"/>
              <w:end w:w="100" w:type="dxa"/>
            </w:tcMar>
          </w:tcPr>
          <w:p>
            <w:pPr>
              <w:spacing w:after="0"/>
              <w:jc w:val="right"/>
            </w:pPr>
            <w:r>
              <w:rPr>
                <w:rFonts w:ascii="Calibri" w:hAnsi="Calibri"/>
                <w:sz w:val="14"/>
              </w:rPr>
              <w:t>11.769 €</w:t>
            </w:r>
          </w:p>
        </w:tc>
        <w:tc>
          <w:tcPr>
            <w:tcW w:type="dxa" w:w="1445"/>
            <w:vAlign w:val="center"/>
            <w:tcMar>
              <w:top w:w="80" w:type="dxa"/>
              <w:start w:w="100" w:type="dxa"/>
              <w:bottom w:w="80" w:type="dxa"/>
              <w:end w:w="100" w:type="dxa"/>
            </w:tcMar>
          </w:tcPr>
          <w:p>
            <w:pPr>
              <w:spacing w:after="0"/>
              <w:jc w:val="right"/>
            </w:pPr>
            <w:r>
              <w:rPr>
                <w:rFonts w:ascii="Calibri" w:hAnsi="Calibri"/>
                <w:sz w:val="14"/>
              </w:rPr>
              <w:t>22.710 €</w:t>
            </w:r>
          </w:p>
        </w:tc>
        <w:tc>
          <w:tcPr>
            <w:tcW w:type="dxa" w:w="1445"/>
            <w:vAlign w:val="center"/>
            <w:tcMar>
              <w:top w:w="80" w:type="dxa"/>
              <w:start w:w="100" w:type="dxa"/>
              <w:bottom w:w="80" w:type="dxa"/>
              <w:end w:w="100" w:type="dxa"/>
            </w:tcMar>
          </w:tcPr>
          <w:p>
            <w:pPr>
              <w:spacing w:after="0"/>
              <w:jc w:val="right"/>
            </w:pPr>
            <w:r>
              <w:rPr>
                <w:rFonts w:ascii="Calibri" w:hAnsi="Calibri"/>
                <w:sz w:val="14"/>
              </w:rPr>
              <w:t>19.345 €</w:t>
            </w:r>
          </w:p>
        </w:tc>
        <w:tc>
          <w:tcPr>
            <w:tcW w:type="dxa" w:w="1445"/>
            <w:vAlign w:val="center"/>
            <w:tcMar>
              <w:top w:w="80" w:type="dxa"/>
              <w:start w:w="100" w:type="dxa"/>
              <w:bottom w:w="80" w:type="dxa"/>
              <w:end w:w="100" w:type="dxa"/>
            </w:tcMar>
          </w:tcPr>
          <w:p>
            <w:pPr>
              <w:spacing w:after="0"/>
              <w:jc w:val="right"/>
            </w:pPr>
            <w:r>
              <w:rPr>
                <w:rFonts w:ascii="Calibri" w:hAnsi="Calibri"/>
                <w:sz w:val="14"/>
              </w:rPr>
              <w:t>40.761 €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Jahresergebnis</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−4.240 €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28.160 €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48.437 €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43.332 €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95.976 €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Netto-Cashflow</w:t>
            </w:r>
          </w:p>
        </w:tc>
        <w:tc>
          <w:tcPr>
            <w:tcW w:type="dxa" w:w="1445"/>
            <w:vAlign w:val="center"/>
            <w:tcMar>
              <w:top w:w="80" w:type="dxa"/>
              <w:start w:w="100" w:type="dxa"/>
              <w:bottom w:w="80" w:type="dxa"/>
              <w:end w:w="100" w:type="dxa"/>
            </w:tcMar>
          </w:tcPr>
          <w:p>
            <w:pPr>
              <w:spacing w:after="0"/>
              <w:jc w:val="right"/>
            </w:pPr>
            <w:r>
              <w:rPr>
                <w:rFonts w:ascii="Calibri" w:hAnsi="Calibri"/>
                <w:sz w:val="14"/>
              </w:rPr>
              <w:t>−1.648 €</w:t>
            </w:r>
          </w:p>
        </w:tc>
        <w:tc>
          <w:tcPr>
            <w:tcW w:type="dxa" w:w="1445"/>
            <w:vAlign w:val="center"/>
            <w:tcMar>
              <w:top w:w="80" w:type="dxa"/>
              <w:start w:w="100" w:type="dxa"/>
              <w:bottom w:w="80" w:type="dxa"/>
              <w:end w:w="100" w:type="dxa"/>
            </w:tcMar>
          </w:tcPr>
          <w:p>
            <w:pPr>
              <w:spacing w:after="0"/>
              <w:jc w:val="right"/>
            </w:pPr>
            <w:r>
              <w:rPr>
                <w:rFonts w:ascii="Calibri" w:hAnsi="Calibri"/>
                <w:sz w:val="14"/>
              </w:rPr>
              <w:t>35.784 €</w:t>
            </w:r>
          </w:p>
        </w:tc>
        <w:tc>
          <w:tcPr>
            <w:tcW w:type="dxa" w:w="1445"/>
            <w:vAlign w:val="center"/>
            <w:tcMar>
              <w:top w:w="80" w:type="dxa"/>
              <w:start w:w="100" w:type="dxa"/>
              <w:bottom w:w="80" w:type="dxa"/>
              <w:end w:w="100" w:type="dxa"/>
            </w:tcMar>
          </w:tcPr>
          <w:p>
            <w:pPr>
              <w:spacing w:after="0"/>
              <w:jc w:val="right"/>
            </w:pPr>
            <w:r>
              <w:rPr>
                <w:rFonts w:ascii="Calibri" w:hAnsi="Calibri"/>
                <w:sz w:val="14"/>
              </w:rPr>
              <w:t>45.703 €</w:t>
            </w:r>
          </w:p>
        </w:tc>
        <w:tc>
          <w:tcPr>
            <w:tcW w:type="dxa" w:w="1445"/>
            <w:vAlign w:val="center"/>
            <w:tcMar>
              <w:top w:w="80" w:type="dxa"/>
              <w:start w:w="100" w:type="dxa"/>
              <w:bottom w:w="80" w:type="dxa"/>
              <w:end w:w="100" w:type="dxa"/>
            </w:tcMar>
          </w:tcPr>
          <w:p>
            <w:pPr>
              <w:spacing w:after="0"/>
              <w:jc w:val="right"/>
            </w:pPr>
            <w:r>
              <w:rPr>
                <w:rFonts w:ascii="Calibri" w:hAnsi="Calibri"/>
                <w:sz w:val="14"/>
              </w:rPr>
              <w:t>35.332 €</w:t>
            </w:r>
          </w:p>
        </w:tc>
        <w:tc>
          <w:tcPr>
            <w:tcW w:type="dxa" w:w="1445"/>
            <w:vAlign w:val="center"/>
            <w:tcMar>
              <w:top w:w="80" w:type="dxa"/>
              <w:start w:w="100" w:type="dxa"/>
              <w:bottom w:w="80" w:type="dxa"/>
              <w:end w:w="100" w:type="dxa"/>
            </w:tcMar>
          </w:tcPr>
          <w:p>
            <w:pPr>
              <w:spacing w:after="0"/>
              <w:jc w:val="right"/>
            </w:pPr>
            <w:r>
              <w:rPr>
                <w:rFonts w:ascii="Calibri" w:hAnsi="Calibri"/>
                <w:sz w:val="14"/>
              </w:rPr>
              <w:t>83.976 €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Endliquidität</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352 €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36.136 €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81.839 €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117.171 €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201.146 €</w:t>
            </w:r>
          </w:p>
        </w:tc>
      </w:tr>
    </w:tbl>
    <w:p>
      <w:pPr>
        <w:spacing w:after="20"/>
      </w:pPr>
    </w:p>
    <w:p>
      <w:r>
        <w:br w:type="page"/>
      </w:r>
    </w:p>
    <w:p>
      <w:pPr>
        <w:pStyle w:val="Heading3"/>
      </w:pPr>
      <w:r>
        <w:t>Optimistisch</w:t>
      </w:r>
    </w:p>
    <w:tbl>
      <w:tblPr>
        <w:tblStyle w:val="TableGrid"/>
        <w:tblW w:type="auto" w:w="0"/>
        <w:jc w:val="center"/>
        <w:tblLayout w:type="fixed"/>
        <w:tblLook w:firstColumn="1" w:firstRow="1" w:lastColumn="0" w:lastRow="0" w:noHBand="0" w:noVBand="1" w:val="04A0"/>
      </w:tblPr>
      <w:tblGrid>
        <w:gridCol w:w="1642"/>
        <w:gridCol w:w="1642"/>
        <w:gridCol w:w="1642"/>
        <w:gridCol w:w="1642"/>
        <w:gridCol w:w="1642"/>
        <w:gridCol w:w="1642"/>
      </w:tblGrid>
      <w:tr>
        <w:trPr>
          <w:tblHeader w:val="true"/>
        </w:trPr>
        <w:tc>
          <w:tcPr>
            <w:tcW w:type="dxa" w:w="2381"/>
            <w:shd w:fill="1F5A7A"/>
            <w:vAlign w:val="center"/>
            <w:tcMar>
              <w:top w:w="80" w:type="dxa"/>
              <w:start w:w="100" w:type="dxa"/>
              <w:bottom w:w="80" w:type="dxa"/>
              <w:end w:w="100" w:type="dxa"/>
            </w:tcMar>
          </w:tcPr>
          <w:p>
            <w:pPr>
              <w:spacing w:after="0"/>
              <w:jc w:val="center"/>
            </w:pPr>
            <w:r>
              <w:rPr>
                <w:rFonts w:ascii="Calibri" w:hAnsi="Calibri"/>
                <w:b/>
                <w:color w:val="FFFFFF"/>
                <w:sz w:val="14"/>
              </w:rPr>
              <w:t>Kennzahl</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1</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2</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3</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4</w:t>
            </w:r>
          </w:p>
        </w:tc>
        <w:tc>
          <w:tcPr>
            <w:tcW w:type="dxa" w:w="1445"/>
            <w:shd w:fill="1F5A7A"/>
            <w:vAlign w:val="center"/>
            <w:tcMar>
              <w:top w:w="80" w:type="dxa"/>
              <w:start w:w="100" w:type="dxa"/>
              <w:bottom w:w="80" w:type="dxa"/>
              <w:end w:w="100" w:type="dxa"/>
            </w:tcMar>
          </w:tcPr>
          <w:p>
            <w:pPr>
              <w:spacing w:after="0"/>
              <w:jc w:val="center"/>
            </w:pPr>
            <w:r>
              <w:rPr>
                <w:rFonts w:ascii="Calibri" w:hAnsi="Calibri"/>
                <w:b/>
                <w:color w:val="FFFFFF"/>
                <w:sz w:val="14"/>
              </w:rPr>
              <w:t>Jahr 5</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Umsatz</w:t>
            </w:r>
          </w:p>
        </w:tc>
        <w:tc>
          <w:tcPr>
            <w:tcW w:type="dxa" w:w="1445"/>
            <w:vAlign w:val="center"/>
            <w:tcMar>
              <w:top w:w="80" w:type="dxa"/>
              <w:start w:w="100" w:type="dxa"/>
              <w:bottom w:w="80" w:type="dxa"/>
              <w:end w:w="100" w:type="dxa"/>
            </w:tcMar>
          </w:tcPr>
          <w:p>
            <w:pPr>
              <w:spacing w:after="0"/>
              <w:jc w:val="right"/>
            </w:pPr>
            <w:r>
              <w:rPr>
                <w:rFonts w:ascii="Calibri" w:hAnsi="Calibri"/>
                <w:sz w:val="14"/>
              </w:rPr>
              <w:t>28.869 €</w:t>
            </w:r>
          </w:p>
        </w:tc>
        <w:tc>
          <w:tcPr>
            <w:tcW w:type="dxa" w:w="1445"/>
            <w:vAlign w:val="center"/>
            <w:tcMar>
              <w:top w:w="80" w:type="dxa"/>
              <w:start w:w="100" w:type="dxa"/>
              <w:bottom w:w="80" w:type="dxa"/>
              <w:end w:w="100" w:type="dxa"/>
            </w:tcMar>
          </w:tcPr>
          <w:p>
            <w:pPr>
              <w:spacing w:after="0"/>
              <w:jc w:val="right"/>
            </w:pPr>
            <w:r>
              <w:rPr>
                <w:rFonts w:ascii="Calibri" w:hAnsi="Calibri"/>
                <w:sz w:val="14"/>
              </w:rPr>
              <w:t>148.135 €</w:t>
            </w:r>
          </w:p>
        </w:tc>
        <w:tc>
          <w:tcPr>
            <w:tcW w:type="dxa" w:w="1445"/>
            <w:vAlign w:val="center"/>
            <w:tcMar>
              <w:top w:w="80" w:type="dxa"/>
              <w:start w:w="100" w:type="dxa"/>
              <w:bottom w:w="80" w:type="dxa"/>
              <w:end w:w="100" w:type="dxa"/>
            </w:tcMar>
          </w:tcPr>
          <w:p>
            <w:pPr>
              <w:spacing w:after="0"/>
              <w:jc w:val="right"/>
            </w:pPr>
            <w:r>
              <w:rPr>
                <w:rFonts w:ascii="Calibri" w:hAnsi="Calibri"/>
                <w:sz w:val="14"/>
              </w:rPr>
              <w:t>368.364 €</w:t>
            </w:r>
          </w:p>
        </w:tc>
        <w:tc>
          <w:tcPr>
            <w:tcW w:type="dxa" w:w="1445"/>
            <w:vAlign w:val="center"/>
            <w:tcMar>
              <w:top w:w="80" w:type="dxa"/>
              <w:start w:w="100" w:type="dxa"/>
              <w:bottom w:w="80" w:type="dxa"/>
              <w:end w:w="100" w:type="dxa"/>
            </w:tcMar>
          </w:tcPr>
          <w:p>
            <w:pPr>
              <w:spacing w:after="0"/>
              <w:jc w:val="right"/>
            </w:pPr>
            <w:r>
              <w:rPr>
                <w:rFonts w:ascii="Calibri" w:hAnsi="Calibri"/>
                <w:sz w:val="14"/>
              </w:rPr>
              <w:t>740.378 €</w:t>
            </w:r>
          </w:p>
        </w:tc>
        <w:tc>
          <w:tcPr>
            <w:tcW w:type="dxa" w:w="1445"/>
            <w:vAlign w:val="center"/>
            <w:tcMar>
              <w:top w:w="80" w:type="dxa"/>
              <w:start w:w="100" w:type="dxa"/>
              <w:bottom w:w="80" w:type="dxa"/>
              <w:end w:w="100" w:type="dxa"/>
            </w:tcMar>
          </w:tcPr>
          <w:p>
            <w:pPr>
              <w:spacing w:after="0"/>
              <w:jc w:val="right"/>
            </w:pPr>
            <w:r>
              <w:rPr>
                <w:rFonts w:ascii="Calibri" w:hAnsi="Calibri"/>
                <w:sz w:val="14"/>
              </w:rPr>
              <w:t>1.298.701 €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Variable Kosten</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Fixkosten</w:t>
            </w:r>
          </w:p>
        </w:tc>
        <w:tc>
          <w:tcPr>
            <w:tcW w:type="dxa" w:w="1445"/>
            <w:vAlign w:val="center"/>
            <w:tcMar>
              <w:top w:w="80" w:type="dxa"/>
              <w:start w:w="100" w:type="dxa"/>
              <w:bottom w:w="80" w:type="dxa"/>
              <w:end w:w="100" w:type="dxa"/>
            </w:tcMar>
          </w:tcPr>
          <w:p>
            <w:pPr>
              <w:spacing w:after="0"/>
              <w:jc w:val="right"/>
            </w:pPr>
            <w:r>
              <w:rPr>
                <w:rFonts w:ascii="Calibri" w:hAnsi="Calibri"/>
                <w:sz w:val="14"/>
              </w:rPr>
              <w:t>18.370 €</w:t>
            </w:r>
          </w:p>
        </w:tc>
        <w:tc>
          <w:tcPr>
            <w:tcW w:type="dxa" w:w="1445"/>
            <w:vAlign w:val="center"/>
            <w:tcMar>
              <w:top w:w="80" w:type="dxa"/>
              <w:start w:w="100" w:type="dxa"/>
              <w:bottom w:w="80" w:type="dxa"/>
              <w:end w:w="100" w:type="dxa"/>
            </w:tcMar>
          </w:tcPr>
          <w:p>
            <w:pPr>
              <w:spacing w:after="0"/>
              <w:jc w:val="right"/>
            </w:pPr>
            <w:r>
              <w:rPr>
                <w:rFonts w:ascii="Calibri" w:hAnsi="Calibri"/>
                <w:sz w:val="14"/>
              </w:rPr>
              <w:t>14.820 €</w:t>
            </w:r>
          </w:p>
        </w:tc>
        <w:tc>
          <w:tcPr>
            <w:tcW w:type="dxa" w:w="1445"/>
            <w:vAlign w:val="center"/>
            <w:tcMar>
              <w:top w:w="80" w:type="dxa"/>
              <w:start w:w="100" w:type="dxa"/>
              <w:bottom w:w="80" w:type="dxa"/>
              <w:end w:w="100" w:type="dxa"/>
            </w:tcMar>
          </w:tcPr>
          <w:p>
            <w:pPr>
              <w:spacing w:after="0"/>
              <w:jc w:val="right"/>
            </w:pPr>
            <w:r>
              <w:rPr>
                <w:rFonts w:ascii="Calibri" w:hAnsi="Calibri"/>
                <w:sz w:val="14"/>
              </w:rPr>
              <w:t>30.000 €</w:t>
            </w:r>
          </w:p>
        </w:tc>
        <w:tc>
          <w:tcPr>
            <w:tcW w:type="dxa" w:w="1445"/>
            <w:vAlign w:val="center"/>
            <w:tcMar>
              <w:top w:w="80" w:type="dxa"/>
              <w:start w:w="100" w:type="dxa"/>
              <w:bottom w:w="80" w:type="dxa"/>
              <w:end w:w="100" w:type="dxa"/>
            </w:tcMar>
          </w:tcPr>
          <w:p>
            <w:pPr>
              <w:spacing w:after="0"/>
              <w:jc w:val="right"/>
            </w:pPr>
            <w:r>
              <w:rPr>
                <w:rFonts w:ascii="Calibri" w:hAnsi="Calibri"/>
                <w:sz w:val="14"/>
              </w:rPr>
              <w:t>55.000 €</w:t>
            </w:r>
          </w:p>
        </w:tc>
        <w:tc>
          <w:tcPr>
            <w:tcW w:type="dxa" w:w="1445"/>
            <w:vAlign w:val="center"/>
            <w:tcMar>
              <w:top w:w="80" w:type="dxa"/>
              <w:start w:w="100" w:type="dxa"/>
              <w:bottom w:w="80" w:type="dxa"/>
              <w:end w:w="100" w:type="dxa"/>
            </w:tcMar>
          </w:tcPr>
          <w:p>
            <w:pPr>
              <w:spacing w:after="0"/>
              <w:jc w:val="right"/>
            </w:pPr>
            <w:r>
              <w:rPr>
                <w:rFonts w:ascii="Calibri" w:hAnsi="Calibri"/>
                <w:sz w:val="14"/>
              </w:rPr>
              <w:t>90.000 €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Personalaufwand</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132.000 €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260.000 €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450.000 €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EBITDA</w:t>
            </w:r>
          </w:p>
        </w:tc>
        <w:tc>
          <w:tcPr>
            <w:tcW w:type="dxa" w:w="1445"/>
            <w:vAlign w:val="center"/>
            <w:tcMar>
              <w:top w:w="80" w:type="dxa"/>
              <w:start w:w="100" w:type="dxa"/>
              <w:bottom w:w="80" w:type="dxa"/>
              <w:end w:w="100" w:type="dxa"/>
            </w:tcMar>
          </w:tcPr>
          <w:p>
            <w:pPr>
              <w:spacing w:after="0"/>
              <w:jc w:val="right"/>
            </w:pPr>
            <w:r>
              <w:rPr>
                <w:rFonts w:ascii="Calibri" w:hAnsi="Calibri"/>
                <w:sz w:val="14"/>
              </w:rPr>
              <w:t>10.499 €</w:t>
            </w:r>
          </w:p>
        </w:tc>
        <w:tc>
          <w:tcPr>
            <w:tcW w:type="dxa" w:w="1445"/>
            <w:vAlign w:val="center"/>
            <w:tcMar>
              <w:top w:w="80" w:type="dxa"/>
              <w:start w:w="100" w:type="dxa"/>
              <w:bottom w:w="80" w:type="dxa"/>
              <w:end w:w="100" w:type="dxa"/>
            </w:tcMar>
          </w:tcPr>
          <w:p>
            <w:pPr>
              <w:spacing w:after="0"/>
              <w:jc w:val="right"/>
            </w:pPr>
            <w:r>
              <w:rPr>
                <w:rFonts w:ascii="Calibri" w:hAnsi="Calibri"/>
                <w:sz w:val="14"/>
              </w:rPr>
              <w:t>133.315 €</w:t>
            </w:r>
          </w:p>
        </w:tc>
        <w:tc>
          <w:tcPr>
            <w:tcW w:type="dxa" w:w="1445"/>
            <w:vAlign w:val="center"/>
            <w:tcMar>
              <w:top w:w="80" w:type="dxa"/>
              <w:start w:w="100" w:type="dxa"/>
              <w:bottom w:w="80" w:type="dxa"/>
              <w:end w:w="100" w:type="dxa"/>
            </w:tcMar>
          </w:tcPr>
          <w:p>
            <w:pPr>
              <w:spacing w:after="0"/>
              <w:jc w:val="right"/>
            </w:pPr>
            <w:r>
              <w:rPr>
                <w:rFonts w:ascii="Calibri" w:hAnsi="Calibri"/>
                <w:sz w:val="14"/>
              </w:rPr>
              <w:t>206.364 €</w:t>
            </w:r>
          </w:p>
        </w:tc>
        <w:tc>
          <w:tcPr>
            <w:tcW w:type="dxa" w:w="1445"/>
            <w:vAlign w:val="center"/>
            <w:tcMar>
              <w:top w:w="80" w:type="dxa"/>
              <w:start w:w="100" w:type="dxa"/>
              <w:bottom w:w="80" w:type="dxa"/>
              <w:end w:w="100" w:type="dxa"/>
            </w:tcMar>
          </w:tcPr>
          <w:p>
            <w:pPr>
              <w:spacing w:after="0"/>
              <w:jc w:val="right"/>
            </w:pPr>
            <w:r>
              <w:rPr>
                <w:rFonts w:ascii="Calibri" w:hAnsi="Calibri"/>
                <w:sz w:val="14"/>
              </w:rPr>
              <w:t>425.378 €</w:t>
            </w:r>
          </w:p>
        </w:tc>
        <w:tc>
          <w:tcPr>
            <w:tcW w:type="dxa" w:w="1445"/>
            <w:vAlign w:val="center"/>
            <w:tcMar>
              <w:top w:w="80" w:type="dxa"/>
              <w:start w:w="100" w:type="dxa"/>
              <w:bottom w:w="80" w:type="dxa"/>
              <w:end w:w="100" w:type="dxa"/>
            </w:tcMar>
          </w:tcPr>
          <w:p>
            <w:pPr>
              <w:spacing w:after="0"/>
              <w:jc w:val="right"/>
            </w:pPr>
            <w:r>
              <w:rPr>
                <w:rFonts w:ascii="Calibri" w:hAnsi="Calibri"/>
                <w:sz w:val="14"/>
              </w:rPr>
              <w:t>758.701 €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EBIT</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10.166 €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132.915 €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206.097 €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425.378 €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758.701 €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Steuern</w:t>
            </w:r>
          </w:p>
        </w:tc>
        <w:tc>
          <w:tcPr>
            <w:tcW w:type="dxa" w:w="1445"/>
            <w:vAlign w:val="center"/>
            <w:tcMar>
              <w:top w:w="80" w:type="dxa"/>
              <w:start w:w="100" w:type="dxa"/>
              <w:bottom w:w="80" w:type="dxa"/>
              <w:end w:w="100" w:type="dxa"/>
            </w:tcMar>
          </w:tcPr>
          <w:p>
            <w:pPr>
              <w:spacing w:after="0"/>
              <w:jc w:val="right"/>
            </w:pPr>
            <w:r>
              <w:rPr>
                <w:rFonts w:ascii="Calibri" w:hAnsi="Calibri"/>
                <w:sz w:val="14"/>
              </w:rPr>
              <w:t>3.352 €</w:t>
            </w:r>
          </w:p>
        </w:tc>
        <w:tc>
          <w:tcPr>
            <w:tcW w:type="dxa" w:w="1445"/>
            <w:vAlign w:val="center"/>
            <w:tcMar>
              <w:top w:w="80" w:type="dxa"/>
              <w:start w:w="100" w:type="dxa"/>
              <w:bottom w:w="80" w:type="dxa"/>
              <w:end w:w="100" w:type="dxa"/>
            </w:tcMar>
          </w:tcPr>
          <w:p>
            <w:pPr>
              <w:spacing w:after="0"/>
              <w:jc w:val="right"/>
            </w:pPr>
            <w:r>
              <w:rPr>
                <w:rFonts w:ascii="Calibri" w:hAnsi="Calibri"/>
                <w:sz w:val="14"/>
              </w:rPr>
              <w:t>43.829 €</w:t>
            </w:r>
          </w:p>
        </w:tc>
        <w:tc>
          <w:tcPr>
            <w:tcW w:type="dxa" w:w="1445"/>
            <w:vAlign w:val="center"/>
            <w:tcMar>
              <w:top w:w="80" w:type="dxa"/>
              <w:start w:w="100" w:type="dxa"/>
              <w:bottom w:w="80" w:type="dxa"/>
              <w:end w:w="100" w:type="dxa"/>
            </w:tcMar>
          </w:tcPr>
          <w:p>
            <w:pPr>
              <w:spacing w:after="0"/>
              <w:jc w:val="right"/>
            </w:pPr>
            <w:r>
              <w:rPr>
                <w:rFonts w:ascii="Calibri" w:hAnsi="Calibri"/>
                <w:sz w:val="14"/>
              </w:rPr>
              <w:t>65.786 €</w:t>
            </w:r>
          </w:p>
        </w:tc>
        <w:tc>
          <w:tcPr>
            <w:tcW w:type="dxa" w:w="1445"/>
            <w:vAlign w:val="center"/>
            <w:tcMar>
              <w:top w:w="80" w:type="dxa"/>
              <w:start w:w="100" w:type="dxa"/>
              <w:bottom w:w="80" w:type="dxa"/>
              <w:end w:w="100" w:type="dxa"/>
            </w:tcMar>
          </w:tcPr>
          <w:p>
            <w:pPr>
              <w:spacing w:after="0"/>
              <w:jc w:val="right"/>
            </w:pPr>
            <w:r>
              <w:rPr>
                <w:rFonts w:ascii="Calibri" w:hAnsi="Calibri"/>
                <w:sz w:val="14"/>
              </w:rPr>
              <w:t>131.293 €</w:t>
            </w:r>
          </w:p>
        </w:tc>
        <w:tc>
          <w:tcPr>
            <w:tcW w:type="dxa" w:w="1445"/>
            <w:vAlign w:val="center"/>
            <w:tcMar>
              <w:top w:w="80" w:type="dxa"/>
              <w:start w:w="100" w:type="dxa"/>
              <w:bottom w:w="80" w:type="dxa"/>
              <w:end w:w="100" w:type="dxa"/>
            </w:tcMar>
          </w:tcPr>
          <w:p>
            <w:pPr>
              <w:spacing w:after="0"/>
              <w:jc w:val="right"/>
            </w:pPr>
            <w:r>
              <w:rPr>
                <w:rFonts w:ascii="Calibri" w:hAnsi="Calibri"/>
                <w:sz w:val="14"/>
              </w:rPr>
              <w:t>226.169 €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Jahresergebnis</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6.814 €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89.086 €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140.311 €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294.085 €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532.532 €</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4"/>
              </w:rPr>
              <w:t>Netto-Cashflow</w:t>
            </w:r>
          </w:p>
        </w:tc>
        <w:tc>
          <w:tcPr>
            <w:tcW w:type="dxa" w:w="1445"/>
            <w:vAlign w:val="center"/>
            <w:tcMar>
              <w:top w:w="80" w:type="dxa"/>
              <w:start w:w="100" w:type="dxa"/>
              <w:bottom w:w="80" w:type="dxa"/>
              <w:end w:w="100" w:type="dxa"/>
            </w:tcMar>
          </w:tcPr>
          <w:p>
            <w:pPr>
              <w:spacing w:after="0"/>
              <w:jc w:val="right"/>
            </w:pPr>
            <w:r>
              <w:rPr>
                <w:rFonts w:ascii="Calibri" w:hAnsi="Calibri"/>
                <w:sz w:val="14"/>
              </w:rPr>
              <w:t>17.547 €</w:t>
            </w:r>
          </w:p>
        </w:tc>
        <w:tc>
          <w:tcPr>
            <w:tcW w:type="dxa" w:w="1445"/>
            <w:vAlign w:val="center"/>
            <w:tcMar>
              <w:top w:w="80" w:type="dxa"/>
              <w:start w:w="100" w:type="dxa"/>
              <w:bottom w:w="80" w:type="dxa"/>
              <w:end w:w="100" w:type="dxa"/>
            </w:tcMar>
          </w:tcPr>
          <w:p>
            <w:pPr>
              <w:spacing w:after="0"/>
              <w:jc w:val="right"/>
            </w:pPr>
            <w:r>
              <w:rPr>
                <w:rFonts w:ascii="Calibri" w:hAnsi="Calibri"/>
                <w:sz w:val="14"/>
              </w:rPr>
              <w:t>111.888 €</w:t>
            </w:r>
          </w:p>
        </w:tc>
        <w:tc>
          <w:tcPr>
            <w:tcW w:type="dxa" w:w="1445"/>
            <w:vAlign w:val="center"/>
            <w:tcMar>
              <w:top w:w="80" w:type="dxa"/>
              <w:start w:w="100" w:type="dxa"/>
              <w:bottom w:w="80" w:type="dxa"/>
              <w:end w:w="100" w:type="dxa"/>
            </w:tcMar>
          </w:tcPr>
          <w:p>
            <w:pPr>
              <w:spacing w:after="0"/>
              <w:jc w:val="right"/>
            </w:pPr>
            <w:r>
              <w:rPr>
                <w:rFonts w:ascii="Calibri" w:hAnsi="Calibri"/>
                <w:sz w:val="14"/>
              </w:rPr>
              <w:t>132.578 €</w:t>
            </w:r>
          </w:p>
        </w:tc>
        <w:tc>
          <w:tcPr>
            <w:tcW w:type="dxa" w:w="1445"/>
            <w:vAlign w:val="center"/>
            <w:tcMar>
              <w:top w:w="80" w:type="dxa"/>
              <w:start w:w="100" w:type="dxa"/>
              <w:bottom w:w="80" w:type="dxa"/>
              <w:end w:w="100" w:type="dxa"/>
            </w:tcMar>
          </w:tcPr>
          <w:p>
            <w:pPr>
              <w:spacing w:after="0"/>
              <w:jc w:val="right"/>
            </w:pPr>
            <w:r>
              <w:rPr>
                <w:rFonts w:ascii="Calibri" w:hAnsi="Calibri"/>
                <w:sz w:val="14"/>
              </w:rPr>
              <w:t>274.085 €</w:t>
            </w:r>
          </w:p>
        </w:tc>
        <w:tc>
          <w:tcPr>
            <w:tcW w:type="dxa" w:w="1445"/>
            <w:vAlign w:val="center"/>
            <w:tcMar>
              <w:top w:w="80" w:type="dxa"/>
              <w:start w:w="100" w:type="dxa"/>
              <w:bottom w:w="80" w:type="dxa"/>
              <w:end w:w="100" w:type="dxa"/>
            </w:tcMar>
          </w:tcPr>
          <w:p>
            <w:pPr>
              <w:spacing w:after="0"/>
              <w:jc w:val="right"/>
            </w:pPr>
            <w:r>
              <w:rPr>
                <w:rFonts w:ascii="Calibri" w:hAnsi="Calibri"/>
                <w:sz w:val="14"/>
              </w:rPr>
              <w:t>492.532 €</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4"/>
              </w:rPr>
              <w:t>Endliquidität</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19.547 €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131.435 €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264.013 €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538.098 €</w:t>
            </w:r>
          </w:p>
        </w:tc>
        <w:tc>
          <w:tcPr>
            <w:tcW w:type="dxa" w:w="1445"/>
            <w:vAlign w:val="center"/>
            <w:tcMar>
              <w:top w:w="80" w:type="dxa"/>
              <w:start w:w="100" w:type="dxa"/>
              <w:bottom w:w="80" w:type="dxa"/>
              <w:end w:w="100" w:type="dxa"/>
            </w:tcMar>
            <w:shd w:fill="F3F7F9"/>
          </w:tcPr>
          <w:p>
            <w:pPr>
              <w:spacing w:after="0"/>
              <w:jc w:val="right"/>
            </w:pPr>
            <w:r>
              <w:rPr>
                <w:rFonts w:ascii="Calibri" w:hAnsi="Calibri"/>
                <w:sz w:val="14"/>
              </w:rPr>
              <w:t>1.030.630 €</w:t>
            </w:r>
          </w:p>
        </w:tc>
      </w:tr>
    </w:tbl>
    <w:p>
      <w:pPr>
        <w:spacing w:after="20"/>
      </w:pPr>
    </w:p>
    <w:p>
      <w:pPr>
        <w:jc w:val="center"/>
      </w:pPr>
      <w:r>
        <w:drawing>
          <wp:inline xmlns:a="http://schemas.openxmlformats.org/drawingml/2006/main" xmlns:pic="http://schemas.openxmlformats.org/drawingml/2006/picture">
            <wp:extent cx="6048000" cy="2499840"/>
            <wp:docPr id="2" name="Picture 2"/>
            <wp:cNvGraphicFramePr>
              <a:graphicFrameLocks noChangeAspect="1"/>
            </wp:cNvGraphicFramePr>
            <a:graphic>
              <a:graphicData uri="http://schemas.openxmlformats.org/drawingml/2006/picture">
                <pic:pic>
                  <pic:nvPicPr>
                    <pic:cNvPr id="0" name="chart_revenue.png"/>
                    <pic:cNvPicPr/>
                  </pic:nvPicPr>
                  <pic:blipFill>
                    <a:blip r:embed="rId12"/>
                    <a:stretch>
                      <a:fillRect/>
                    </a:stretch>
                  </pic:blipFill>
                  <pic:spPr>
                    <a:xfrm>
                      <a:off x="0" y="0"/>
                      <a:ext cx="6048000" cy="2499840"/>
                    </a:xfrm>
                    <a:prstGeom prst="rect"/>
                  </pic:spPr>
                </pic:pic>
              </a:graphicData>
            </a:graphic>
          </wp:inline>
        </w:drawing>
      </w:r>
    </w:p>
    <w:p>
      <w:pPr>
        <w:pStyle w:val="SmallNote"/>
      </w:pPr>
      <w:r>
        <w:t>Abbildung: Eigene Szenariorechnung. Die große Bandbreite unterstreicht, dass Kundenakquise, ARPA und Traffic – nicht Infrastrukturkosten – die Ergebnisunsicherheit dominieren.</w:t>
      </w:r>
    </w:p>
    <w:p>
      <w:r>
        <w:br w:type="page"/>
      </w:r>
    </w:p>
    <w:p>
      <w:pPr>
        <w:pStyle w:val="Heading2"/>
      </w:pPr>
      <w:r>
        <w:t>Realistische Monatsplanung M1–M24</w:t>
      </w:r>
    </w:p>
    <w:tbl>
      <w:tblPr>
        <w:tblStyle w:val="TableGrid"/>
        <w:tblW w:type="auto" w:w="0"/>
        <w:jc w:val="center"/>
        <w:tblLayout w:type="fixed"/>
        <w:tblLook w:firstColumn="1" w:firstRow="1" w:lastColumn="0" w:lastRow="0" w:noHBand="0" w:noVBand="1" w:val="04A0"/>
      </w:tblPr>
      <w:tblGrid>
        <w:gridCol w:w="1407"/>
        <w:gridCol w:w="1407"/>
        <w:gridCol w:w="1407"/>
        <w:gridCol w:w="1407"/>
        <w:gridCol w:w="1407"/>
        <w:gridCol w:w="1407"/>
        <w:gridCol w:w="1407"/>
      </w:tblGrid>
      <w:tr>
        <w:trPr>
          <w:tblHeader w:val="true"/>
        </w:trPr>
        <w:tc>
          <w:tcPr>
            <w:tcW w:type="dxa" w:w="2438"/>
            <w:shd w:fill="1F5A7A"/>
            <w:vAlign w:val="center"/>
            <w:tcMar>
              <w:top w:w="80" w:type="dxa"/>
              <w:start w:w="100" w:type="dxa"/>
              <w:bottom w:w="80" w:type="dxa"/>
              <w:end w:w="100" w:type="dxa"/>
            </w:tcMar>
          </w:tcPr>
          <w:p>
            <w:pPr>
              <w:spacing w:after="0"/>
              <w:jc w:val="center"/>
            </w:pPr>
            <w:r>
              <w:rPr>
                <w:rFonts w:ascii="Calibri" w:hAnsi="Calibri"/>
                <w:b/>
                <w:color w:val="FFFFFF"/>
                <w:sz w:val="13"/>
              </w:rPr>
              <w:t>Kennzahl</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w:t>
              <w:br/>
              <w:t>08/26</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M2</w:t>
              <w:br/>
              <w:t>09/26</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M3</w:t>
              <w:br/>
              <w:t>10/26</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M4</w:t>
              <w:br/>
              <w:t>11/26</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M5</w:t>
              <w:br/>
              <w:t>12/26</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M6</w:t>
              <w:br/>
              <w:t>01/27</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Aktive Kunden</w:t>
            </w:r>
          </w:p>
        </w:tc>
        <w:tc>
          <w:tcPr>
            <w:tcW w:type="dxa" w:w="1162"/>
            <w:vAlign w:val="center"/>
            <w:tcMar>
              <w:top w:w="80" w:type="dxa"/>
              <w:start w:w="100" w:type="dxa"/>
              <w:bottom w:w="80" w:type="dxa"/>
              <w:end w:w="100" w:type="dxa"/>
            </w:tcMar>
          </w:tcPr>
          <w:p>
            <w:pPr>
              <w:spacing w:after="0"/>
              <w:jc w:val="right"/>
            </w:pPr>
            <w:r>
              <w:rPr>
                <w:rFonts w:ascii="Calibri" w:hAnsi="Calibri"/>
                <w:sz w:val="13"/>
              </w:rPr>
              <w:t>0,0</w:t>
            </w:r>
          </w:p>
        </w:tc>
        <w:tc>
          <w:tcPr>
            <w:tcW w:type="dxa" w:w="1162"/>
            <w:vAlign w:val="center"/>
            <w:tcMar>
              <w:top w:w="80" w:type="dxa"/>
              <w:start w:w="100" w:type="dxa"/>
              <w:bottom w:w="80" w:type="dxa"/>
              <w:end w:w="100" w:type="dxa"/>
            </w:tcMar>
          </w:tcPr>
          <w:p>
            <w:pPr>
              <w:spacing w:after="0"/>
              <w:jc w:val="right"/>
            </w:pPr>
            <w:r>
              <w:rPr>
                <w:rFonts w:ascii="Calibri" w:hAnsi="Calibri"/>
                <w:sz w:val="13"/>
              </w:rPr>
              <w:t>0,0</w:t>
            </w:r>
          </w:p>
        </w:tc>
        <w:tc>
          <w:tcPr>
            <w:tcW w:type="dxa" w:w="1162"/>
            <w:vAlign w:val="center"/>
            <w:tcMar>
              <w:top w:w="80" w:type="dxa"/>
              <w:start w:w="100" w:type="dxa"/>
              <w:bottom w:w="80" w:type="dxa"/>
              <w:end w:w="100" w:type="dxa"/>
            </w:tcMar>
          </w:tcPr>
          <w:p>
            <w:pPr>
              <w:spacing w:after="0"/>
              <w:jc w:val="right"/>
            </w:pPr>
            <w:r>
              <w:rPr>
                <w:rFonts w:ascii="Calibri" w:hAnsi="Calibri"/>
                <w:sz w:val="13"/>
              </w:rPr>
              <w:t>1,5</w:t>
            </w:r>
          </w:p>
        </w:tc>
        <w:tc>
          <w:tcPr>
            <w:tcW w:type="dxa" w:w="1162"/>
            <w:vAlign w:val="center"/>
            <w:tcMar>
              <w:top w:w="80" w:type="dxa"/>
              <w:start w:w="100" w:type="dxa"/>
              <w:bottom w:w="80" w:type="dxa"/>
              <w:end w:w="100" w:type="dxa"/>
            </w:tcMar>
          </w:tcPr>
          <w:p>
            <w:pPr>
              <w:spacing w:after="0"/>
              <w:jc w:val="right"/>
            </w:pPr>
            <w:r>
              <w:rPr>
                <w:rFonts w:ascii="Calibri" w:hAnsi="Calibri"/>
                <w:sz w:val="13"/>
              </w:rPr>
              <w:t>3,0</w:t>
            </w:r>
          </w:p>
        </w:tc>
        <w:tc>
          <w:tcPr>
            <w:tcW w:type="dxa" w:w="1162"/>
            <w:vAlign w:val="center"/>
            <w:tcMar>
              <w:top w:w="80" w:type="dxa"/>
              <w:start w:w="100" w:type="dxa"/>
              <w:bottom w:w="80" w:type="dxa"/>
              <w:end w:w="100" w:type="dxa"/>
            </w:tcMar>
          </w:tcPr>
          <w:p>
            <w:pPr>
              <w:spacing w:after="0"/>
              <w:jc w:val="right"/>
            </w:pPr>
            <w:r>
              <w:rPr>
                <w:rFonts w:ascii="Calibri" w:hAnsi="Calibri"/>
                <w:sz w:val="13"/>
              </w:rPr>
              <w:t>4,5</w:t>
            </w:r>
          </w:p>
        </w:tc>
        <w:tc>
          <w:tcPr>
            <w:tcW w:type="dxa" w:w="1162"/>
            <w:vAlign w:val="center"/>
            <w:tcMar>
              <w:top w:w="80" w:type="dxa"/>
              <w:start w:w="100" w:type="dxa"/>
              <w:bottom w:w="80" w:type="dxa"/>
              <w:end w:w="100" w:type="dxa"/>
            </w:tcMar>
          </w:tcPr>
          <w:p>
            <w:pPr>
              <w:spacing w:after="0"/>
              <w:jc w:val="right"/>
            </w:pPr>
            <w:r>
              <w:rPr>
                <w:rFonts w:ascii="Calibri" w:hAnsi="Calibri"/>
                <w:sz w:val="13"/>
              </w:rPr>
              <w:t>6,0</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Pageviews</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8.000</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14.091</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20.182</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26.273</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32.364</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38.455</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Umsatz</w:t>
            </w:r>
          </w:p>
        </w:tc>
        <w:tc>
          <w:tcPr>
            <w:tcW w:type="dxa" w:w="1162"/>
            <w:vAlign w:val="center"/>
            <w:tcMar>
              <w:top w:w="80" w:type="dxa"/>
              <w:start w:w="100" w:type="dxa"/>
              <w:bottom w:w="80" w:type="dxa"/>
              <w:end w:w="100" w:type="dxa"/>
            </w:tcMar>
          </w:tcPr>
          <w:p>
            <w:pPr>
              <w:spacing w:after="0"/>
              <w:jc w:val="right"/>
            </w:pPr>
            <w:r>
              <w:rPr>
                <w:rFonts w:ascii="Calibri" w:hAnsi="Calibri"/>
                <w:sz w:val="13"/>
              </w:rPr>
              <w:t>40 €</w:t>
            </w:r>
          </w:p>
        </w:tc>
        <w:tc>
          <w:tcPr>
            <w:tcW w:type="dxa" w:w="1162"/>
            <w:vAlign w:val="center"/>
            <w:tcMar>
              <w:top w:w="80" w:type="dxa"/>
              <w:start w:w="100" w:type="dxa"/>
              <w:bottom w:w="80" w:type="dxa"/>
              <w:end w:w="100" w:type="dxa"/>
            </w:tcMar>
          </w:tcPr>
          <w:p>
            <w:pPr>
              <w:spacing w:after="0"/>
              <w:jc w:val="right"/>
            </w:pPr>
            <w:r>
              <w:rPr>
                <w:rFonts w:ascii="Calibri" w:hAnsi="Calibri"/>
                <w:sz w:val="13"/>
              </w:rPr>
              <w:t>70 €</w:t>
            </w:r>
          </w:p>
        </w:tc>
        <w:tc>
          <w:tcPr>
            <w:tcW w:type="dxa" w:w="1162"/>
            <w:vAlign w:val="center"/>
            <w:tcMar>
              <w:top w:w="80" w:type="dxa"/>
              <w:start w:w="100" w:type="dxa"/>
              <w:bottom w:w="80" w:type="dxa"/>
              <w:end w:w="100" w:type="dxa"/>
            </w:tcMar>
          </w:tcPr>
          <w:p>
            <w:pPr>
              <w:spacing w:after="0"/>
              <w:jc w:val="right"/>
            </w:pPr>
            <w:r>
              <w:rPr>
                <w:rFonts w:ascii="Calibri" w:hAnsi="Calibri"/>
                <w:sz w:val="13"/>
              </w:rPr>
              <w:t>253 €</w:t>
            </w:r>
          </w:p>
        </w:tc>
        <w:tc>
          <w:tcPr>
            <w:tcW w:type="dxa" w:w="1162"/>
            <w:vAlign w:val="center"/>
            <w:tcMar>
              <w:top w:w="80" w:type="dxa"/>
              <w:start w:w="100" w:type="dxa"/>
              <w:bottom w:w="80" w:type="dxa"/>
              <w:end w:w="100" w:type="dxa"/>
            </w:tcMar>
          </w:tcPr>
          <w:p>
            <w:pPr>
              <w:spacing w:after="0"/>
              <w:jc w:val="right"/>
            </w:pPr>
            <w:r>
              <w:rPr>
                <w:rFonts w:ascii="Calibri" w:hAnsi="Calibri"/>
                <w:sz w:val="13"/>
              </w:rPr>
              <w:t>436 €</w:t>
            </w:r>
          </w:p>
        </w:tc>
        <w:tc>
          <w:tcPr>
            <w:tcW w:type="dxa" w:w="1162"/>
            <w:vAlign w:val="center"/>
            <w:tcMar>
              <w:top w:w="80" w:type="dxa"/>
              <w:start w:w="100" w:type="dxa"/>
              <w:bottom w:w="80" w:type="dxa"/>
              <w:end w:w="100" w:type="dxa"/>
            </w:tcMar>
          </w:tcPr>
          <w:p>
            <w:pPr>
              <w:spacing w:after="0"/>
              <w:jc w:val="right"/>
            </w:pPr>
            <w:r>
              <w:rPr>
                <w:rFonts w:ascii="Calibri" w:hAnsi="Calibri"/>
                <w:sz w:val="13"/>
              </w:rPr>
              <w:t>619 €</w:t>
            </w:r>
          </w:p>
        </w:tc>
        <w:tc>
          <w:tcPr>
            <w:tcW w:type="dxa" w:w="1162"/>
            <w:vAlign w:val="center"/>
            <w:tcMar>
              <w:top w:w="80" w:type="dxa"/>
              <w:start w:w="100" w:type="dxa"/>
              <w:bottom w:w="80" w:type="dxa"/>
              <w:end w:w="100" w:type="dxa"/>
            </w:tcMar>
          </w:tcPr>
          <w:p>
            <w:pPr>
              <w:spacing w:after="0"/>
              <w:jc w:val="right"/>
            </w:pPr>
            <w:r>
              <w:rPr>
                <w:rFonts w:ascii="Calibri" w:hAnsi="Calibri"/>
                <w:sz w:val="13"/>
              </w:rPr>
              <w:t>801 €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Variable Kosten</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Fix-/Einmalkosten</w:t>
            </w:r>
          </w:p>
        </w:tc>
        <w:tc>
          <w:tcPr>
            <w:tcW w:type="dxa" w:w="1162"/>
            <w:vAlign w:val="center"/>
            <w:tcMar>
              <w:top w:w="80" w:type="dxa"/>
              <w:start w:w="100" w:type="dxa"/>
              <w:bottom w:w="80" w:type="dxa"/>
              <w:end w:w="100" w:type="dxa"/>
            </w:tcMar>
          </w:tcPr>
          <w:p>
            <w:pPr>
              <w:spacing w:after="0"/>
              <w:jc w:val="right"/>
            </w:pPr>
            <w:r>
              <w:rPr>
                <w:rFonts w:ascii="Calibri" w:hAnsi="Calibri"/>
                <w:sz w:val="13"/>
              </w:rPr>
              <w:t>2.285 €</w:t>
            </w:r>
          </w:p>
        </w:tc>
        <w:tc>
          <w:tcPr>
            <w:tcW w:type="dxa" w:w="1162"/>
            <w:vAlign w:val="center"/>
            <w:tcMar>
              <w:top w:w="80" w:type="dxa"/>
              <w:start w:w="100" w:type="dxa"/>
              <w:bottom w:w="80" w:type="dxa"/>
              <w:end w:w="100" w:type="dxa"/>
            </w:tcMar>
          </w:tcPr>
          <w:p>
            <w:pPr>
              <w:spacing w:after="0"/>
              <w:jc w:val="right"/>
            </w:pPr>
            <w:r>
              <w:rPr>
                <w:rFonts w:ascii="Calibri" w:hAnsi="Calibri"/>
                <w:sz w:val="13"/>
              </w:rPr>
              <w:t>2.135 €</w:t>
            </w:r>
          </w:p>
        </w:tc>
        <w:tc>
          <w:tcPr>
            <w:tcW w:type="dxa" w:w="1162"/>
            <w:vAlign w:val="center"/>
            <w:tcMar>
              <w:top w:w="80" w:type="dxa"/>
              <w:start w:w="100" w:type="dxa"/>
              <w:bottom w:w="80" w:type="dxa"/>
              <w:end w:w="100" w:type="dxa"/>
            </w:tcMar>
          </w:tcPr>
          <w:p>
            <w:pPr>
              <w:spacing w:after="0"/>
              <w:jc w:val="right"/>
            </w:pPr>
            <w:r>
              <w:rPr>
                <w:rFonts w:ascii="Calibri" w:hAnsi="Calibri"/>
                <w:sz w:val="13"/>
              </w:rPr>
              <w:t>1.935 €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Personal cash</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EBITDA</w:t>
            </w:r>
          </w:p>
        </w:tc>
        <w:tc>
          <w:tcPr>
            <w:tcW w:type="dxa" w:w="1162"/>
            <w:vAlign w:val="center"/>
            <w:tcMar>
              <w:top w:w="80" w:type="dxa"/>
              <w:start w:w="100" w:type="dxa"/>
              <w:bottom w:w="80" w:type="dxa"/>
              <w:end w:w="100" w:type="dxa"/>
            </w:tcMar>
          </w:tcPr>
          <w:p>
            <w:pPr>
              <w:spacing w:after="0"/>
              <w:jc w:val="right"/>
            </w:pPr>
            <w:r>
              <w:rPr>
                <w:rFonts w:ascii="Calibri" w:hAnsi="Calibri"/>
                <w:sz w:val="13"/>
              </w:rPr>
              <w:t>−2.245 €</w:t>
            </w:r>
          </w:p>
        </w:tc>
        <w:tc>
          <w:tcPr>
            <w:tcW w:type="dxa" w:w="1162"/>
            <w:vAlign w:val="center"/>
            <w:tcMar>
              <w:top w:w="80" w:type="dxa"/>
              <w:start w:w="100" w:type="dxa"/>
              <w:bottom w:w="80" w:type="dxa"/>
              <w:end w:w="100" w:type="dxa"/>
            </w:tcMar>
          </w:tcPr>
          <w:p>
            <w:pPr>
              <w:spacing w:after="0"/>
              <w:jc w:val="right"/>
            </w:pPr>
            <w:r>
              <w:rPr>
                <w:rFonts w:ascii="Calibri" w:hAnsi="Calibri"/>
                <w:sz w:val="13"/>
              </w:rPr>
              <w:t>−2.065 €</w:t>
            </w:r>
          </w:p>
        </w:tc>
        <w:tc>
          <w:tcPr>
            <w:tcW w:type="dxa" w:w="1162"/>
            <w:vAlign w:val="center"/>
            <w:tcMar>
              <w:top w:w="80" w:type="dxa"/>
              <w:start w:w="100" w:type="dxa"/>
              <w:bottom w:w="80" w:type="dxa"/>
              <w:end w:w="100" w:type="dxa"/>
            </w:tcMar>
          </w:tcPr>
          <w:p>
            <w:pPr>
              <w:spacing w:after="0"/>
              <w:jc w:val="right"/>
            </w:pPr>
            <w:r>
              <w:rPr>
                <w:rFonts w:ascii="Calibri" w:hAnsi="Calibri"/>
                <w:sz w:val="13"/>
              </w:rPr>
              <w:t>−1.682 €</w:t>
            </w:r>
          </w:p>
        </w:tc>
        <w:tc>
          <w:tcPr>
            <w:tcW w:type="dxa" w:w="1162"/>
            <w:vAlign w:val="center"/>
            <w:tcMar>
              <w:top w:w="80" w:type="dxa"/>
              <w:start w:w="100" w:type="dxa"/>
              <w:bottom w:w="80" w:type="dxa"/>
              <w:end w:w="100" w:type="dxa"/>
            </w:tcMar>
          </w:tcPr>
          <w:p>
            <w:pPr>
              <w:spacing w:after="0"/>
              <w:jc w:val="right"/>
            </w:pPr>
            <w:r>
              <w:rPr>
                <w:rFonts w:ascii="Calibri" w:hAnsi="Calibri"/>
                <w:sz w:val="13"/>
              </w:rPr>
              <w:t>−499 €</w:t>
            </w:r>
          </w:p>
        </w:tc>
        <w:tc>
          <w:tcPr>
            <w:tcW w:type="dxa" w:w="1162"/>
            <w:vAlign w:val="center"/>
            <w:tcMar>
              <w:top w:w="80" w:type="dxa"/>
              <w:start w:w="100" w:type="dxa"/>
              <w:bottom w:w="80" w:type="dxa"/>
              <w:end w:w="100" w:type="dxa"/>
            </w:tcMar>
          </w:tcPr>
          <w:p>
            <w:pPr>
              <w:spacing w:after="0"/>
              <w:jc w:val="right"/>
            </w:pPr>
            <w:r>
              <w:rPr>
                <w:rFonts w:ascii="Calibri" w:hAnsi="Calibri"/>
                <w:sz w:val="13"/>
              </w:rPr>
              <w:t>−316 €</w:t>
            </w:r>
          </w:p>
        </w:tc>
        <w:tc>
          <w:tcPr>
            <w:tcW w:type="dxa" w:w="1162"/>
            <w:vAlign w:val="center"/>
            <w:tcMar>
              <w:top w:w="80" w:type="dxa"/>
              <w:start w:w="100" w:type="dxa"/>
              <w:bottom w:w="80" w:type="dxa"/>
              <w:end w:w="100" w:type="dxa"/>
            </w:tcMar>
          </w:tcPr>
          <w:p>
            <w:pPr>
              <w:spacing w:after="0"/>
              <w:jc w:val="right"/>
            </w:pPr>
            <w:r>
              <w:rPr>
                <w:rFonts w:ascii="Calibri" w:hAnsi="Calibri"/>
                <w:sz w:val="13"/>
              </w:rPr>
              <w:t>−134 €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EBIT</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−2.245 €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−2.065 €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−1.715 €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−532 €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−350 €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−167 €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Steuern</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Jahresergebnis</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−2.245 €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−2.065 €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−1.715 €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−532 €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−350 €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−167 €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Netto-Cashflow</w:t>
            </w:r>
          </w:p>
        </w:tc>
        <w:tc>
          <w:tcPr>
            <w:tcW w:type="dxa" w:w="1162"/>
            <w:vAlign w:val="center"/>
            <w:tcMar>
              <w:top w:w="80" w:type="dxa"/>
              <w:start w:w="100" w:type="dxa"/>
              <w:bottom w:w="80" w:type="dxa"/>
              <w:end w:w="100" w:type="dxa"/>
            </w:tcMar>
          </w:tcPr>
          <w:p>
            <w:pPr>
              <w:spacing w:after="0"/>
              <w:jc w:val="right"/>
            </w:pPr>
            <w:r>
              <w:rPr>
                <w:rFonts w:ascii="Calibri" w:hAnsi="Calibri"/>
                <w:sz w:val="13"/>
              </w:rPr>
              <w:t>−2.245 €</w:t>
            </w:r>
          </w:p>
        </w:tc>
        <w:tc>
          <w:tcPr>
            <w:tcW w:type="dxa" w:w="1162"/>
            <w:vAlign w:val="center"/>
            <w:tcMar>
              <w:top w:w="80" w:type="dxa"/>
              <w:start w:w="100" w:type="dxa"/>
              <w:bottom w:w="80" w:type="dxa"/>
              <w:end w:w="100" w:type="dxa"/>
            </w:tcMar>
          </w:tcPr>
          <w:p>
            <w:pPr>
              <w:spacing w:after="0"/>
              <w:jc w:val="right"/>
            </w:pPr>
            <w:r>
              <w:rPr>
                <w:rFonts w:ascii="Calibri" w:hAnsi="Calibri"/>
                <w:sz w:val="13"/>
              </w:rPr>
              <w:t>−2.065 €</w:t>
            </w:r>
          </w:p>
        </w:tc>
        <w:tc>
          <w:tcPr>
            <w:tcW w:type="dxa" w:w="1162"/>
            <w:vAlign w:val="center"/>
            <w:tcMar>
              <w:top w:w="80" w:type="dxa"/>
              <w:start w:w="100" w:type="dxa"/>
              <w:bottom w:w="80" w:type="dxa"/>
              <w:end w:w="100" w:type="dxa"/>
            </w:tcMar>
          </w:tcPr>
          <w:p>
            <w:pPr>
              <w:spacing w:after="0"/>
              <w:jc w:val="right"/>
            </w:pPr>
            <w:r>
              <w:rPr>
                <w:rFonts w:ascii="Calibri" w:hAnsi="Calibri"/>
                <w:sz w:val="13"/>
              </w:rPr>
              <w:t>−2.349 €</w:t>
            </w:r>
          </w:p>
        </w:tc>
        <w:tc>
          <w:tcPr>
            <w:tcW w:type="dxa" w:w="1162"/>
            <w:vAlign w:val="center"/>
            <w:tcMar>
              <w:top w:w="80" w:type="dxa"/>
              <w:start w:w="100" w:type="dxa"/>
              <w:bottom w:w="80" w:type="dxa"/>
              <w:end w:w="100" w:type="dxa"/>
            </w:tcMar>
          </w:tcPr>
          <w:p>
            <w:pPr>
              <w:spacing w:after="0"/>
              <w:jc w:val="right"/>
            </w:pPr>
            <w:r>
              <w:rPr>
                <w:rFonts w:ascii="Calibri" w:hAnsi="Calibri"/>
                <w:sz w:val="13"/>
              </w:rPr>
              <w:t>−8 €</w:t>
            </w:r>
          </w:p>
        </w:tc>
        <w:tc>
          <w:tcPr>
            <w:tcW w:type="dxa" w:w="1162"/>
            <w:vAlign w:val="center"/>
            <w:tcMar>
              <w:top w:w="80" w:type="dxa"/>
              <w:start w:w="100" w:type="dxa"/>
              <w:bottom w:w="80" w:type="dxa"/>
              <w:end w:w="100" w:type="dxa"/>
            </w:tcMar>
          </w:tcPr>
          <w:p>
            <w:pPr>
              <w:spacing w:after="0"/>
              <w:jc w:val="right"/>
            </w:pPr>
            <w:r>
              <w:rPr>
                <w:rFonts w:ascii="Calibri" w:hAnsi="Calibri"/>
                <w:sz w:val="13"/>
              </w:rPr>
              <w:t>133 €</w:t>
            </w:r>
          </w:p>
        </w:tc>
        <w:tc>
          <w:tcPr>
            <w:tcW w:type="dxa" w:w="1162"/>
            <w:vAlign w:val="center"/>
            <w:tcMar>
              <w:top w:w="80" w:type="dxa"/>
              <w:start w:w="100" w:type="dxa"/>
              <w:bottom w:w="80" w:type="dxa"/>
              <w:end w:w="100" w:type="dxa"/>
            </w:tcMar>
          </w:tcPr>
          <w:p>
            <w:pPr>
              <w:spacing w:after="0"/>
              <w:jc w:val="right"/>
            </w:pPr>
            <w:r>
              <w:rPr>
                <w:rFonts w:ascii="Calibri" w:hAnsi="Calibri"/>
                <w:sz w:val="13"/>
              </w:rPr>
              <w:t>274 €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Endliquidität</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−245 €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−2.310 €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−4.659 €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−4.666 €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−4.533 €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−4.259 €</w:t>
            </w:r>
          </w:p>
        </w:tc>
      </w:tr>
    </w:tbl>
    <w:p>
      <w:pPr>
        <w:spacing w:after="20"/>
      </w:pPr>
    </w:p>
    <w:tbl>
      <w:tblPr>
        <w:tblStyle w:val="TableGrid"/>
        <w:tblW w:type="auto" w:w="0"/>
        <w:jc w:val="center"/>
        <w:tblLayout w:type="fixed"/>
        <w:tblLook w:firstColumn="1" w:firstRow="1" w:lastColumn="0" w:lastRow="0" w:noHBand="0" w:noVBand="1" w:val="04A0"/>
      </w:tblPr>
      <w:tblGrid>
        <w:gridCol w:w="1407"/>
        <w:gridCol w:w="1407"/>
        <w:gridCol w:w="1407"/>
        <w:gridCol w:w="1407"/>
        <w:gridCol w:w="1407"/>
        <w:gridCol w:w="1407"/>
        <w:gridCol w:w="1407"/>
      </w:tblGrid>
      <w:tr>
        <w:trPr>
          <w:tblHeader w:val="true"/>
        </w:trPr>
        <w:tc>
          <w:tcPr>
            <w:tcW w:type="dxa" w:w="2438"/>
            <w:shd w:fill="1F5A7A"/>
            <w:vAlign w:val="center"/>
            <w:tcMar>
              <w:top w:w="80" w:type="dxa"/>
              <w:start w:w="100" w:type="dxa"/>
              <w:bottom w:w="80" w:type="dxa"/>
              <w:end w:w="100" w:type="dxa"/>
            </w:tcMar>
          </w:tcPr>
          <w:p>
            <w:pPr>
              <w:spacing w:after="0"/>
              <w:jc w:val="center"/>
            </w:pPr>
            <w:r>
              <w:rPr>
                <w:rFonts w:ascii="Calibri" w:hAnsi="Calibri"/>
                <w:b/>
                <w:color w:val="FFFFFF"/>
                <w:sz w:val="13"/>
              </w:rPr>
              <w:t>Kennzahl</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M7</w:t>
              <w:br/>
              <w:t>02/27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M8</w:t>
              <w:br/>
              <w:t>03/27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M9</w:t>
              <w:br/>
              <w:t>04/27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M10</w:t>
              <w:br/>
              <w:t>05/27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M11</w:t>
              <w:br/>
              <w:t>06/27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M12</w:t>
              <w:br/>
              <w:t>07/27</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Aktive Kunden</w:t>
            </w:r>
          </w:p>
        </w:tc>
        <w:tc>
          <w:tcPr>
            <w:tcW w:type="dxa" w:w="1162"/>
            <w:vAlign w:val="center"/>
            <w:tcMar>
              <w:top w:w="80" w:type="dxa"/>
              <w:start w:w="100" w:type="dxa"/>
              <w:bottom w:w="80" w:type="dxa"/>
              <w:end w:w="100" w:type="dxa"/>
            </w:tcMar>
          </w:tcPr>
          <w:p>
            <w:pPr>
              <w:spacing w:after="0"/>
              <w:jc w:val="right"/>
            </w:pPr>
            <w:r>
              <w:rPr>
                <w:rFonts w:ascii="Calibri" w:hAnsi="Calibri"/>
                <w:sz w:val="13"/>
              </w:rPr>
              <w:t>7,5</w:t>
            </w:r>
          </w:p>
        </w:tc>
        <w:tc>
          <w:tcPr>
            <w:tcW w:type="dxa" w:w="1162"/>
            <w:vAlign w:val="center"/>
            <w:tcMar>
              <w:top w:w="80" w:type="dxa"/>
              <w:start w:w="100" w:type="dxa"/>
              <w:bottom w:w="80" w:type="dxa"/>
              <w:end w:w="100" w:type="dxa"/>
            </w:tcMar>
          </w:tcPr>
          <w:p>
            <w:pPr>
              <w:spacing w:after="0"/>
              <w:jc w:val="right"/>
            </w:pPr>
            <w:r>
              <w:rPr>
                <w:rFonts w:ascii="Calibri" w:hAnsi="Calibri"/>
                <w:sz w:val="13"/>
              </w:rPr>
              <w:t>9,0</w:t>
            </w:r>
          </w:p>
        </w:tc>
        <w:tc>
          <w:tcPr>
            <w:tcW w:type="dxa" w:w="1162"/>
            <w:vAlign w:val="center"/>
            <w:tcMar>
              <w:top w:w="80" w:type="dxa"/>
              <w:start w:w="100" w:type="dxa"/>
              <w:bottom w:w="80" w:type="dxa"/>
              <w:end w:w="100" w:type="dxa"/>
            </w:tcMar>
          </w:tcPr>
          <w:p>
            <w:pPr>
              <w:spacing w:after="0"/>
              <w:jc w:val="right"/>
            </w:pPr>
            <w:r>
              <w:rPr>
                <w:rFonts w:ascii="Calibri" w:hAnsi="Calibri"/>
                <w:sz w:val="13"/>
              </w:rPr>
              <w:t>10,5</w:t>
            </w:r>
          </w:p>
        </w:tc>
        <w:tc>
          <w:tcPr>
            <w:tcW w:type="dxa" w:w="1162"/>
            <w:vAlign w:val="center"/>
            <w:tcMar>
              <w:top w:w="80" w:type="dxa"/>
              <w:start w:w="100" w:type="dxa"/>
              <w:bottom w:w="80" w:type="dxa"/>
              <w:end w:w="100" w:type="dxa"/>
            </w:tcMar>
          </w:tcPr>
          <w:p>
            <w:pPr>
              <w:spacing w:after="0"/>
              <w:jc w:val="right"/>
            </w:pPr>
            <w:r>
              <w:rPr>
                <w:rFonts w:ascii="Calibri" w:hAnsi="Calibri"/>
                <w:sz w:val="13"/>
              </w:rPr>
              <w:t>12,0</w:t>
            </w:r>
          </w:p>
        </w:tc>
        <w:tc>
          <w:tcPr>
            <w:tcW w:type="dxa" w:w="1162"/>
            <w:vAlign w:val="center"/>
            <w:tcMar>
              <w:top w:w="80" w:type="dxa"/>
              <w:start w:w="100" w:type="dxa"/>
              <w:bottom w:w="80" w:type="dxa"/>
              <w:end w:w="100" w:type="dxa"/>
            </w:tcMar>
          </w:tcPr>
          <w:p>
            <w:pPr>
              <w:spacing w:after="0"/>
              <w:jc w:val="right"/>
            </w:pPr>
            <w:r>
              <w:rPr>
                <w:rFonts w:ascii="Calibri" w:hAnsi="Calibri"/>
                <w:sz w:val="13"/>
              </w:rPr>
              <w:t>13,5</w:t>
            </w:r>
          </w:p>
        </w:tc>
        <w:tc>
          <w:tcPr>
            <w:tcW w:type="dxa" w:w="1162"/>
            <w:vAlign w:val="center"/>
            <w:tcMar>
              <w:top w:w="80" w:type="dxa"/>
              <w:start w:w="100" w:type="dxa"/>
              <w:bottom w:w="80" w:type="dxa"/>
              <w:end w:w="100" w:type="dxa"/>
            </w:tcMar>
          </w:tcPr>
          <w:p>
            <w:pPr>
              <w:spacing w:after="0"/>
              <w:jc w:val="right"/>
            </w:pPr>
            <w:r>
              <w:rPr>
                <w:rFonts w:ascii="Calibri" w:hAnsi="Calibri"/>
                <w:sz w:val="13"/>
              </w:rPr>
              <w:t>15,0</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Pageviews</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44.545</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50.636</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56.727</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62.818</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68.909</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75.000</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Umsatz</w:t>
            </w:r>
          </w:p>
        </w:tc>
        <w:tc>
          <w:tcPr>
            <w:tcW w:type="dxa" w:w="1162"/>
            <w:vAlign w:val="center"/>
            <w:tcMar>
              <w:top w:w="80" w:type="dxa"/>
              <w:start w:w="100" w:type="dxa"/>
              <w:bottom w:w="80" w:type="dxa"/>
              <w:end w:w="100" w:type="dxa"/>
            </w:tcMar>
          </w:tcPr>
          <w:p>
            <w:pPr>
              <w:spacing w:after="0"/>
              <w:jc w:val="right"/>
            </w:pPr>
            <w:r>
              <w:rPr>
                <w:rFonts w:ascii="Calibri" w:hAnsi="Calibri"/>
                <w:sz w:val="13"/>
              </w:rPr>
              <w:t>984 €</w:t>
            </w:r>
          </w:p>
        </w:tc>
        <w:tc>
          <w:tcPr>
            <w:tcW w:type="dxa" w:w="1162"/>
            <w:vAlign w:val="center"/>
            <w:tcMar>
              <w:top w:w="80" w:type="dxa"/>
              <w:start w:w="100" w:type="dxa"/>
              <w:bottom w:w="80" w:type="dxa"/>
              <w:end w:w="100" w:type="dxa"/>
            </w:tcMar>
          </w:tcPr>
          <w:p>
            <w:pPr>
              <w:spacing w:after="0"/>
              <w:jc w:val="right"/>
            </w:pPr>
            <w:r>
              <w:rPr>
                <w:rFonts w:ascii="Calibri" w:hAnsi="Calibri"/>
                <w:sz w:val="13"/>
              </w:rPr>
              <w:t>1.167 €</w:t>
            </w:r>
          </w:p>
        </w:tc>
        <w:tc>
          <w:tcPr>
            <w:tcW w:type="dxa" w:w="1162"/>
            <w:vAlign w:val="center"/>
            <w:tcMar>
              <w:top w:w="80" w:type="dxa"/>
              <w:start w:w="100" w:type="dxa"/>
              <w:bottom w:w="80" w:type="dxa"/>
              <w:end w:w="100" w:type="dxa"/>
            </w:tcMar>
          </w:tcPr>
          <w:p>
            <w:pPr>
              <w:spacing w:after="0"/>
              <w:jc w:val="right"/>
            </w:pPr>
            <w:r>
              <w:rPr>
                <w:rFonts w:ascii="Calibri" w:hAnsi="Calibri"/>
                <w:sz w:val="13"/>
              </w:rPr>
              <w:t>1.349 €</w:t>
            </w:r>
          </w:p>
        </w:tc>
        <w:tc>
          <w:tcPr>
            <w:tcW w:type="dxa" w:w="1162"/>
            <w:vAlign w:val="center"/>
            <w:tcMar>
              <w:top w:w="80" w:type="dxa"/>
              <w:start w:w="100" w:type="dxa"/>
              <w:bottom w:w="80" w:type="dxa"/>
              <w:end w:w="100" w:type="dxa"/>
            </w:tcMar>
          </w:tcPr>
          <w:p>
            <w:pPr>
              <w:spacing w:after="0"/>
              <w:jc w:val="right"/>
            </w:pPr>
            <w:r>
              <w:rPr>
                <w:rFonts w:ascii="Calibri" w:hAnsi="Calibri"/>
                <w:sz w:val="13"/>
              </w:rPr>
              <w:t>1.532 €</w:t>
            </w:r>
          </w:p>
        </w:tc>
        <w:tc>
          <w:tcPr>
            <w:tcW w:type="dxa" w:w="1162"/>
            <w:vAlign w:val="center"/>
            <w:tcMar>
              <w:top w:w="80" w:type="dxa"/>
              <w:start w:w="100" w:type="dxa"/>
              <w:bottom w:w="80" w:type="dxa"/>
              <w:end w:w="100" w:type="dxa"/>
            </w:tcMar>
          </w:tcPr>
          <w:p>
            <w:pPr>
              <w:spacing w:after="0"/>
              <w:jc w:val="right"/>
            </w:pPr>
            <w:r>
              <w:rPr>
                <w:rFonts w:ascii="Calibri" w:hAnsi="Calibri"/>
                <w:sz w:val="13"/>
              </w:rPr>
              <w:t>1.715 €</w:t>
            </w:r>
          </w:p>
        </w:tc>
        <w:tc>
          <w:tcPr>
            <w:tcW w:type="dxa" w:w="1162"/>
            <w:vAlign w:val="center"/>
            <w:tcMar>
              <w:top w:w="80" w:type="dxa"/>
              <w:start w:w="100" w:type="dxa"/>
              <w:bottom w:w="80" w:type="dxa"/>
              <w:end w:w="100" w:type="dxa"/>
            </w:tcMar>
          </w:tcPr>
          <w:p>
            <w:pPr>
              <w:spacing w:after="0"/>
              <w:jc w:val="right"/>
            </w:pPr>
            <w:r>
              <w:rPr>
                <w:rFonts w:ascii="Calibri" w:hAnsi="Calibri"/>
                <w:sz w:val="13"/>
              </w:rPr>
              <w:t>1.898 €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Variable Kosten</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Fix-/Einmalkosten</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Personal cash</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EBITDA</w:t>
            </w:r>
          </w:p>
        </w:tc>
        <w:tc>
          <w:tcPr>
            <w:tcW w:type="dxa" w:w="1162"/>
            <w:vAlign w:val="center"/>
            <w:tcMar>
              <w:top w:w="80" w:type="dxa"/>
              <w:start w:w="100" w:type="dxa"/>
              <w:bottom w:w="80" w:type="dxa"/>
              <w:end w:w="100" w:type="dxa"/>
            </w:tcMar>
          </w:tcPr>
          <w:p>
            <w:pPr>
              <w:spacing w:after="0"/>
              <w:jc w:val="right"/>
            </w:pPr>
            <w:r>
              <w:rPr>
                <w:rFonts w:ascii="Calibri" w:hAnsi="Calibri"/>
                <w:sz w:val="13"/>
              </w:rPr>
              <w:t>49 €</w:t>
            </w:r>
          </w:p>
        </w:tc>
        <w:tc>
          <w:tcPr>
            <w:tcW w:type="dxa" w:w="1162"/>
            <w:vAlign w:val="center"/>
            <w:tcMar>
              <w:top w:w="80" w:type="dxa"/>
              <w:start w:w="100" w:type="dxa"/>
              <w:bottom w:w="80" w:type="dxa"/>
              <w:end w:w="100" w:type="dxa"/>
            </w:tcMar>
          </w:tcPr>
          <w:p>
            <w:pPr>
              <w:spacing w:after="0"/>
              <w:jc w:val="right"/>
            </w:pPr>
            <w:r>
              <w:rPr>
                <w:rFonts w:ascii="Calibri" w:hAnsi="Calibri"/>
                <w:sz w:val="13"/>
              </w:rPr>
              <w:t>232 €</w:t>
            </w:r>
          </w:p>
        </w:tc>
        <w:tc>
          <w:tcPr>
            <w:tcW w:type="dxa" w:w="1162"/>
            <w:vAlign w:val="center"/>
            <w:tcMar>
              <w:top w:w="80" w:type="dxa"/>
              <w:start w:w="100" w:type="dxa"/>
              <w:bottom w:w="80" w:type="dxa"/>
              <w:end w:w="100" w:type="dxa"/>
            </w:tcMar>
          </w:tcPr>
          <w:p>
            <w:pPr>
              <w:spacing w:after="0"/>
              <w:jc w:val="right"/>
            </w:pPr>
            <w:r>
              <w:rPr>
                <w:rFonts w:ascii="Calibri" w:hAnsi="Calibri"/>
                <w:sz w:val="13"/>
              </w:rPr>
              <w:t>414 €</w:t>
            </w:r>
          </w:p>
        </w:tc>
        <w:tc>
          <w:tcPr>
            <w:tcW w:type="dxa" w:w="1162"/>
            <w:vAlign w:val="center"/>
            <w:tcMar>
              <w:top w:w="80" w:type="dxa"/>
              <w:start w:w="100" w:type="dxa"/>
              <w:bottom w:w="80" w:type="dxa"/>
              <w:end w:w="100" w:type="dxa"/>
            </w:tcMar>
          </w:tcPr>
          <w:p>
            <w:pPr>
              <w:spacing w:after="0"/>
              <w:jc w:val="right"/>
            </w:pPr>
            <w:r>
              <w:rPr>
                <w:rFonts w:ascii="Calibri" w:hAnsi="Calibri"/>
                <w:sz w:val="13"/>
              </w:rPr>
              <w:t>597 €</w:t>
            </w:r>
          </w:p>
        </w:tc>
        <w:tc>
          <w:tcPr>
            <w:tcW w:type="dxa" w:w="1162"/>
            <w:vAlign w:val="center"/>
            <w:tcMar>
              <w:top w:w="80" w:type="dxa"/>
              <w:start w:w="100" w:type="dxa"/>
              <w:bottom w:w="80" w:type="dxa"/>
              <w:end w:w="100" w:type="dxa"/>
            </w:tcMar>
          </w:tcPr>
          <w:p>
            <w:pPr>
              <w:spacing w:after="0"/>
              <w:jc w:val="right"/>
            </w:pPr>
            <w:r>
              <w:rPr>
                <w:rFonts w:ascii="Calibri" w:hAnsi="Calibri"/>
                <w:sz w:val="13"/>
              </w:rPr>
              <w:t>780 €</w:t>
            </w:r>
          </w:p>
        </w:tc>
        <w:tc>
          <w:tcPr>
            <w:tcW w:type="dxa" w:w="1162"/>
            <w:vAlign w:val="center"/>
            <w:tcMar>
              <w:top w:w="80" w:type="dxa"/>
              <w:start w:w="100" w:type="dxa"/>
              <w:bottom w:w="80" w:type="dxa"/>
              <w:end w:w="100" w:type="dxa"/>
            </w:tcMar>
          </w:tcPr>
          <w:p>
            <w:pPr>
              <w:spacing w:after="0"/>
              <w:jc w:val="right"/>
            </w:pPr>
            <w:r>
              <w:rPr>
                <w:rFonts w:ascii="Calibri" w:hAnsi="Calibri"/>
                <w:sz w:val="13"/>
              </w:rPr>
              <w:t>962 €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EBIT</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16 €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198 €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381 €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564 €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746 €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929 €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Steuern</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Jahresergebnis</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16 €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198 €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381 €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564 €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746 €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929 €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Netto-Cashflow</w:t>
            </w:r>
          </w:p>
        </w:tc>
        <w:tc>
          <w:tcPr>
            <w:tcW w:type="dxa" w:w="1162"/>
            <w:vAlign w:val="center"/>
            <w:tcMar>
              <w:top w:w="80" w:type="dxa"/>
              <w:start w:w="100" w:type="dxa"/>
              <w:bottom w:w="80" w:type="dxa"/>
              <w:end w:w="100" w:type="dxa"/>
            </w:tcMar>
          </w:tcPr>
          <w:p>
            <w:pPr>
              <w:spacing w:after="0"/>
              <w:jc w:val="right"/>
            </w:pPr>
            <w:r>
              <w:rPr>
                <w:rFonts w:ascii="Calibri" w:hAnsi="Calibri"/>
                <w:sz w:val="13"/>
              </w:rPr>
              <w:t>416 €</w:t>
            </w:r>
          </w:p>
        </w:tc>
        <w:tc>
          <w:tcPr>
            <w:tcW w:type="dxa" w:w="1162"/>
            <w:vAlign w:val="center"/>
            <w:tcMar>
              <w:top w:w="80" w:type="dxa"/>
              <w:start w:w="100" w:type="dxa"/>
              <w:bottom w:w="80" w:type="dxa"/>
              <w:end w:w="100" w:type="dxa"/>
            </w:tcMar>
          </w:tcPr>
          <w:p>
            <w:pPr>
              <w:spacing w:after="0"/>
              <w:jc w:val="right"/>
            </w:pPr>
            <w:r>
              <w:rPr>
                <w:rFonts w:ascii="Calibri" w:hAnsi="Calibri"/>
                <w:sz w:val="13"/>
              </w:rPr>
              <w:t>557 €</w:t>
            </w:r>
          </w:p>
        </w:tc>
        <w:tc>
          <w:tcPr>
            <w:tcW w:type="dxa" w:w="1162"/>
            <w:vAlign w:val="center"/>
            <w:tcMar>
              <w:top w:w="80" w:type="dxa"/>
              <w:start w:w="100" w:type="dxa"/>
              <w:bottom w:w="80" w:type="dxa"/>
              <w:end w:w="100" w:type="dxa"/>
            </w:tcMar>
          </w:tcPr>
          <w:p>
            <w:pPr>
              <w:spacing w:after="0"/>
              <w:jc w:val="right"/>
            </w:pPr>
            <w:r>
              <w:rPr>
                <w:rFonts w:ascii="Calibri" w:hAnsi="Calibri"/>
                <w:sz w:val="13"/>
              </w:rPr>
              <w:t>698 €</w:t>
            </w:r>
          </w:p>
        </w:tc>
        <w:tc>
          <w:tcPr>
            <w:tcW w:type="dxa" w:w="1162"/>
            <w:vAlign w:val="center"/>
            <w:tcMar>
              <w:top w:w="80" w:type="dxa"/>
              <w:start w:w="100" w:type="dxa"/>
              <w:bottom w:w="80" w:type="dxa"/>
              <w:end w:w="100" w:type="dxa"/>
            </w:tcMar>
          </w:tcPr>
          <w:p>
            <w:pPr>
              <w:spacing w:after="0"/>
              <w:jc w:val="right"/>
            </w:pPr>
            <w:r>
              <w:rPr>
                <w:rFonts w:ascii="Calibri" w:hAnsi="Calibri"/>
                <w:sz w:val="13"/>
              </w:rPr>
              <w:t>839 €</w:t>
            </w:r>
          </w:p>
        </w:tc>
        <w:tc>
          <w:tcPr>
            <w:tcW w:type="dxa" w:w="1162"/>
            <w:vAlign w:val="center"/>
            <w:tcMar>
              <w:top w:w="80" w:type="dxa"/>
              <w:start w:w="100" w:type="dxa"/>
              <w:bottom w:w="80" w:type="dxa"/>
              <w:end w:w="100" w:type="dxa"/>
            </w:tcMar>
          </w:tcPr>
          <w:p>
            <w:pPr>
              <w:spacing w:after="0"/>
              <w:jc w:val="right"/>
            </w:pPr>
            <w:r>
              <w:rPr>
                <w:rFonts w:ascii="Calibri" w:hAnsi="Calibri"/>
                <w:sz w:val="13"/>
              </w:rPr>
              <w:t>980 €</w:t>
            </w:r>
          </w:p>
        </w:tc>
        <w:tc>
          <w:tcPr>
            <w:tcW w:type="dxa" w:w="1162"/>
            <w:vAlign w:val="center"/>
            <w:tcMar>
              <w:top w:w="80" w:type="dxa"/>
              <w:start w:w="100" w:type="dxa"/>
              <w:bottom w:w="80" w:type="dxa"/>
              <w:end w:w="100" w:type="dxa"/>
            </w:tcMar>
          </w:tcPr>
          <w:p>
            <w:pPr>
              <w:spacing w:after="0"/>
              <w:jc w:val="right"/>
            </w:pPr>
            <w:r>
              <w:rPr>
                <w:rFonts w:ascii="Calibri" w:hAnsi="Calibri"/>
                <w:sz w:val="13"/>
              </w:rPr>
              <w:t>1.121 €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Endliquidität</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−3.843 €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−3.286 €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−2.588 €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−1.749 €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−769 €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352 €</w:t>
            </w:r>
          </w:p>
        </w:tc>
      </w:tr>
    </w:tbl>
    <w:p>
      <w:pPr>
        <w:spacing w:after="20"/>
      </w:pPr>
    </w:p>
    <w:p>
      <w:r>
        <w:br w:type="page"/>
      </w:r>
    </w:p>
    <w:tbl>
      <w:tblPr>
        <w:tblStyle w:val="TableGrid"/>
        <w:tblW w:type="auto" w:w="0"/>
        <w:jc w:val="center"/>
        <w:tblLayout w:type="fixed"/>
        <w:tblLook w:firstColumn="1" w:firstRow="1" w:lastColumn="0" w:lastRow="0" w:noHBand="0" w:noVBand="1" w:val="04A0"/>
      </w:tblPr>
      <w:tblGrid>
        <w:gridCol w:w="1407"/>
        <w:gridCol w:w="1407"/>
        <w:gridCol w:w="1407"/>
        <w:gridCol w:w="1407"/>
        <w:gridCol w:w="1407"/>
        <w:gridCol w:w="1407"/>
        <w:gridCol w:w="1407"/>
      </w:tblGrid>
      <w:tr>
        <w:trPr>
          <w:tblHeader w:val="true"/>
        </w:trPr>
        <w:tc>
          <w:tcPr>
            <w:tcW w:type="dxa" w:w="2438"/>
            <w:shd w:fill="1F5A7A"/>
            <w:vAlign w:val="center"/>
            <w:tcMar>
              <w:top w:w="80" w:type="dxa"/>
              <w:start w:w="100" w:type="dxa"/>
              <w:bottom w:w="80" w:type="dxa"/>
              <w:end w:w="100" w:type="dxa"/>
            </w:tcMar>
          </w:tcPr>
          <w:p>
            <w:pPr>
              <w:spacing w:after="0"/>
              <w:jc w:val="center"/>
            </w:pPr>
            <w:r>
              <w:rPr>
                <w:rFonts w:ascii="Calibri" w:hAnsi="Calibri"/>
                <w:b/>
                <w:color w:val="FFFFFF"/>
                <w:sz w:val="13"/>
              </w:rPr>
              <w:t>Kennzahl</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M13</w:t>
              <w:br/>
              <w:t>08/27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M14</w:t>
              <w:br/>
              <w:t>09/27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M15</w:t>
              <w:br/>
              <w:t>10/27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M16</w:t>
              <w:br/>
              <w:t>11/27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M17</w:t>
              <w:br/>
              <w:t>12/27</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M18</w:t>
              <w:br/>
              <w:t>01/28</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Aktive Kunden</w:t>
            </w:r>
          </w:p>
        </w:tc>
        <w:tc>
          <w:tcPr>
            <w:tcW w:type="dxa" w:w="1162"/>
            <w:vAlign w:val="center"/>
            <w:tcMar>
              <w:top w:w="80" w:type="dxa"/>
              <w:start w:w="100" w:type="dxa"/>
              <w:bottom w:w="80" w:type="dxa"/>
              <w:end w:w="100" w:type="dxa"/>
            </w:tcMar>
          </w:tcPr>
          <w:p>
            <w:pPr>
              <w:spacing w:after="0"/>
              <w:jc w:val="right"/>
            </w:pPr>
            <w:r>
              <w:rPr>
                <w:rFonts w:ascii="Calibri" w:hAnsi="Calibri"/>
                <w:sz w:val="13"/>
              </w:rPr>
              <w:t>17,9</w:t>
            </w:r>
          </w:p>
        </w:tc>
        <w:tc>
          <w:tcPr>
            <w:tcW w:type="dxa" w:w="1162"/>
            <w:vAlign w:val="center"/>
            <w:tcMar>
              <w:top w:w="80" w:type="dxa"/>
              <w:start w:w="100" w:type="dxa"/>
              <w:bottom w:w="80" w:type="dxa"/>
              <w:end w:w="100" w:type="dxa"/>
            </w:tcMar>
          </w:tcPr>
          <w:p>
            <w:pPr>
              <w:spacing w:after="0"/>
              <w:jc w:val="right"/>
            </w:pPr>
            <w:r>
              <w:rPr>
                <w:rFonts w:ascii="Calibri" w:hAnsi="Calibri"/>
                <w:sz w:val="13"/>
              </w:rPr>
              <w:t>20,8</w:t>
            </w:r>
          </w:p>
        </w:tc>
        <w:tc>
          <w:tcPr>
            <w:tcW w:type="dxa" w:w="1162"/>
            <w:vAlign w:val="center"/>
            <w:tcMar>
              <w:top w:w="80" w:type="dxa"/>
              <w:start w:w="100" w:type="dxa"/>
              <w:bottom w:w="80" w:type="dxa"/>
              <w:end w:w="100" w:type="dxa"/>
            </w:tcMar>
          </w:tcPr>
          <w:p>
            <w:pPr>
              <w:spacing w:after="0"/>
              <w:jc w:val="right"/>
            </w:pPr>
            <w:r>
              <w:rPr>
                <w:rFonts w:ascii="Calibri" w:hAnsi="Calibri"/>
                <w:sz w:val="13"/>
              </w:rPr>
              <w:t>23,8</w:t>
            </w:r>
          </w:p>
        </w:tc>
        <w:tc>
          <w:tcPr>
            <w:tcW w:type="dxa" w:w="1162"/>
            <w:vAlign w:val="center"/>
            <w:tcMar>
              <w:top w:w="80" w:type="dxa"/>
              <w:start w:w="100" w:type="dxa"/>
              <w:bottom w:w="80" w:type="dxa"/>
              <w:end w:w="100" w:type="dxa"/>
            </w:tcMar>
          </w:tcPr>
          <w:p>
            <w:pPr>
              <w:spacing w:after="0"/>
              <w:jc w:val="right"/>
            </w:pPr>
            <w:r>
              <w:rPr>
                <w:rFonts w:ascii="Calibri" w:hAnsi="Calibri"/>
                <w:sz w:val="13"/>
              </w:rPr>
              <w:t>26,7</w:t>
            </w:r>
          </w:p>
        </w:tc>
        <w:tc>
          <w:tcPr>
            <w:tcW w:type="dxa" w:w="1162"/>
            <w:vAlign w:val="center"/>
            <w:tcMar>
              <w:top w:w="80" w:type="dxa"/>
              <w:start w:w="100" w:type="dxa"/>
              <w:bottom w:w="80" w:type="dxa"/>
              <w:end w:w="100" w:type="dxa"/>
            </w:tcMar>
          </w:tcPr>
          <w:p>
            <w:pPr>
              <w:spacing w:after="0"/>
              <w:jc w:val="right"/>
            </w:pPr>
            <w:r>
              <w:rPr>
                <w:rFonts w:ascii="Calibri" w:hAnsi="Calibri"/>
                <w:sz w:val="13"/>
              </w:rPr>
              <w:t>29,6</w:t>
            </w:r>
          </w:p>
        </w:tc>
        <w:tc>
          <w:tcPr>
            <w:tcW w:type="dxa" w:w="1162"/>
            <w:vAlign w:val="center"/>
            <w:tcMar>
              <w:top w:w="80" w:type="dxa"/>
              <w:start w:w="100" w:type="dxa"/>
              <w:bottom w:w="80" w:type="dxa"/>
              <w:end w:w="100" w:type="dxa"/>
            </w:tcMar>
          </w:tcPr>
          <w:p>
            <w:pPr>
              <w:spacing w:after="0"/>
              <w:jc w:val="right"/>
            </w:pPr>
            <w:r>
              <w:rPr>
                <w:rFonts w:ascii="Calibri" w:hAnsi="Calibri"/>
                <w:sz w:val="13"/>
              </w:rPr>
              <w:t>32,5</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Pageviews</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89.583</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104.167</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118.750</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133.333</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147.917</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162.500</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Umsatz</w:t>
            </w:r>
          </w:p>
        </w:tc>
        <w:tc>
          <w:tcPr>
            <w:tcW w:type="dxa" w:w="1162"/>
            <w:vAlign w:val="center"/>
            <w:tcMar>
              <w:top w:w="80" w:type="dxa"/>
              <w:start w:w="100" w:type="dxa"/>
              <w:bottom w:w="80" w:type="dxa"/>
              <w:end w:w="100" w:type="dxa"/>
            </w:tcMar>
          </w:tcPr>
          <w:p>
            <w:pPr>
              <w:spacing w:after="0"/>
              <w:jc w:val="right"/>
            </w:pPr>
            <w:r>
              <w:rPr>
                <w:rFonts w:ascii="Calibri" w:hAnsi="Calibri"/>
                <w:sz w:val="13"/>
              </w:rPr>
              <w:t>2.266 €</w:t>
            </w:r>
          </w:p>
        </w:tc>
        <w:tc>
          <w:tcPr>
            <w:tcW w:type="dxa" w:w="1162"/>
            <w:vAlign w:val="center"/>
            <w:tcMar>
              <w:top w:w="80" w:type="dxa"/>
              <w:start w:w="100" w:type="dxa"/>
              <w:bottom w:w="80" w:type="dxa"/>
              <w:end w:w="100" w:type="dxa"/>
            </w:tcMar>
          </w:tcPr>
          <w:p>
            <w:pPr>
              <w:spacing w:after="0"/>
              <w:jc w:val="right"/>
            </w:pPr>
            <w:r>
              <w:rPr>
                <w:rFonts w:ascii="Calibri" w:hAnsi="Calibri"/>
                <w:sz w:val="13"/>
              </w:rPr>
              <w:t>2.635 €</w:t>
            </w:r>
          </w:p>
        </w:tc>
        <w:tc>
          <w:tcPr>
            <w:tcW w:type="dxa" w:w="1162"/>
            <w:vAlign w:val="center"/>
            <w:tcMar>
              <w:top w:w="80" w:type="dxa"/>
              <w:start w:w="100" w:type="dxa"/>
              <w:bottom w:w="80" w:type="dxa"/>
              <w:end w:w="100" w:type="dxa"/>
            </w:tcMar>
          </w:tcPr>
          <w:p>
            <w:pPr>
              <w:spacing w:after="0"/>
              <w:jc w:val="right"/>
            </w:pPr>
            <w:r>
              <w:rPr>
                <w:rFonts w:ascii="Calibri" w:hAnsi="Calibri"/>
                <w:sz w:val="13"/>
              </w:rPr>
              <w:t>3.004 €</w:t>
            </w:r>
          </w:p>
        </w:tc>
        <w:tc>
          <w:tcPr>
            <w:tcW w:type="dxa" w:w="1162"/>
            <w:vAlign w:val="center"/>
            <w:tcMar>
              <w:top w:w="80" w:type="dxa"/>
              <w:start w:w="100" w:type="dxa"/>
              <w:bottom w:w="80" w:type="dxa"/>
              <w:end w:w="100" w:type="dxa"/>
            </w:tcMar>
          </w:tcPr>
          <w:p>
            <w:pPr>
              <w:spacing w:after="0"/>
              <w:jc w:val="right"/>
            </w:pPr>
            <w:r>
              <w:rPr>
                <w:rFonts w:ascii="Calibri" w:hAnsi="Calibri"/>
                <w:sz w:val="13"/>
              </w:rPr>
              <w:t>3.373 €</w:t>
            </w:r>
          </w:p>
        </w:tc>
        <w:tc>
          <w:tcPr>
            <w:tcW w:type="dxa" w:w="1162"/>
            <w:vAlign w:val="center"/>
            <w:tcMar>
              <w:top w:w="80" w:type="dxa"/>
              <w:start w:w="100" w:type="dxa"/>
              <w:bottom w:w="80" w:type="dxa"/>
              <w:end w:w="100" w:type="dxa"/>
            </w:tcMar>
          </w:tcPr>
          <w:p>
            <w:pPr>
              <w:spacing w:after="0"/>
              <w:jc w:val="right"/>
            </w:pPr>
            <w:r>
              <w:rPr>
                <w:rFonts w:ascii="Calibri" w:hAnsi="Calibri"/>
                <w:sz w:val="13"/>
              </w:rPr>
              <w:t>3.742 €</w:t>
            </w:r>
          </w:p>
        </w:tc>
        <w:tc>
          <w:tcPr>
            <w:tcW w:type="dxa" w:w="1162"/>
            <w:vAlign w:val="center"/>
            <w:tcMar>
              <w:top w:w="80" w:type="dxa"/>
              <w:start w:w="100" w:type="dxa"/>
              <w:bottom w:w="80" w:type="dxa"/>
              <w:end w:w="100" w:type="dxa"/>
            </w:tcMar>
          </w:tcPr>
          <w:p>
            <w:pPr>
              <w:spacing w:after="0"/>
              <w:jc w:val="right"/>
            </w:pPr>
            <w:r>
              <w:rPr>
                <w:rFonts w:ascii="Calibri" w:hAnsi="Calibri"/>
                <w:sz w:val="13"/>
              </w:rPr>
              <w:t>4.111 €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Variable Kosten</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Fix-/Einmalkosten</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Personal cash</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EBITDA</w:t>
            </w:r>
          </w:p>
        </w:tc>
        <w:tc>
          <w:tcPr>
            <w:tcW w:type="dxa" w:w="1162"/>
            <w:vAlign w:val="center"/>
            <w:tcMar>
              <w:top w:w="80" w:type="dxa"/>
              <w:start w:w="100" w:type="dxa"/>
              <w:bottom w:w="80" w:type="dxa"/>
              <w:end w:w="100" w:type="dxa"/>
            </w:tcMar>
          </w:tcPr>
          <w:p>
            <w:pPr>
              <w:spacing w:after="0"/>
              <w:jc w:val="right"/>
            </w:pPr>
            <w:r>
              <w:rPr>
                <w:rFonts w:ascii="Calibri" w:hAnsi="Calibri"/>
                <w:sz w:val="13"/>
              </w:rPr>
              <w:t>1.331 €</w:t>
            </w:r>
          </w:p>
        </w:tc>
        <w:tc>
          <w:tcPr>
            <w:tcW w:type="dxa" w:w="1162"/>
            <w:vAlign w:val="center"/>
            <w:tcMar>
              <w:top w:w="80" w:type="dxa"/>
              <w:start w:w="100" w:type="dxa"/>
              <w:bottom w:w="80" w:type="dxa"/>
              <w:end w:w="100" w:type="dxa"/>
            </w:tcMar>
          </w:tcPr>
          <w:p>
            <w:pPr>
              <w:spacing w:after="0"/>
              <w:jc w:val="right"/>
            </w:pPr>
            <w:r>
              <w:rPr>
                <w:rFonts w:ascii="Calibri" w:hAnsi="Calibri"/>
                <w:sz w:val="13"/>
              </w:rPr>
              <w:t>1.700 €</w:t>
            </w:r>
          </w:p>
        </w:tc>
        <w:tc>
          <w:tcPr>
            <w:tcW w:type="dxa" w:w="1162"/>
            <w:vAlign w:val="center"/>
            <w:tcMar>
              <w:top w:w="80" w:type="dxa"/>
              <w:start w:w="100" w:type="dxa"/>
              <w:bottom w:w="80" w:type="dxa"/>
              <w:end w:w="100" w:type="dxa"/>
            </w:tcMar>
          </w:tcPr>
          <w:p>
            <w:pPr>
              <w:spacing w:after="0"/>
              <w:jc w:val="right"/>
            </w:pPr>
            <w:r>
              <w:rPr>
                <w:rFonts w:ascii="Calibri" w:hAnsi="Calibri"/>
                <w:sz w:val="13"/>
              </w:rPr>
              <w:t>2.069 €</w:t>
            </w:r>
          </w:p>
        </w:tc>
        <w:tc>
          <w:tcPr>
            <w:tcW w:type="dxa" w:w="1162"/>
            <w:vAlign w:val="center"/>
            <w:tcMar>
              <w:top w:w="80" w:type="dxa"/>
              <w:start w:w="100" w:type="dxa"/>
              <w:bottom w:w="80" w:type="dxa"/>
              <w:end w:w="100" w:type="dxa"/>
            </w:tcMar>
          </w:tcPr>
          <w:p>
            <w:pPr>
              <w:spacing w:after="0"/>
              <w:jc w:val="right"/>
            </w:pPr>
            <w:r>
              <w:rPr>
                <w:rFonts w:ascii="Calibri" w:hAnsi="Calibri"/>
                <w:sz w:val="13"/>
              </w:rPr>
              <w:t>2.438 €</w:t>
            </w:r>
          </w:p>
        </w:tc>
        <w:tc>
          <w:tcPr>
            <w:tcW w:type="dxa" w:w="1162"/>
            <w:vAlign w:val="center"/>
            <w:tcMar>
              <w:top w:w="80" w:type="dxa"/>
              <w:start w:w="100" w:type="dxa"/>
              <w:bottom w:w="80" w:type="dxa"/>
              <w:end w:w="100" w:type="dxa"/>
            </w:tcMar>
          </w:tcPr>
          <w:p>
            <w:pPr>
              <w:spacing w:after="0"/>
              <w:jc w:val="right"/>
            </w:pPr>
            <w:r>
              <w:rPr>
                <w:rFonts w:ascii="Calibri" w:hAnsi="Calibri"/>
                <w:sz w:val="13"/>
              </w:rPr>
              <w:t>2.807 €</w:t>
            </w:r>
          </w:p>
        </w:tc>
        <w:tc>
          <w:tcPr>
            <w:tcW w:type="dxa" w:w="1162"/>
            <w:vAlign w:val="center"/>
            <w:tcMar>
              <w:top w:w="80" w:type="dxa"/>
              <w:start w:w="100" w:type="dxa"/>
              <w:bottom w:w="80" w:type="dxa"/>
              <w:end w:w="100" w:type="dxa"/>
            </w:tcMar>
          </w:tcPr>
          <w:p>
            <w:pPr>
              <w:spacing w:after="0"/>
              <w:jc w:val="right"/>
            </w:pPr>
            <w:r>
              <w:rPr>
                <w:rFonts w:ascii="Calibri" w:hAnsi="Calibri"/>
                <w:sz w:val="13"/>
              </w:rPr>
              <w:t>3.176 €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EBIT</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1.298 €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1.667 €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2.036 €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2.405 €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2.774 €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3.143 €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Steuern</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0 €</w:t>
            </w:r>
          </w:p>
        </w:tc>
        <w:tc>
          <w:tcPr>
            <w:tcW w:type="dxa" w:w="1162"/>
            <w:vAlign w:val="center"/>
            <w:tcMar>
              <w:top w:w="80" w:type="dxa"/>
              <w:start w:w="100" w:type="dxa"/>
              <w:bottom w:w="80" w:type="dxa"/>
              <w:end w:w="100" w:type="dxa"/>
            </w:tcMar>
          </w:tcPr>
          <w:p>
            <w:pPr>
              <w:spacing w:after="0"/>
              <w:jc w:val="right"/>
            </w:pPr>
            <w:r>
              <w:rPr>
                <w:rFonts w:ascii="Calibri" w:hAnsi="Calibri"/>
                <w:sz w:val="13"/>
              </w:rPr>
              <w:t>251 €</w:t>
            </w:r>
          </w:p>
        </w:tc>
        <w:tc>
          <w:tcPr>
            <w:tcW w:type="dxa" w:w="1162"/>
            <w:vAlign w:val="center"/>
            <w:tcMar>
              <w:top w:w="80" w:type="dxa"/>
              <w:start w:w="100" w:type="dxa"/>
              <w:bottom w:w="80" w:type="dxa"/>
              <w:end w:w="100" w:type="dxa"/>
            </w:tcMar>
          </w:tcPr>
          <w:p>
            <w:pPr>
              <w:spacing w:after="0"/>
              <w:jc w:val="right"/>
            </w:pPr>
            <w:r>
              <w:rPr>
                <w:rFonts w:ascii="Calibri" w:hAnsi="Calibri"/>
                <w:sz w:val="13"/>
              </w:rPr>
              <w:t>793 €</w:t>
            </w:r>
          </w:p>
        </w:tc>
        <w:tc>
          <w:tcPr>
            <w:tcW w:type="dxa" w:w="1162"/>
            <w:vAlign w:val="center"/>
            <w:tcMar>
              <w:top w:w="80" w:type="dxa"/>
              <w:start w:w="100" w:type="dxa"/>
              <w:bottom w:w="80" w:type="dxa"/>
              <w:end w:w="100" w:type="dxa"/>
            </w:tcMar>
          </w:tcPr>
          <w:p>
            <w:pPr>
              <w:spacing w:after="0"/>
              <w:jc w:val="right"/>
            </w:pPr>
            <w:r>
              <w:rPr>
                <w:rFonts w:ascii="Calibri" w:hAnsi="Calibri"/>
                <w:sz w:val="13"/>
              </w:rPr>
              <w:t>915 €</w:t>
            </w:r>
          </w:p>
        </w:tc>
        <w:tc>
          <w:tcPr>
            <w:tcW w:type="dxa" w:w="1162"/>
            <w:vAlign w:val="center"/>
            <w:tcMar>
              <w:top w:w="80" w:type="dxa"/>
              <w:start w:w="100" w:type="dxa"/>
              <w:bottom w:w="80" w:type="dxa"/>
              <w:end w:w="100" w:type="dxa"/>
            </w:tcMar>
          </w:tcPr>
          <w:p>
            <w:pPr>
              <w:spacing w:after="0"/>
              <w:jc w:val="right"/>
            </w:pPr>
            <w:r>
              <w:rPr>
                <w:rFonts w:ascii="Calibri" w:hAnsi="Calibri"/>
                <w:sz w:val="13"/>
              </w:rPr>
              <w:t>1.036 €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Jahresergebnis</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1.298 €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1.667 €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1.785 €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1.612 €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1.859 €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2.107 €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Netto-Cashflow</w:t>
            </w:r>
          </w:p>
        </w:tc>
        <w:tc>
          <w:tcPr>
            <w:tcW w:type="dxa" w:w="1162"/>
            <w:vAlign w:val="center"/>
            <w:tcMar>
              <w:top w:w="80" w:type="dxa"/>
              <w:start w:w="100" w:type="dxa"/>
              <w:bottom w:w="80" w:type="dxa"/>
              <w:end w:w="100" w:type="dxa"/>
            </w:tcMar>
          </w:tcPr>
          <w:p>
            <w:pPr>
              <w:spacing w:after="0"/>
              <w:jc w:val="right"/>
            </w:pPr>
            <w:r>
              <w:rPr>
                <w:rFonts w:ascii="Calibri" w:hAnsi="Calibri"/>
                <w:sz w:val="13"/>
              </w:rPr>
              <w:t>1.952 €</w:t>
            </w:r>
          </w:p>
        </w:tc>
        <w:tc>
          <w:tcPr>
            <w:tcW w:type="dxa" w:w="1162"/>
            <w:vAlign w:val="center"/>
            <w:tcMar>
              <w:top w:w="80" w:type="dxa"/>
              <w:start w:w="100" w:type="dxa"/>
              <w:bottom w:w="80" w:type="dxa"/>
              <w:end w:w="100" w:type="dxa"/>
            </w:tcMar>
          </w:tcPr>
          <w:p>
            <w:pPr>
              <w:spacing w:after="0"/>
              <w:jc w:val="right"/>
            </w:pPr>
            <w:r>
              <w:rPr>
                <w:rFonts w:ascii="Calibri" w:hAnsi="Calibri"/>
                <w:sz w:val="13"/>
              </w:rPr>
              <w:t>2.240 €</w:t>
            </w:r>
          </w:p>
        </w:tc>
        <w:tc>
          <w:tcPr>
            <w:tcW w:type="dxa" w:w="1162"/>
            <w:vAlign w:val="center"/>
            <w:tcMar>
              <w:top w:w="80" w:type="dxa"/>
              <w:start w:w="100" w:type="dxa"/>
              <w:bottom w:w="80" w:type="dxa"/>
              <w:end w:w="100" w:type="dxa"/>
            </w:tcMar>
          </w:tcPr>
          <w:p>
            <w:pPr>
              <w:spacing w:after="0"/>
              <w:jc w:val="right"/>
            </w:pPr>
            <w:r>
              <w:rPr>
                <w:rFonts w:ascii="Calibri" w:hAnsi="Calibri"/>
                <w:sz w:val="13"/>
              </w:rPr>
              <w:t>2.746 €</w:t>
            </w:r>
          </w:p>
        </w:tc>
        <w:tc>
          <w:tcPr>
            <w:tcW w:type="dxa" w:w="1162"/>
            <w:vAlign w:val="center"/>
            <w:tcMar>
              <w:top w:w="80" w:type="dxa"/>
              <w:start w:w="100" w:type="dxa"/>
              <w:bottom w:w="80" w:type="dxa"/>
              <w:end w:w="100" w:type="dxa"/>
            </w:tcMar>
          </w:tcPr>
          <w:p>
            <w:pPr>
              <w:spacing w:after="0"/>
              <w:jc w:val="right"/>
            </w:pPr>
            <w:r>
              <w:rPr>
                <w:rFonts w:ascii="Calibri" w:hAnsi="Calibri"/>
                <w:sz w:val="13"/>
              </w:rPr>
              <w:t>2.502 €</w:t>
            </w:r>
          </w:p>
        </w:tc>
        <w:tc>
          <w:tcPr>
            <w:tcW w:type="dxa" w:w="1162"/>
            <w:vAlign w:val="center"/>
            <w:tcMar>
              <w:top w:w="80" w:type="dxa"/>
              <w:start w:w="100" w:type="dxa"/>
              <w:bottom w:w="80" w:type="dxa"/>
              <w:end w:w="100" w:type="dxa"/>
            </w:tcMar>
          </w:tcPr>
          <w:p>
            <w:pPr>
              <w:spacing w:after="0"/>
              <w:jc w:val="right"/>
            </w:pPr>
            <w:r>
              <w:rPr>
                <w:rFonts w:ascii="Calibri" w:hAnsi="Calibri"/>
                <w:sz w:val="13"/>
              </w:rPr>
              <w:t>2.677 €</w:t>
            </w:r>
          </w:p>
        </w:tc>
        <w:tc>
          <w:tcPr>
            <w:tcW w:type="dxa" w:w="1162"/>
            <w:vAlign w:val="center"/>
            <w:tcMar>
              <w:top w:w="80" w:type="dxa"/>
              <w:start w:w="100" w:type="dxa"/>
              <w:bottom w:w="80" w:type="dxa"/>
              <w:end w:w="100" w:type="dxa"/>
            </w:tcMar>
          </w:tcPr>
          <w:p>
            <w:pPr>
              <w:spacing w:after="0"/>
              <w:jc w:val="right"/>
            </w:pPr>
            <w:r>
              <w:rPr>
                <w:rFonts w:ascii="Calibri" w:hAnsi="Calibri"/>
                <w:sz w:val="13"/>
              </w:rPr>
              <w:t>2.853 €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Endliquidität</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2.304 €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4.544 €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7.290 €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9.792 €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12.469 €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15.323 €</w:t>
            </w:r>
          </w:p>
        </w:tc>
      </w:tr>
    </w:tbl>
    <w:p>
      <w:pPr>
        <w:spacing w:after="20"/>
      </w:pPr>
    </w:p>
    <w:tbl>
      <w:tblPr>
        <w:tblStyle w:val="TableGrid"/>
        <w:tblW w:type="auto" w:w="0"/>
        <w:jc w:val="center"/>
        <w:tblLayout w:type="fixed"/>
        <w:tblLook w:firstColumn="1" w:firstRow="1" w:lastColumn="0" w:lastRow="0" w:noHBand="0" w:noVBand="1" w:val="04A0"/>
      </w:tblPr>
      <w:tblGrid>
        <w:gridCol w:w="1407"/>
        <w:gridCol w:w="1407"/>
        <w:gridCol w:w="1407"/>
        <w:gridCol w:w="1407"/>
        <w:gridCol w:w="1407"/>
        <w:gridCol w:w="1407"/>
        <w:gridCol w:w="1407"/>
      </w:tblGrid>
      <w:tr>
        <w:trPr>
          <w:tblHeader w:val="true"/>
        </w:trPr>
        <w:tc>
          <w:tcPr>
            <w:tcW w:type="dxa" w:w="2438"/>
            <w:shd w:fill="1F5A7A"/>
            <w:vAlign w:val="center"/>
            <w:tcMar>
              <w:top w:w="80" w:type="dxa"/>
              <w:start w:w="100" w:type="dxa"/>
              <w:bottom w:w="80" w:type="dxa"/>
              <w:end w:w="100" w:type="dxa"/>
            </w:tcMar>
          </w:tcPr>
          <w:p>
            <w:pPr>
              <w:spacing w:after="0"/>
              <w:jc w:val="center"/>
            </w:pPr>
            <w:r>
              <w:rPr>
                <w:rFonts w:ascii="Calibri" w:hAnsi="Calibri"/>
                <w:b/>
                <w:color w:val="FFFFFF"/>
                <w:sz w:val="13"/>
              </w:rPr>
              <w:t>Kennzahl</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M19</w:t>
              <w:br/>
              <w:t>02/28</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M20</w:t>
              <w:br/>
              <w:t>03/28</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M21</w:t>
              <w:br/>
              <w:t>04/28</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M22</w:t>
              <w:br/>
              <w:t>05/28</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M23</w:t>
              <w:br/>
              <w:t>06/28</w:t>
            </w:r>
          </w:p>
        </w:tc>
        <w:tc>
          <w:tcPr>
            <w:tcW w:type="dxa" w:w="1162"/>
            <w:shd w:fill="1F5A7A"/>
            <w:vAlign w:val="center"/>
            <w:tcMar>
              <w:top w:w="80" w:type="dxa"/>
              <w:start w:w="100" w:type="dxa"/>
              <w:bottom w:w="80" w:type="dxa"/>
              <w:end w:w="100" w:type="dxa"/>
            </w:tcMar>
          </w:tcPr>
          <w:p>
            <w:pPr>
              <w:spacing w:after="0"/>
              <w:jc w:val="center"/>
            </w:pPr>
            <w:r>
              <w:rPr>
                <w:rFonts w:ascii="Calibri" w:hAnsi="Calibri"/>
                <w:b/>
                <w:color w:val="FFFFFF"/>
                <w:sz w:val="13"/>
              </w:rPr>
              <w:t>M24</w:t>
              <w:br/>
              <w:t>07/28</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Aktive Kunden</w:t>
            </w:r>
          </w:p>
        </w:tc>
        <w:tc>
          <w:tcPr>
            <w:tcW w:type="dxa" w:w="1162"/>
            <w:vAlign w:val="center"/>
            <w:tcMar>
              <w:top w:w="80" w:type="dxa"/>
              <w:start w:w="100" w:type="dxa"/>
              <w:bottom w:w="80" w:type="dxa"/>
              <w:end w:w="100" w:type="dxa"/>
            </w:tcMar>
          </w:tcPr>
          <w:p>
            <w:pPr>
              <w:spacing w:after="0"/>
              <w:jc w:val="right"/>
            </w:pPr>
            <w:r>
              <w:rPr>
                <w:rFonts w:ascii="Calibri" w:hAnsi="Calibri"/>
                <w:sz w:val="13"/>
              </w:rPr>
              <w:t>35,4</w:t>
            </w:r>
          </w:p>
        </w:tc>
        <w:tc>
          <w:tcPr>
            <w:tcW w:type="dxa" w:w="1162"/>
            <w:vAlign w:val="center"/>
            <w:tcMar>
              <w:top w:w="80" w:type="dxa"/>
              <w:start w:w="100" w:type="dxa"/>
              <w:bottom w:w="80" w:type="dxa"/>
              <w:end w:w="100" w:type="dxa"/>
            </w:tcMar>
          </w:tcPr>
          <w:p>
            <w:pPr>
              <w:spacing w:after="0"/>
              <w:jc w:val="right"/>
            </w:pPr>
            <w:r>
              <w:rPr>
                <w:rFonts w:ascii="Calibri" w:hAnsi="Calibri"/>
                <w:sz w:val="13"/>
              </w:rPr>
              <w:t>38,3</w:t>
            </w:r>
          </w:p>
        </w:tc>
        <w:tc>
          <w:tcPr>
            <w:tcW w:type="dxa" w:w="1162"/>
            <w:vAlign w:val="center"/>
            <w:tcMar>
              <w:top w:w="80" w:type="dxa"/>
              <w:start w:w="100" w:type="dxa"/>
              <w:bottom w:w="80" w:type="dxa"/>
              <w:end w:w="100" w:type="dxa"/>
            </w:tcMar>
          </w:tcPr>
          <w:p>
            <w:pPr>
              <w:spacing w:after="0"/>
              <w:jc w:val="right"/>
            </w:pPr>
            <w:r>
              <w:rPr>
                <w:rFonts w:ascii="Calibri" w:hAnsi="Calibri"/>
                <w:sz w:val="13"/>
              </w:rPr>
              <w:t>41,2</w:t>
            </w:r>
          </w:p>
        </w:tc>
        <w:tc>
          <w:tcPr>
            <w:tcW w:type="dxa" w:w="1162"/>
            <w:vAlign w:val="center"/>
            <w:tcMar>
              <w:top w:w="80" w:type="dxa"/>
              <w:start w:w="100" w:type="dxa"/>
              <w:bottom w:w="80" w:type="dxa"/>
              <w:end w:w="100" w:type="dxa"/>
            </w:tcMar>
          </w:tcPr>
          <w:p>
            <w:pPr>
              <w:spacing w:after="0"/>
              <w:jc w:val="right"/>
            </w:pPr>
            <w:r>
              <w:rPr>
                <w:rFonts w:ascii="Calibri" w:hAnsi="Calibri"/>
                <w:sz w:val="13"/>
              </w:rPr>
              <w:t>44,2</w:t>
            </w:r>
          </w:p>
        </w:tc>
        <w:tc>
          <w:tcPr>
            <w:tcW w:type="dxa" w:w="1162"/>
            <w:vAlign w:val="center"/>
            <w:tcMar>
              <w:top w:w="80" w:type="dxa"/>
              <w:start w:w="100" w:type="dxa"/>
              <w:bottom w:w="80" w:type="dxa"/>
              <w:end w:w="100" w:type="dxa"/>
            </w:tcMar>
          </w:tcPr>
          <w:p>
            <w:pPr>
              <w:spacing w:after="0"/>
              <w:jc w:val="right"/>
            </w:pPr>
            <w:r>
              <w:rPr>
                <w:rFonts w:ascii="Calibri" w:hAnsi="Calibri"/>
                <w:sz w:val="13"/>
              </w:rPr>
              <w:t>47,1</w:t>
            </w:r>
          </w:p>
        </w:tc>
        <w:tc>
          <w:tcPr>
            <w:tcW w:type="dxa" w:w="1162"/>
            <w:vAlign w:val="center"/>
            <w:tcMar>
              <w:top w:w="80" w:type="dxa"/>
              <w:start w:w="100" w:type="dxa"/>
              <w:bottom w:w="80" w:type="dxa"/>
              <w:end w:w="100" w:type="dxa"/>
            </w:tcMar>
          </w:tcPr>
          <w:p>
            <w:pPr>
              <w:spacing w:after="0"/>
              <w:jc w:val="right"/>
            </w:pPr>
            <w:r>
              <w:rPr>
                <w:rFonts w:ascii="Calibri" w:hAnsi="Calibri"/>
                <w:sz w:val="13"/>
              </w:rPr>
              <w:t>50,0</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Pageviews</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177.083</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191.667</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206.250</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220.833</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235.417</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250.000</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Umsatz</w:t>
            </w:r>
          </w:p>
        </w:tc>
        <w:tc>
          <w:tcPr>
            <w:tcW w:type="dxa" w:w="1162"/>
            <w:vAlign w:val="center"/>
            <w:tcMar>
              <w:top w:w="80" w:type="dxa"/>
              <w:start w:w="100" w:type="dxa"/>
              <w:bottom w:w="80" w:type="dxa"/>
              <w:end w:w="100" w:type="dxa"/>
            </w:tcMar>
          </w:tcPr>
          <w:p>
            <w:pPr>
              <w:spacing w:after="0"/>
              <w:jc w:val="right"/>
            </w:pPr>
            <w:r>
              <w:rPr>
                <w:rFonts w:ascii="Calibri" w:hAnsi="Calibri"/>
                <w:sz w:val="13"/>
              </w:rPr>
              <w:t>4.480 €</w:t>
            </w:r>
          </w:p>
        </w:tc>
        <w:tc>
          <w:tcPr>
            <w:tcW w:type="dxa" w:w="1162"/>
            <w:vAlign w:val="center"/>
            <w:tcMar>
              <w:top w:w="80" w:type="dxa"/>
              <w:start w:w="100" w:type="dxa"/>
              <w:bottom w:w="80" w:type="dxa"/>
              <w:end w:w="100" w:type="dxa"/>
            </w:tcMar>
          </w:tcPr>
          <w:p>
            <w:pPr>
              <w:spacing w:after="0"/>
              <w:jc w:val="right"/>
            </w:pPr>
            <w:r>
              <w:rPr>
                <w:rFonts w:ascii="Calibri" w:hAnsi="Calibri"/>
                <w:sz w:val="13"/>
              </w:rPr>
              <w:t>4.849 €</w:t>
            </w:r>
          </w:p>
        </w:tc>
        <w:tc>
          <w:tcPr>
            <w:tcW w:type="dxa" w:w="1162"/>
            <w:vAlign w:val="center"/>
            <w:tcMar>
              <w:top w:w="80" w:type="dxa"/>
              <w:start w:w="100" w:type="dxa"/>
              <w:bottom w:w="80" w:type="dxa"/>
              <w:end w:w="100" w:type="dxa"/>
            </w:tcMar>
          </w:tcPr>
          <w:p>
            <w:pPr>
              <w:spacing w:after="0"/>
              <w:jc w:val="right"/>
            </w:pPr>
            <w:r>
              <w:rPr>
                <w:rFonts w:ascii="Calibri" w:hAnsi="Calibri"/>
                <w:sz w:val="13"/>
              </w:rPr>
              <w:t>5.218 €</w:t>
            </w:r>
          </w:p>
        </w:tc>
        <w:tc>
          <w:tcPr>
            <w:tcW w:type="dxa" w:w="1162"/>
            <w:vAlign w:val="center"/>
            <w:tcMar>
              <w:top w:w="80" w:type="dxa"/>
              <w:start w:w="100" w:type="dxa"/>
              <w:bottom w:w="80" w:type="dxa"/>
              <w:end w:w="100" w:type="dxa"/>
            </w:tcMar>
          </w:tcPr>
          <w:p>
            <w:pPr>
              <w:spacing w:after="0"/>
              <w:jc w:val="right"/>
            </w:pPr>
            <w:r>
              <w:rPr>
                <w:rFonts w:ascii="Calibri" w:hAnsi="Calibri"/>
                <w:sz w:val="13"/>
              </w:rPr>
              <w:t>5.587 €</w:t>
            </w:r>
          </w:p>
        </w:tc>
        <w:tc>
          <w:tcPr>
            <w:tcW w:type="dxa" w:w="1162"/>
            <w:vAlign w:val="center"/>
            <w:tcMar>
              <w:top w:w="80" w:type="dxa"/>
              <w:start w:w="100" w:type="dxa"/>
              <w:bottom w:w="80" w:type="dxa"/>
              <w:end w:w="100" w:type="dxa"/>
            </w:tcMar>
          </w:tcPr>
          <w:p>
            <w:pPr>
              <w:spacing w:after="0"/>
              <w:jc w:val="right"/>
            </w:pPr>
            <w:r>
              <w:rPr>
                <w:rFonts w:ascii="Calibri" w:hAnsi="Calibri"/>
                <w:sz w:val="13"/>
              </w:rPr>
              <w:t>5.956 €</w:t>
            </w:r>
          </w:p>
        </w:tc>
        <w:tc>
          <w:tcPr>
            <w:tcW w:type="dxa" w:w="1162"/>
            <w:vAlign w:val="center"/>
            <w:tcMar>
              <w:top w:w="80" w:type="dxa"/>
              <w:start w:w="100" w:type="dxa"/>
              <w:bottom w:w="80" w:type="dxa"/>
              <w:end w:w="100" w:type="dxa"/>
            </w:tcMar>
          </w:tcPr>
          <w:p>
            <w:pPr>
              <w:spacing w:after="0"/>
              <w:jc w:val="right"/>
            </w:pPr>
            <w:r>
              <w:rPr>
                <w:rFonts w:ascii="Calibri" w:hAnsi="Calibri"/>
                <w:sz w:val="13"/>
              </w:rPr>
              <w:t>6.325 €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Variable Kosten</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Fix-/Einmalkosten</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c>
          <w:tcPr>
            <w:tcW w:type="dxa" w:w="1162"/>
            <w:vAlign w:val="center"/>
            <w:tcMar>
              <w:top w:w="80" w:type="dxa"/>
              <w:start w:w="100" w:type="dxa"/>
              <w:bottom w:w="80" w:type="dxa"/>
              <w:end w:w="100" w:type="dxa"/>
            </w:tcMar>
          </w:tcPr>
          <w:p>
            <w:pPr>
              <w:spacing w:after="0"/>
              <w:jc w:val="right"/>
            </w:pPr>
            <w:r>
              <w:rPr>
                <w:rFonts w:ascii="Calibri" w:hAnsi="Calibri"/>
                <w:sz w:val="13"/>
              </w:rPr>
              <w:t>935 €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Personal cash</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0 €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EBITDA</w:t>
            </w:r>
          </w:p>
        </w:tc>
        <w:tc>
          <w:tcPr>
            <w:tcW w:type="dxa" w:w="1162"/>
            <w:vAlign w:val="center"/>
            <w:tcMar>
              <w:top w:w="80" w:type="dxa"/>
              <w:start w:w="100" w:type="dxa"/>
              <w:bottom w:w="80" w:type="dxa"/>
              <w:end w:w="100" w:type="dxa"/>
            </w:tcMar>
          </w:tcPr>
          <w:p>
            <w:pPr>
              <w:spacing w:after="0"/>
              <w:jc w:val="right"/>
            </w:pPr>
            <w:r>
              <w:rPr>
                <w:rFonts w:ascii="Calibri" w:hAnsi="Calibri"/>
                <w:sz w:val="13"/>
              </w:rPr>
              <w:t>3.545 €</w:t>
            </w:r>
          </w:p>
        </w:tc>
        <w:tc>
          <w:tcPr>
            <w:tcW w:type="dxa" w:w="1162"/>
            <w:vAlign w:val="center"/>
            <w:tcMar>
              <w:top w:w="80" w:type="dxa"/>
              <w:start w:w="100" w:type="dxa"/>
              <w:bottom w:w="80" w:type="dxa"/>
              <w:end w:w="100" w:type="dxa"/>
            </w:tcMar>
          </w:tcPr>
          <w:p>
            <w:pPr>
              <w:spacing w:after="0"/>
              <w:jc w:val="right"/>
            </w:pPr>
            <w:r>
              <w:rPr>
                <w:rFonts w:ascii="Calibri" w:hAnsi="Calibri"/>
                <w:sz w:val="13"/>
              </w:rPr>
              <w:t>3.914 €</w:t>
            </w:r>
          </w:p>
        </w:tc>
        <w:tc>
          <w:tcPr>
            <w:tcW w:type="dxa" w:w="1162"/>
            <w:vAlign w:val="center"/>
            <w:tcMar>
              <w:top w:w="80" w:type="dxa"/>
              <w:start w:w="100" w:type="dxa"/>
              <w:bottom w:w="80" w:type="dxa"/>
              <w:end w:w="100" w:type="dxa"/>
            </w:tcMar>
          </w:tcPr>
          <w:p>
            <w:pPr>
              <w:spacing w:after="0"/>
              <w:jc w:val="right"/>
            </w:pPr>
            <w:r>
              <w:rPr>
                <w:rFonts w:ascii="Calibri" w:hAnsi="Calibri"/>
                <w:sz w:val="13"/>
              </w:rPr>
              <w:t>4.283 €</w:t>
            </w:r>
          </w:p>
        </w:tc>
        <w:tc>
          <w:tcPr>
            <w:tcW w:type="dxa" w:w="1162"/>
            <w:vAlign w:val="center"/>
            <w:tcMar>
              <w:top w:w="80" w:type="dxa"/>
              <w:start w:w="100" w:type="dxa"/>
              <w:bottom w:w="80" w:type="dxa"/>
              <w:end w:w="100" w:type="dxa"/>
            </w:tcMar>
          </w:tcPr>
          <w:p>
            <w:pPr>
              <w:spacing w:after="0"/>
              <w:jc w:val="right"/>
            </w:pPr>
            <w:r>
              <w:rPr>
                <w:rFonts w:ascii="Calibri" w:hAnsi="Calibri"/>
                <w:sz w:val="13"/>
              </w:rPr>
              <w:t>4.652 €</w:t>
            </w:r>
          </w:p>
        </w:tc>
        <w:tc>
          <w:tcPr>
            <w:tcW w:type="dxa" w:w="1162"/>
            <w:vAlign w:val="center"/>
            <w:tcMar>
              <w:top w:w="80" w:type="dxa"/>
              <w:start w:w="100" w:type="dxa"/>
              <w:bottom w:w="80" w:type="dxa"/>
              <w:end w:w="100" w:type="dxa"/>
            </w:tcMar>
          </w:tcPr>
          <w:p>
            <w:pPr>
              <w:spacing w:after="0"/>
              <w:jc w:val="right"/>
            </w:pPr>
            <w:r>
              <w:rPr>
                <w:rFonts w:ascii="Calibri" w:hAnsi="Calibri"/>
                <w:sz w:val="13"/>
              </w:rPr>
              <w:t>5.021 €</w:t>
            </w:r>
          </w:p>
        </w:tc>
        <w:tc>
          <w:tcPr>
            <w:tcW w:type="dxa" w:w="1162"/>
            <w:vAlign w:val="center"/>
            <w:tcMar>
              <w:top w:w="80" w:type="dxa"/>
              <w:start w:w="100" w:type="dxa"/>
              <w:bottom w:w="80" w:type="dxa"/>
              <w:end w:w="100" w:type="dxa"/>
            </w:tcMar>
          </w:tcPr>
          <w:p>
            <w:pPr>
              <w:spacing w:after="0"/>
              <w:jc w:val="right"/>
            </w:pPr>
            <w:r>
              <w:rPr>
                <w:rFonts w:ascii="Calibri" w:hAnsi="Calibri"/>
                <w:sz w:val="13"/>
              </w:rPr>
              <w:t>5.390 €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EBIT</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3.512 €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3.881 €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4.250 €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4.619 €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4.988 €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5.357 €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Steuern</w:t>
            </w:r>
          </w:p>
        </w:tc>
        <w:tc>
          <w:tcPr>
            <w:tcW w:type="dxa" w:w="1162"/>
            <w:vAlign w:val="center"/>
            <w:tcMar>
              <w:top w:w="80" w:type="dxa"/>
              <w:start w:w="100" w:type="dxa"/>
              <w:bottom w:w="80" w:type="dxa"/>
              <w:end w:w="100" w:type="dxa"/>
            </w:tcMar>
          </w:tcPr>
          <w:p>
            <w:pPr>
              <w:spacing w:after="0"/>
              <w:jc w:val="right"/>
            </w:pPr>
            <w:r>
              <w:rPr>
                <w:rFonts w:ascii="Calibri" w:hAnsi="Calibri"/>
                <w:sz w:val="13"/>
              </w:rPr>
              <w:t>1.158 €</w:t>
            </w:r>
          </w:p>
        </w:tc>
        <w:tc>
          <w:tcPr>
            <w:tcW w:type="dxa" w:w="1162"/>
            <w:vAlign w:val="center"/>
            <w:tcMar>
              <w:top w:w="80" w:type="dxa"/>
              <w:start w:w="100" w:type="dxa"/>
              <w:bottom w:w="80" w:type="dxa"/>
              <w:end w:w="100" w:type="dxa"/>
            </w:tcMar>
          </w:tcPr>
          <w:p>
            <w:pPr>
              <w:spacing w:after="0"/>
              <w:jc w:val="right"/>
            </w:pPr>
            <w:r>
              <w:rPr>
                <w:rFonts w:ascii="Calibri" w:hAnsi="Calibri"/>
                <w:sz w:val="13"/>
              </w:rPr>
              <w:t>1.280 €</w:t>
            </w:r>
          </w:p>
        </w:tc>
        <w:tc>
          <w:tcPr>
            <w:tcW w:type="dxa" w:w="1162"/>
            <w:vAlign w:val="center"/>
            <w:tcMar>
              <w:top w:w="80" w:type="dxa"/>
              <w:start w:w="100" w:type="dxa"/>
              <w:bottom w:w="80" w:type="dxa"/>
              <w:end w:w="100" w:type="dxa"/>
            </w:tcMar>
          </w:tcPr>
          <w:p>
            <w:pPr>
              <w:spacing w:after="0"/>
              <w:jc w:val="right"/>
            </w:pPr>
            <w:r>
              <w:rPr>
                <w:rFonts w:ascii="Calibri" w:hAnsi="Calibri"/>
                <w:sz w:val="13"/>
              </w:rPr>
              <w:t>1.401 €</w:t>
            </w:r>
          </w:p>
        </w:tc>
        <w:tc>
          <w:tcPr>
            <w:tcW w:type="dxa" w:w="1162"/>
            <w:vAlign w:val="center"/>
            <w:tcMar>
              <w:top w:w="80" w:type="dxa"/>
              <w:start w:w="100" w:type="dxa"/>
              <w:bottom w:w="80" w:type="dxa"/>
              <w:end w:w="100" w:type="dxa"/>
            </w:tcMar>
          </w:tcPr>
          <w:p>
            <w:pPr>
              <w:spacing w:after="0"/>
              <w:jc w:val="right"/>
            </w:pPr>
            <w:r>
              <w:rPr>
                <w:rFonts w:ascii="Calibri" w:hAnsi="Calibri"/>
                <w:sz w:val="13"/>
              </w:rPr>
              <w:t>1.523 €</w:t>
            </w:r>
          </w:p>
        </w:tc>
        <w:tc>
          <w:tcPr>
            <w:tcW w:type="dxa" w:w="1162"/>
            <w:vAlign w:val="center"/>
            <w:tcMar>
              <w:top w:w="80" w:type="dxa"/>
              <w:start w:w="100" w:type="dxa"/>
              <w:bottom w:w="80" w:type="dxa"/>
              <w:end w:w="100" w:type="dxa"/>
            </w:tcMar>
          </w:tcPr>
          <w:p>
            <w:pPr>
              <w:spacing w:after="0"/>
              <w:jc w:val="right"/>
            </w:pPr>
            <w:r>
              <w:rPr>
                <w:rFonts w:ascii="Calibri" w:hAnsi="Calibri"/>
                <w:sz w:val="13"/>
              </w:rPr>
              <w:t>1.645 €</w:t>
            </w:r>
          </w:p>
        </w:tc>
        <w:tc>
          <w:tcPr>
            <w:tcW w:type="dxa" w:w="1162"/>
            <w:vAlign w:val="center"/>
            <w:tcMar>
              <w:top w:w="80" w:type="dxa"/>
              <w:start w:w="100" w:type="dxa"/>
              <w:bottom w:w="80" w:type="dxa"/>
              <w:end w:w="100" w:type="dxa"/>
            </w:tcMar>
          </w:tcPr>
          <w:p>
            <w:pPr>
              <w:spacing w:after="0"/>
              <w:jc w:val="right"/>
            </w:pPr>
            <w:r>
              <w:rPr>
                <w:rFonts w:ascii="Calibri" w:hAnsi="Calibri"/>
                <w:sz w:val="13"/>
              </w:rPr>
              <w:t>1.766 €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Jahresergebnis</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2.354 €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2.601 €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2.848 €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3.096 €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3.343 €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3.590 €</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3"/>
              </w:rPr>
              <w:t>Netto-Cashflow</w:t>
            </w:r>
          </w:p>
        </w:tc>
        <w:tc>
          <w:tcPr>
            <w:tcW w:type="dxa" w:w="1162"/>
            <w:vAlign w:val="center"/>
            <w:tcMar>
              <w:top w:w="80" w:type="dxa"/>
              <w:start w:w="100" w:type="dxa"/>
              <w:bottom w:w="80" w:type="dxa"/>
              <w:end w:w="100" w:type="dxa"/>
            </w:tcMar>
          </w:tcPr>
          <w:p>
            <w:pPr>
              <w:spacing w:after="0"/>
              <w:jc w:val="right"/>
            </w:pPr>
            <w:r>
              <w:rPr>
                <w:rFonts w:ascii="Calibri" w:hAnsi="Calibri"/>
                <w:sz w:val="13"/>
              </w:rPr>
              <w:t>3.029 €</w:t>
            </w:r>
          </w:p>
        </w:tc>
        <w:tc>
          <w:tcPr>
            <w:tcW w:type="dxa" w:w="1162"/>
            <w:vAlign w:val="center"/>
            <w:tcMar>
              <w:top w:w="80" w:type="dxa"/>
              <w:start w:w="100" w:type="dxa"/>
              <w:bottom w:w="80" w:type="dxa"/>
              <w:end w:w="100" w:type="dxa"/>
            </w:tcMar>
          </w:tcPr>
          <w:p>
            <w:pPr>
              <w:spacing w:after="0"/>
              <w:jc w:val="right"/>
            </w:pPr>
            <w:r>
              <w:rPr>
                <w:rFonts w:ascii="Calibri" w:hAnsi="Calibri"/>
                <w:sz w:val="13"/>
              </w:rPr>
              <w:t>3.205 €</w:t>
            </w:r>
          </w:p>
        </w:tc>
        <w:tc>
          <w:tcPr>
            <w:tcW w:type="dxa" w:w="1162"/>
            <w:vAlign w:val="center"/>
            <w:tcMar>
              <w:top w:w="80" w:type="dxa"/>
              <w:start w:w="100" w:type="dxa"/>
              <w:bottom w:w="80" w:type="dxa"/>
              <w:end w:w="100" w:type="dxa"/>
            </w:tcMar>
          </w:tcPr>
          <w:p>
            <w:pPr>
              <w:spacing w:after="0"/>
              <w:jc w:val="right"/>
            </w:pPr>
            <w:r>
              <w:rPr>
                <w:rFonts w:ascii="Calibri" w:hAnsi="Calibri"/>
                <w:sz w:val="13"/>
              </w:rPr>
              <w:t>3.381 €</w:t>
            </w:r>
          </w:p>
        </w:tc>
        <w:tc>
          <w:tcPr>
            <w:tcW w:type="dxa" w:w="1162"/>
            <w:vAlign w:val="center"/>
            <w:tcMar>
              <w:top w:w="80" w:type="dxa"/>
              <w:start w:w="100" w:type="dxa"/>
              <w:bottom w:w="80" w:type="dxa"/>
              <w:end w:w="100" w:type="dxa"/>
            </w:tcMar>
          </w:tcPr>
          <w:p>
            <w:pPr>
              <w:spacing w:after="0"/>
              <w:jc w:val="right"/>
            </w:pPr>
            <w:r>
              <w:rPr>
                <w:rFonts w:ascii="Calibri" w:hAnsi="Calibri"/>
                <w:sz w:val="13"/>
              </w:rPr>
              <w:t>3.557 €</w:t>
            </w:r>
          </w:p>
        </w:tc>
        <w:tc>
          <w:tcPr>
            <w:tcW w:type="dxa" w:w="1162"/>
            <w:vAlign w:val="center"/>
            <w:tcMar>
              <w:top w:w="80" w:type="dxa"/>
              <w:start w:w="100" w:type="dxa"/>
              <w:bottom w:w="80" w:type="dxa"/>
              <w:end w:w="100" w:type="dxa"/>
            </w:tcMar>
          </w:tcPr>
          <w:p>
            <w:pPr>
              <w:spacing w:after="0"/>
              <w:jc w:val="right"/>
            </w:pPr>
            <w:r>
              <w:rPr>
                <w:rFonts w:ascii="Calibri" w:hAnsi="Calibri"/>
                <w:sz w:val="13"/>
              </w:rPr>
              <w:t>3.733 €</w:t>
            </w:r>
          </w:p>
        </w:tc>
        <w:tc>
          <w:tcPr>
            <w:tcW w:type="dxa" w:w="1162"/>
            <w:vAlign w:val="center"/>
            <w:tcMar>
              <w:top w:w="80" w:type="dxa"/>
              <w:start w:w="100" w:type="dxa"/>
              <w:bottom w:w="80" w:type="dxa"/>
              <w:end w:w="100" w:type="dxa"/>
            </w:tcMar>
          </w:tcPr>
          <w:p>
            <w:pPr>
              <w:spacing w:after="0"/>
              <w:jc w:val="right"/>
            </w:pPr>
            <w:r>
              <w:rPr>
                <w:rFonts w:ascii="Calibri" w:hAnsi="Calibri"/>
                <w:sz w:val="13"/>
              </w:rPr>
              <w:t>3.908 €</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3"/>
              </w:rPr>
              <w:t>Endliquidität</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18.352 €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21.557 €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24.938 €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28.495 €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32.227 €</w:t>
            </w:r>
          </w:p>
        </w:tc>
        <w:tc>
          <w:tcPr>
            <w:tcW w:type="dxa" w:w="1162"/>
            <w:vAlign w:val="center"/>
            <w:tcMar>
              <w:top w:w="80" w:type="dxa"/>
              <w:start w:w="100" w:type="dxa"/>
              <w:bottom w:w="80" w:type="dxa"/>
              <w:end w:w="100" w:type="dxa"/>
            </w:tcMar>
            <w:shd w:fill="F3F7F9"/>
          </w:tcPr>
          <w:p>
            <w:pPr>
              <w:spacing w:after="0"/>
              <w:jc w:val="right"/>
            </w:pPr>
            <w:r>
              <w:rPr>
                <w:rFonts w:ascii="Calibri" w:hAnsi="Calibri"/>
                <w:sz w:val="13"/>
              </w:rPr>
              <w:t>36.136 €</w:t>
            </w:r>
          </w:p>
        </w:tc>
      </w:tr>
    </w:tbl>
    <w:p>
      <w:pPr>
        <w:spacing w:after="20"/>
      </w:pPr>
    </w:p>
    <w:p>
      <w:r>
        <w:br w:type="page"/>
      </w:r>
    </w:p>
    <w:p>
      <w:pPr>
        <w:pStyle w:val="Heading2"/>
      </w:pPr>
      <w:r>
        <w:t>Break-even und Unit Economics</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3288"/>
            <w:shd w:fill="1F5A7A"/>
            <w:vAlign w:val="center"/>
            <w:tcMar>
              <w:top w:w="80" w:type="dxa"/>
              <w:start w:w="100" w:type="dxa"/>
              <w:bottom w:w="80" w:type="dxa"/>
              <w:end w:w="100" w:type="dxa"/>
            </w:tcMar>
          </w:tcPr>
          <w:p>
            <w:pPr>
              <w:spacing w:after="0"/>
              <w:jc w:val="center"/>
            </w:pPr>
            <w:r>
              <w:rPr>
                <w:rFonts w:ascii="Calibri" w:hAnsi="Calibri"/>
                <w:b/>
                <w:color w:val="FFFFFF"/>
                <w:sz w:val="16"/>
              </w:rPr>
              <w:t>Kennzahl</w:t>
            </w:r>
          </w:p>
        </w:tc>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6"/>
              </w:rPr>
              <w:t>Pessimistisch</w:t>
            </w:r>
          </w:p>
        </w:tc>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6"/>
              </w:rPr>
              <w:t>Realistisch</w:t>
            </w:r>
          </w:p>
        </w:tc>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6"/>
              </w:rPr>
              <w:t>Optimistisch</w:t>
            </w:r>
          </w:p>
        </w:tc>
      </w:tr>
      <w:tr>
        <w:trPr>
          <w:cantSplit/>
        </w:trPr>
        <w:tc>
          <w:tcPr>
            <w:tcW w:type="dxa" w:w="3288"/>
            <w:vAlign w:val="center"/>
            <w:tcMar>
              <w:top w:w="80" w:type="dxa"/>
              <w:start w:w="100" w:type="dxa"/>
              <w:bottom w:w="80" w:type="dxa"/>
              <w:end w:w="100" w:type="dxa"/>
            </w:tcMar>
          </w:tcPr>
          <w:p>
            <w:pPr>
              <w:spacing w:after="0"/>
              <w:jc w:val="left"/>
            </w:pPr>
            <w:r>
              <w:rPr>
                <w:rFonts w:ascii="Calibri" w:hAnsi="Calibri"/>
                <w:b/>
                <w:sz w:val="16"/>
              </w:rPr>
              <w:t>Blended MRR</w:t>
            </w:r>
          </w:p>
        </w:tc>
        <w:tc>
          <w:tcPr>
            <w:tcW w:type="dxa" w:w="2268"/>
            <w:vAlign w:val="center"/>
            <w:tcMar>
              <w:top w:w="80" w:type="dxa"/>
              <w:start w:w="100" w:type="dxa"/>
              <w:bottom w:w="80" w:type="dxa"/>
              <w:end w:w="100" w:type="dxa"/>
            </w:tcMar>
          </w:tcPr>
          <w:p>
            <w:pPr>
              <w:spacing w:after="0"/>
              <w:jc w:val="right"/>
            </w:pPr>
            <w:r>
              <w:rPr>
                <w:rFonts w:ascii="Calibri" w:hAnsi="Calibri"/>
                <w:sz w:val="16"/>
              </w:rPr>
              <w:t>76,0 €</w:t>
            </w:r>
          </w:p>
        </w:tc>
        <w:tc>
          <w:tcPr>
            <w:tcW w:type="dxa" w:w="2268"/>
            <w:vAlign w:val="center"/>
            <w:tcMar>
              <w:top w:w="80" w:type="dxa"/>
              <w:start w:w="100" w:type="dxa"/>
              <w:bottom w:w="80" w:type="dxa"/>
              <w:end w:w="100" w:type="dxa"/>
            </w:tcMar>
          </w:tcPr>
          <w:p>
            <w:pPr>
              <w:spacing w:after="0"/>
              <w:jc w:val="right"/>
            </w:pPr>
            <w:r>
              <w:rPr>
                <w:rFonts w:ascii="Calibri" w:hAnsi="Calibri"/>
                <w:sz w:val="16"/>
              </w:rPr>
              <w:t>101,5 €</w:t>
            </w:r>
          </w:p>
        </w:tc>
        <w:tc>
          <w:tcPr>
            <w:tcW w:type="dxa" w:w="2268"/>
            <w:vAlign w:val="center"/>
            <w:tcMar>
              <w:top w:w="80" w:type="dxa"/>
              <w:start w:w="100" w:type="dxa"/>
              <w:bottom w:w="80" w:type="dxa"/>
              <w:end w:w="100" w:type="dxa"/>
            </w:tcMar>
          </w:tcPr>
          <w:p>
            <w:pPr>
              <w:spacing w:after="0"/>
              <w:jc w:val="right"/>
            </w:pPr>
            <w:r>
              <w:rPr>
                <w:rFonts w:ascii="Calibri" w:hAnsi="Calibri"/>
                <w:sz w:val="16"/>
              </w:rPr>
              <w:t>129,0 €</w:t>
            </w:r>
          </w:p>
        </w:tc>
      </w:tr>
      <w:tr>
        <w:trPr>
          <w:cantSplit/>
        </w:trPr>
        <w:tc>
          <w:tcPr>
            <w:tcW w:type="dxa" w:w="3288"/>
            <w:vAlign w:val="center"/>
            <w:tcMar>
              <w:top w:w="80" w:type="dxa"/>
              <w:start w:w="100" w:type="dxa"/>
              <w:bottom w:w="80" w:type="dxa"/>
              <w:end w:w="100" w:type="dxa"/>
            </w:tcMar>
            <w:shd w:fill="F3F7F9"/>
          </w:tcPr>
          <w:p>
            <w:pPr>
              <w:spacing w:after="0"/>
              <w:jc w:val="left"/>
            </w:pPr>
            <w:r>
              <w:rPr>
                <w:rFonts w:ascii="Calibri" w:hAnsi="Calibri"/>
                <w:b/>
                <w:sz w:val="16"/>
              </w:rPr>
              <w:t>Deckungsbeitragsmarge</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100,0%</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100,0%</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100,0%</w:t>
            </w:r>
          </w:p>
        </w:tc>
      </w:tr>
      <w:tr>
        <w:trPr>
          <w:cantSplit/>
        </w:trPr>
        <w:tc>
          <w:tcPr>
            <w:tcW w:type="dxa" w:w="3288"/>
            <w:vAlign w:val="center"/>
            <w:tcMar>
              <w:top w:w="80" w:type="dxa"/>
              <w:start w:w="100" w:type="dxa"/>
              <w:bottom w:w="80" w:type="dxa"/>
              <w:end w:w="100" w:type="dxa"/>
            </w:tcMar>
          </w:tcPr>
          <w:p>
            <w:pPr>
              <w:spacing w:after="0"/>
              <w:jc w:val="left"/>
            </w:pPr>
            <w:r>
              <w:rPr>
                <w:rFonts w:ascii="Calibri" w:hAnsi="Calibri"/>
                <w:b/>
                <w:sz w:val="16"/>
              </w:rPr>
              <w:t>LTV</w:t>
            </w:r>
          </w:p>
        </w:tc>
        <w:tc>
          <w:tcPr>
            <w:tcW w:type="dxa" w:w="2268"/>
            <w:vAlign w:val="center"/>
            <w:tcMar>
              <w:top w:w="80" w:type="dxa"/>
              <w:start w:w="100" w:type="dxa"/>
              <w:bottom w:w="80" w:type="dxa"/>
              <w:end w:w="100" w:type="dxa"/>
            </w:tcMar>
          </w:tcPr>
          <w:p>
            <w:pPr>
              <w:spacing w:after="0"/>
              <w:jc w:val="right"/>
            </w:pPr>
            <w:r>
              <w:rPr>
                <w:rFonts w:ascii="Calibri" w:hAnsi="Calibri"/>
                <w:sz w:val="16"/>
              </w:rPr>
              <w:t>2.533,3 €</w:t>
            </w:r>
          </w:p>
        </w:tc>
        <w:tc>
          <w:tcPr>
            <w:tcW w:type="dxa" w:w="2268"/>
            <w:vAlign w:val="center"/>
            <w:tcMar>
              <w:top w:w="80" w:type="dxa"/>
              <w:start w:w="100" w:type="dxa"/>
              <w:bottom w:w="80" w:type="dxa"/>
              <w:end w:w="100" w:type="dxa"/>
            </w:tcMar>
          </w:tcPr>
          <w:p>
            <w:pPr>
              <w:spacing w:after="0"/>
              <w:jc w:val="right"/>
            </w:pPr>
            <w:r>
              <w:rPr>
                <w:rFonts w:ascii="Calibri" w:hAnsi="Calibri"/>
                <w:sz w:val="16"/>
              </w:rPr>
              <w:t>5.075,0 €</w:t>
            </w:r>
          </w:p>
        </w:tc>
        <w:tc>
          <w:tcPr>
            <w:tcW w:type="dxa" w:w="2268"/>
            <w:vAlign w:val="center"/>
            <w:tcMar>
              <w:top w:w="80" w:type="dxa"/>
              <w:start w:w="100" w:type="dxa"/>
              <w:bottom w:w="80" w:type="dxa"/>
              <w:end w:w="100" w:type="dxa"/>
            </w:tcMar>
          </w:tcPr>
          <w:p>
            <w:pPr>
              <w:spacing w:after="0"/>
              <w:jc w:val="right"/>
            </w:pPr>
            <w:r>
              <w:rPr>
                <w:rFonts w:ascii="Calibri" w:hAnsi="Calibri"/>
                <w:sz w:val="16"/>
              </w:rPr>
              <w:t>12.900,0 €</w:t>
            </w:r>
          </w:p>
        </w:tc>
      </w:tr>
      <w:tr>
        <w:trPr>
          <w:cantSplit/>
        </w:trPr>
        <w:tc>
          <w:tcPr>
            <w:tcW w:type="dxa" w:w="3288"/>
            <w:vAlign w:val="center"/>
            <w:tcMar>
              <w:top w:w="80" w:type="dxa"/>
              <w:start w:w="100" w:type="dxa"/>
              <w:bottom w:w="80" w:type="dxa"/>
              <w:end w:w="100" w:type="dxa"/>
            </w:tcMar>
            <w:shd w:fill="F3F7F9"/>
          </w:tcPr>
          <w:p>
            <w:pPr>
              <w:spacing w:after="0"/>
              <w:jc w:val="left"/>
            </w:pPr>
            <w:r>
              <w:rPr>
                <w:rFonts w:ascii="Calibri" w:hAnsi="Calibri"/>
                <w:b/>
                <w:sz w:val="16"/>
              </w:rPr>
              <w:t>Cash-CAC</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600,0 €</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250,0 €</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100,0 €</w:t>
            </w:r>
          </w:p>
        </w:tc>
      </w:tr>
      <w:tr>
        <w:trPr>
          <w:cantSplit/>
        </w:trPr>
        <w:tc>
          <w:tcPr>
            <w:tcW w:type="dxa" w:w="3288"/>
            <w:vAlign w:val="center"/>
            <w:tcMar>
              <w:top w:w="80" w:type="dxa"/>
              <w:start w:w="100" w:type="dxa"/>
              <w:bottom w:w="80" w:type="dxa"/>
              <w:end w:w="100" w:type="dxa"/>
            </w:tcMar>
          </w:tcPr>
          <w:p>
            <w:pPr>
              <w:spacing w:after="0"/>
              <w:jc w:val="left"/>
            </w:pPr>
            <w:r>
              <w:rPr>
                <w:rFonts w:ascii="Calibri" w:hAnsi="Calibri"/>
                <w:b/>
                <w:sz w:val="16"/>
              </w:rPr>
              <w:t>Vollkosten-CAC</w:t>
            </w:r>
          </w:p>
        </w:tc>
        <w:tc>
          <w:tcPr>
            <w:tcW w:type="dxa" w:w="2268"/>
            <w:vAlign w:val="center"/>
            <w:tcMar>
              <w:top w:w="80" w:type="dxa"/>
              <w:start w:w="100" w:type="dxa"/>
              <w:bottom w:w="80" w:type="dxa"/>
              <w:end w:w="100" w:type="dxa"/>
            </w:tcMar>
          </w:tcPr>
          <w:p>
            <w:pPr>
              <w:spacing w:after="0"/>
              <w:jc w:val="right"/>
            </w:pPr>
            <w:r>
              <w:rPr>
                <w:rFonts w:ascii="Calibri" w:hAnsi="Calibri"/>
                <w:sz w:val="16"/>
              </w:rPr>
              <w:t>1.500,0 €</w:t>
            </w:r>
          </w:p>
        </w:tc>
        <w:tc>
          <w:tcPr>
            <w:tcW w:type="dxa" w:w="2268"/>
            <w:vAlign w:val="center"/>
            <w:tcMar>
              <w:top w:w="80" w:type="dxa"/>
              <w:start w:w="100" w:type="dxa"/>
              <w:bottom w:w="80" w:type="dxa"/>
              <w:end w:w="100" w:type="dxa"/>
            </w:tcMar>
          </w:tcPr>
          <w:p>
            <w:pPr>
              <w:spacing w:after="0"/>
              <w:jc w:val="right"/>
            </w:pPr>
            <w:r>
              <w:rPr>
                <w:rFonts w:ascii="Calibri" w:hAnsi="Calibri"/>
                <w:sz w:val="16"/>
              </w:rPr>
              <w:t>750,0 €</w:t>
            </w:r>
          </w:p>
        </w:tc>
        <w:tc>
          <w:tcPr>
            <w:tcW w:type="dxa" w:w="2268"/>
            <w:vAlign w:val="center"/>
            <w:tcMar>
              <w:top w:w="80" w:type="dxa"/>
              <w:start w:w="100" w:type="dxa"/>
              <w:bottom w:w="80" w:type="dxa"/>
              <w:end w:w="100" w:type="dxa"/>
            </w:tcMar>
          </w:tcPr>
          <w:p>
            <w:pPr>
              <w:spacing w:after="0"/>
              <w:jc w:val="right"/>
            </w:pPr>
            <w:r>
              <w:rPr>
                <w:rFonts w:ascii="Calibri" w:hAnsi="Calibri"/>
                <w:sz w:val="16"/>
              </w:rPr>
              <w:t>350,0 €</w:t>
            </w:r>
          </w:p>
        </w:tc>
      </w:tr>
      <w:tr>
        <w:trPr>
          <w:cantSplit/>
        </w:trPr>
        <w:tc>
          <w:tcPr>
            <w:tcW w:type="dxa" w:w="3288"/>
            <w:vAlign w:val="center"/>
            <w:tcMar>
              <w:top w:w="80" w:type="dxa"/>
              <w:start w:w="100" w:type="dxa"/>
              <w:bottom w:w="80" w:type="dxa"/>
              <w:end w:w="100" w:type="dxa"/>
            </w:tcMar>
            <w:shd w:fill="F3F7F9"/>
          </w:tcPr>
          <w:p>
            <w:pPr>
              <w:spacing w:after="0"/>
              <w:jc w:val="left"/>
            </w:pPr>
            <w:r>
              <w:rPr>
                <w:rFonts w:ascii="Calibri" w:hAnsi="Calibri"/>
                <w:b/>
                <w:sz w:val="16"/>
              </w:rPr>
              <w:t>LTV/Vollkosten-CAC</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1,7×</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6,8×</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36,9×</w:t>
            </w:r>
          </w:p>
        </w:tc>
      </w:tr>
      <w:tr>
        <w:trPr>
          <w:cantSplit/>
        </w:trPr>
        <w:tc>
          <w:tcPr>
            <w:tcW w:type="dxa" w:w="3288"/>
            <w:vAlign w:val="center"/>
            <w:tcMar>
              <w:top w:w="80" w:type="dxa"/>
              <w:start w:w="100" w:type="dxa"/>
              <w:bottom w:w="80" w:type="dxa"/>
              <w:end w:w="100" w:type="dxa"/>
            </w:tcMar>
          </w:tcPr>
          <w:p>
            <w:pPr>
              <w:spacing w:after="0"/>
              <w:jc w:val="left"/>
            </w:pPr>
            <w:r>
              <w:rPr>
                <w:rFonts w:ascii="Calibri" w:hAnsi="Calibri"/>
                <w:b/>
                <w:sz w:val="16"/>
              </w:rPr>
              <w:t>Vollkosten-Payback</w:t>
            </w:r>
          </w:p>
        </w:tc>
        <w:tc>
          <w:tcPr>
            <w:tcW w:type="dxa" w:w="2268"/>
            <w:vAlign w:val="center"/>
            <w:tcMar>
              <w:top w:w="80" w:type="dxa"/>
              <w:start w:w="100" w:type="dxa"/>
              <w:bottom w:w="80" w:type="dxa"/>
              <w:end w:w="100" w:type="dxa"/>
            </w:tcMar>
          </w:tcPr>
          <w:p>
            <w:pPr>
              <w:spacing w:after="0"/>
              <w:jc w:val="right"/>
            </w:pPr>
            <w:r>
              <w:rPr>
                <w:rFonts w:ascii="Calibri" w:hAnsi="Calibri"/>
                <w:sz w:val="16"/>
              </w:rPr>
              <w:t>19,7 Monate</w:t>
            </w:r>
          </w:p>
        </w:tc>
        <w:tc>
          <w:tcPr>
            <w:tcW w:type="dxa" w:w="2268"/>
            <w:vAlign w:val="center"/>
            <w:tcMar>
              <w:top w:w="80" w:type="dxa"/>
              <w:start w:w="100" w:type="dxa"/>
              <w:bottom w:w="80" w:type="dxa"/>
              <w:end w:w="100" w:type="dxa"/>
            </w:tcMar>
          </w:tcPr>
          <w:p>
            <w:pPr>
              <w:spacing w:after="0"/>
              <w:jc w:val="right"/>
            </w:pPr>
            <w:r>
              <w:rPr>
                <w:rFonts w:ascii="Calibri" w:hAnsi="Calibri"/>
                <w:sz w:val="16"/>
              </w:rPr>
              <w:t>7,4 Monate</w:t>
            </w:r>
          </w:p>
        </w:tc>
        <w:tc>
          <w:tcPr>
            <w:tcW w:type="dxa" w:w="2268"/>
            <w:vAlign w:val="center"/>
            <w:tcMar>
              <w:top w:w="80" w:type="dxa"/>
              <w:start w:w="100" w:type="dxa"/>
              <w:bottom w:w="80" w:type="dxa"/>
              <w:end w:w="100" w:type="dxa"/>
            </w:tcMar>
          </w:tcPr>
          <w:p>
            <w:pPr>
              <w:spacing w:after="0"/>
              <w:jc w:val="right"/>
            </w:pPr>
            <w:r>
              <w:rPr>
                <w:rFonts w:ascii="Calibri" w:hAnsi="Calibri"/>
                <w:sz w:val="16"/>
              </w:rPr>
              <w:t>2,7 Monate</w:t>
            </w:r>
          </w:p>
        </w:tc>
      </w:tr>
      <w:tr>
        <w:trPr>
          <w:cantSplit/>
        </w:trPr>
        <w:tc>
          <w:tcPr>
            <w:tcW w:type="dxa" w:w="3288"/>
            <w:vAlign w:val="center"/>
            <w:tcMar>
              <w:top w:w="80" w:type="dxa"/>
              <w:start w:w="100" w:type="dxa"/>
              <w:bottom w:w="80" w:type="dxa"/>
              <w:end w:w="100" w:type="dxa"/>
            </w:tcMar>
            <w:shd w:fill="F3F7F9"/>
          </w:tcPr>
          <w:p>
            <w:pPr>
              <w:spacing w:after="0"/>
              <w:jc w:val="left"/>
            </w:pPr>
            <w:r>
              <w:rPr>
                <w:rFonts w:ascii="Calibri" w:hAnsi="Calibri"/>
                <w:b/>
                <w:sz w:val="16"/>
              </w:rPr>
              <w:t>Cash Break-even Kunden ohne Ads</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10,3</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9,2</w:t>
            </w:r>
          </w:p>
        </w:tc>
        <w:tc>
          <w:tcPr>
            <w:tcW w:type="dxa" w:w="2268"/>
            <w:vAlign w:val="center"/>
            <w:tcMar>
              <w:top w:w="80" w:type="dxa"/>
              <w:start w:w="100" w:type="dxa"/>
              <w:bottom w:w="80" w:type="dxa"/>
              <w:end w:w="100" w:type="dxa"/>
            </w:tcMar>
            <w:shd w:fill="F3F7F9"/>
          </w:tcPr>
          <w:p>
            <w:pPr>
              <w:spacing w:after="0"/>
              <w:jc w:val="right"/>
            </w:pPr>
            <w:r>
              <w:rPr>
                <w:rFonts w:ascii="Calibri" w:hAnsi="Calibri"/>
                <w:sz w:val="16"/>
              </w:rPr>
              <w:t>9,6</w:t>
            </w:r>
          </w:p>
        </w:tc>
      </w:tr>
    </w:tbl>
    <w:p>
      <w:pPr>
        <w:spacing w:after="20"/>
      </w:pPr>
    </w:p>
    <w:p>
      <w:r>
        <w:t>Im realistischen Modell beträgt der Blended MRR 101,50 €, die modellierte Deckungsbeitragsmarge 100,0%, der vereinfachte LTV 5.075,00 € und das LTV/Vollkosten-CAC-Verhältnis 6,77×. Die Marge von 100% bedeutet nicht, dass der Betrieb kostenlos ist: Die vorhandenen AWS-, API-, LLM- und Supportressourcen stehen in den Fix- und Personalkosten. Diese Unit Economics sind Planannahmen und gelten nur bis zum nächsten Kapazitäts- oder Lizenzsprung. Besonders der LTV reagiert stark auf Churn und ist erst nach mindestens 12–18 Monaten Kohortendaten belastbar.</w:t>
      </w:r>
    </w:p>
    <w:p>
      <w:pPr>
        <w:jc w:val="center"/>
      </w:pPr>
      <w:r>
        <w:drawing>
          <wp:inline xmlns:a="http://schemas.openxmlformats.org/drawingml/2006/main" xmlns:pic="http://schemas.openxmlformats.org/drawingml/2006/picture">
            <wp:extent cx="6048000" cy="2499840"/>
            <wp:docPr id="3" name="Picture 3"/>
            <wp:cNvGraphicFramePr>
              <a:graphicFrameLocks noChangeAspect="1"/>
            </wp:cNvGraphicFramePr>
            <a:graphic>
              <a:graphicData uri="http://schemas.openxmlformats.org/drawingml/2006/picture">
                <pic:pic>
                  <pic:nvPicPr>
                    <pic:cNvPr id="0" name="chart_real.png"/>
                    <pic:cNvPicPr/>
                  </pic:nvPicPr>
                  <pic:blipFill>
                    <a:blip r:embed="rId13"/>
                    <a:stretch>
                      <a:fillRect/>
                    </a:stretch>
                  </pic:blipFill>
                  <pic:spPr>
                    <a:xfrm>
                      <a:off x="0" y="0"/>
                      <a:ext cx="6048000" cy="2499840"/>
                    </a:xfrm>
                    <a:prstGeom prst="rect"/>
                  </pic:spPr>
                </pic:pic>
              </a:graphicData>
            </a:graphic>
          </wp:inline>
        </w:drawing>
      </w:r>
    </w:p>
    <w:p>
      <w:r>
        <w:br w:type="page"/>
      </w:r>
    </w:p>
    <w:p>
      <w:pPr>
        <w:pStyle w:val="Heading2"/>
      </w:pPr>
      <w:r>
        <w:t>Sensitivitätsanalyse</w:t>
      </w:r>
    </w:p>
    <w:p>
      <w:r>
        <w:t>Bei unveränderten Werbeerlösen, Fix- und Personalkosten liegt das Y5-EBITDA im realistischen Szenario bei 50% des geplanten Kundenvolumens und 80% ARPA bei rund −40 T€. Bei 50% Kundenvolumen und 110% ARPA wird der Break-even knapp überschritten; bei 75% Kundenvolumen und 80% ARPA liegt das EBITDA bereits bei rund 19 T€. Kundenzahl und ARPA bleiben damit die dominanten Hebel. Ein Werbe-RPM von 2,50 € statt 5 € reduziert den Y5-Werbeumsatz bei 1,5 Mio. monatlichen Pageviews um 36 T€ pro Jahr.</w:t>
      </w:r>
    </w:p>
    <w:tbl>
      <w:tblPr>
        <w:tblStyle w:val="TableGrid"/>
        <w:tblW w:type="auto" w:w="0"/>
        <w:jc w:val="center"/>
        <w:tblLayout w:type="fixed"/>
        <w:tblLook w:firstColumn="1" w:firstRow="1" w:lastColumn="0" w:lastRow="0" w:noHBand="0" w:noVBand="1" w:val="04A0"/>
      </w:tblPr>
      <w:tblGrid>
        <w:gridCol w:w="1642"/>
        <w:gridCol w:w="1642"/>
        <w:gridCol w:w="1642"/>
        <w:gridCol w:w="1642"/>
        <w:gridCol w:w="1642"/>
        <w:gridCol w:w="1642"/>
      </w:tblGrid>
      <w:tr>
        <w:trPr>
          <w:tblHeader w:val="true"/>
        </w:trPr>
        <w:tc>
          <w:tcPr>
            <w:tcW w:type="dxa" w:w="2381"/>
            <w:shd w:fill="1F5A7A"/>
            <w:vAlign w:val="center"/>
            <w:tcMar>
              <w:top w:w="80" w:type="dxa"/>
              <w:start w:w="100" w:type="dxa"/>
              <w:bottom w:w="80" w:type="dxa"/>
              <w:end w:w="100" w:type="dxa"/>
            </w:tcMar>
          </w:tcPr>
          <w:p>
            <w:pPr>
              <w:spacing w:after="0"/>
              <w:jc w:val="center"/>
            </w:pPr>
            <w:r>
              <w:rPr>
                <w:rFonts w:ascii="Calibri" w:hAnsi="Calibri"/>
                <w:b/>
                <w:color w:val="FFFFFF"/>
                <w:sz w:val="15"/>
              </w:rPr>
              <w:t>Kundenvolumen / ARPA</w:t>
            </w:r>
          </w:p>
        </w:tc>
        <w:tc>
          <w:tcPr>
            <w:tcW w:type="dxa" w:w="1502"/>
            <w:shd w:fill="1F5A7A"/>
            <w:vAlign w:val="center"/>
            <w:tcMar>
              <w:top w:w="80" w:type="dxa"/>
              <w:start w:w="100" w:type="dxa"/>
              <w:bottom w:w="80" w:type="dxa"/>
              <w:end w:w="100" w:type="dxa"/>
            </w:tcMar>
          </w:tcPr>
          <w:p>
            <w:pPr>
              <w:spacing w:after="0"/>
              <w:jc w:val="center"/>
            </w:pPr>
            <w:r>
              <w:rPr>
                <w:rFonts w:ascii="Calibri" w:hAnsi="Calibri"/>
                <w:b/>
                <w:color w:val="FFFFFF"/>
                <w:sz w:val="15"/>
              </w:rPr>
              <w:t>80%</w:t>
            </w:r>
          </w:p>
        </w:tc>
        <w:tc>
          <w:tcPr>
            <w:tcW w:type="dxa" w:w="1502"/>
            <w:shd w:fill="1F5A7A"/>
            <w:vAlign w:val="center"/>
            <w:tcMar>
              <w:top w:w="80" w:type="dxa"/>
              <w:start w:w="100" w:type="dxa"/>
              <w:bottom w:w="80" w:type="dxa"/>
              <w:end w:w="100" w:type="dxa"/>
            </w:tcMar>
          </w:tcPr>
          <w:p>
            <w:pPr>
              <w:spacing w:after="0"/>
              <w:jc w:val="center"/>
            </w:pPr>
            <w:r>
              <w:rPr>
                <w:rFonts w:ascii="Calibri" w:hAnsi="Calibri"/>
                <w:b/>
                <w:color w:val="FFFFFF"/>
                <w:sz w:val="15"/>
              </w:rPr>
              <w:t>90%</w:t>
            </w:r>
          </w:p>
        </w:tc>
        <w:tc>
          <w:tcPr>
            <w:tcW w:type="dxa" w:w="1502"/>
            <w:shd w:fill="1F5A7A"/>
            <w:vAlign w:val="center"/>
            <w:tcMar>
              <w:top w:w="80" w:type="dxa"/>
              <w:start w:w="100" w:type="dxa"/>
              <w:bottom w:w="80" w:type="dxa"/>
              <w:end w:w="100" w:type="dxa"/>
            </w:tcMar>
          </w:tcPr>
          <w:p>
            <w:pPr>
              <w:spacing w:after="0"/>
              <w:jc w:val="center"/>
            </w:pPr>
            <w:r>
              <w:rPr>
                <w:rFonts w:ascii="Calibri" w:hAnsi="Calibri"/>
                <w:b/>
                <w:color w:val="FFFFFF"/>
                <w:sz w:val="15"/>
              </w:rPr>
              <w:t>100%</w:t>
            </w:r>
          </w:p>
        </w:tc>
        <w:tc>
          <w:tcPr>
            <w:tcW w:type="dxa" w:w="1502"/>
            <w:shd w:fill="1F5A7A"/>
            <w:vAlign w:val="center"/>
            <w:tcMar>
              <w:top w:w="80" w:type="dxa"/>
              <w:start w:w="100" w:type="dxa"/>
              <w:bottom w:w="80" w:type="dxa"/>
              <w:end w:w="100" w:type="dxa"/>
            </w:tcMar>
          </w:tcPr>
          <w:p>
            <w:pPr>
              <w:spacing w:after="0"/>
              <w:jc w:val="center"/>
            </w:pPr>
            <w:r>
              <w:rPr>
                <w:rFonts w:ascii="Calibri" w:hAnsi="Calibri"/>
                <w:b/>
                <w:color w:val="FFFFFF"/>
                <w:sz w:val="15"/>
              </w:rPr>
              <w:t>110%</w:t>
            </w:r>
          </w:p>
        </w:tc>
        <w:tc>
          <w:tcPr>
            <w:tcW w:type="dxa" w:w="1502"/>
            <w:shd w:fill="1F5A7A"/>
            <w:vAlign w:val="center"/>
            <w:tcMar>
              <w:top w:w="80" w:type="dxa"/>
              <w:start w:w="100" w:type="dxa"/>
              <w:bottom w:w="80" w:type="dxa"/>
              <w:end w:w="100" w:type="dxa"/>
            </w:tcMar>
          </w:tcPr>
          <w:p>
            <w:pPr>
              <w:spacing w:after="0"/>
              <w:jc w:val="center"/>
            </w:pPr>
            <w:r>
              <w:rPr>
                <w:rFonts w:ascii="Calibri" w:hAnsi="Calibri"/>
                <w:b/>
                <w:color w:val="FFFFFF"/>
                <w:sz w:val="15"/>
              </w:rPr>
              <w:t>120%</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5"/>
              </w:rPr>
              <w:t>50%</w:t>
            </w:r>
          </w:p>
        </w:tc>
        <w:tc>
          <w:tcPr>
            <w:tcW w:type="dxa" w:w="1502"/>
            <w:vAlign w:val="center"/>
            <w:tcMar>
              <w:top w:w="80" w:type="dxa"/>
              <w:start w:w="100" w:type="dxa"/>
              <w:bottom w:w="80" w:type="dxa"/>
              <w:end w:w="100" w:type="dxa"/>
            </w:tcMar>
          </w:tcPr>
          <w:p>
            <w:pPr>
              <w:spacing w:after="0"/>
              <w:jc w:val="right"/>
            </w:pPr>
            <w:r>
              <w:rPr>
                <w:rFonts w:ascii="Calibri" w:hAnsi="Calibri"/>
                <w:sz w:val="15"/>
              </w:rPr>
              <w:t>−40 T€</w:t>
            </w:r>
          </w:p>
        </w:tc>
        <w:tc>
          <w:tcPr>
            <w:tcW w:type="dxa" w:w="1502"/>
            <w:vAlign w:val="center"/>
            <w:tcMar>
              <w:top w:w="80" w:type="dxa"/>
              <w:start w:w="100" w:type="dxa"/>
              <w:bottom w:w="80" w:type="dxa"/>
              <w:end w:w="100" w:type="dxa"/>
            </w:tcMar>
          </w:tcPr>
          <w:p>
            <w:pPr>
              <w:spacing w:after="0"/>
              <w:jc w:val="right"/>
            </w:pPr>
            <w:r>
              <w:rPr>
                <w:rFonts w:ascii="Calibri" w:hAnsi="Calibri"/>
                <w:sz w:val="15"/>
              </w:rPr>
              <w:t>−25 T€</w:t>
            </w:r>
          </w:p>
        </w:tc>
        <w:tc>
          <w:tcPr>
            <w:tcW w:type="dxa" w:w="1502"/>
            <w:vAlign w:val="center"/>
            <w:tcMar>
              <w:top w:w="80" w:type="dxa"/>
              <w:start w:w="100" w:type="dxa"/>
              <w:bottom w:w="80" w:type="dxa"/>
              <w:end w:w="100" w:type="dxa"/>
            </w:tcMar>
          </w:tcPr>
          <w:p>
            <w:pPr>
              <w:spacing w:after="0"/>
              <w:jc w:val="right"/>
            </w:pPr>
            <w:r>
              <w:rPr>
                <w:rFonts w:ascii="Calibri" w:hAnsi="Calibri"/>
                <w:sz w:val="15"/>
              </w:rPr>
              <w:t>−11 T€</w:t>
            </w:r>
          </w:p>
        </w:tc>
        <w:tc>
          <w:tcPr>
            <w:tcW w:type="dxa" w:w="1502"/>
            <w:vAlign w:val="center"/>
            <w:tcMar>
              <w:top w:w="80" w:type="dxa"/>
              <w:start w:w="100" w:type="dxa"/>
              <w:bottom w:w="80" w:type="dxa"/>
              <w:end w:w="100" w:type="dxa"/>
            </w:tcMar>
          </w:tcPr>
          <w:p>
            <w:pPr>
              <w:spacing w:after="0"/>
              <w:jc w:val="right"/>
            </w:pPr>
            <w:r>
              <w:rPr>
                <w:rFonts w:ascii="Calibri" w:hAnsi="Calibri"/>
                <w:sz w:val="15"/>
              </w:rPr>
              <w:t>4 T€</w:t>
            </w:r>
          </w:p>
        </w:tc>
        <w:tc>
          <w:tcPr>
            <w:tcW w:type="dxa" w:w="1502"/>
            <w:vAlign w:val="center"/>
            <w:tcMar>
              <w:top w:w="80" w:type="dxa"/>
              <w:start w:w="100" w:type="dxa"/>
              <w:bottom w:w="80" w:type="dxa"/>
              <w:end w:w="100" w:type="dxa"/>
            </w:tcMar>
          </w:tcPr>
          <w:p>
            <w:pPr>
              <w:spacing w:after="0"/>
              <w:jc w:val="right"/>
            </w:pPr>
            <w:r>
              <w:rPr>
                <w:rFonts w:ascii="Calibri" w:hAnsi="Calibri"/>
                <w:sz w:val="15"/>
              </w:rPr>
              <w:t>19 T€</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5"/>
              </w:rPr>
              <w:t>75%</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19 T€</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41 T€</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63 T€</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85 T€</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107 T€</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5"/>
              </w:rPr>
              <w:t>100%</w:t>
            </w:r>
          </w:p>
        </w:tc>
        <w:tc>
          <w:tcPr>
            <w:tcW w:type="dxa" w:w="1502"/>
            <w:vAlign w:val="center"/>
            <w:tcMar>
              <w:top w:w="80" w:type="dxa"/>
              <w:start w:w="100" w:type="dxa"/>
              <w:bottom w:w="80" w:type="dxa"/>
              <w:end w:w="100" w:type="dxa"/>
            </w:tcMar>
          </w:tcPr>
          <w:p>
            <w:pPr>
              <w:spacing w:after="0"/>
              <w:jc w:val="right"/>
            </w:pPr>
            <w:r>
              <w:rPr>
                <w:rFonts w:ascii="Calibri" w:hAnsi="Calibri"/>
                <w:sz w:val="15"/>
              </w:rPr>
              <w:t>78 T€</w:t>
            </w:r>
          </w:p>
        </w:tc>
        <w:tc>
          <w:tcPr>
            <w:tcW w:type="dxa" w:w="1502"/>
            <w:vAlign w:val="center"/>
            <w:tcMar>
              <w:top w:w="80" w:type="dxa"/>
              <w:start w:w="100" w:type="dxa"/>
              <w:bottom w:w="80" w:type="dxa"/>
              <w:end w:w="100" w:type="dxa"/>
            </w:tcMar>
          </w:tcPr>
          <w:p>
            <w:pPr>
              <w:spacing w:after="0"/>
              <w:jc w:val="right"/>
            </w:pPr>
            <w:r>
              <w:rPr>
                <w:rFonts w:ascii="Calibri" w:hAnsi="Calibri"/>
                <w:sz w:val="15"/>
              </w:rPr>
              <w:t>107 T€</w:t>
            </w:r>
          </w:p>
        </w:tc>
        <w:tc>
          <w:tcPr>
            <w:tcW w:type="dxa" w:w="1502"/>
            <w:vAlign w:val="center"/>
            <w:tcMar>
              <w:top w:w="80" w:type="dxa"/>
              <w:start w:w="100" w:type="dxa"/>
              <w:bottom w:w="80" w:type="dxa"/>
              <w:end w:w="100" w:type="dxa"/>
            </w:tcMar>
          </w:tcPr>
          <w:p>
            <w:pPr>
              <w:spacing w:after="0"/>
              <w:jc w:val="right"/>
            </w:pPr>
            <w:r>
              <w:rPr>
                <w:rFonts w:ascii="Calibri" w:hAnsi="Calibri"/>
                <w:sz w:val="15"/>
              </w:rPr>
              <w:t>137 T€</w:t>
            </w:r>
          </w:p>
        </w:tc>
        <w:tc>
          <w:tcPr>
            <w:tcW w:type="dxa" w:w="1502"/>
            <w:vAlign w:val="center"/>
            <w:tcMar>
              <w:top w:w="80" w:type="dxa"/>
              <w:start w:w="100" w:type="dxa"/>
              <w:bottom w:w="80" w:type="dxa"/>
              <w:end w:w="100" w:type="dxa"/>
            </w:tcMar>
          </w:tcPr>
          <w:p>
            <w:pPr>
              <w:spacing w:after="0"/>
              <w:jc w:val="right"/>
            </w:pPr>
            <w:r>
              <w:rPr>
                <w:rFonts w:ascii="Calibri" w:hAnsi="Calibri"/>
                <w:sz w:val="15"/>
              </w:rPr>
              <w:t>166 T€</w:t>
            </w:r>
          </w:p>
        </w:tc>
        <w:tc>
          <w:tcPr>
            <w:tcW w:type="dxa" w:w="1502"/>
            <w:vAlign w:val="center"/>
            <w:tcMar>
              <w:top w:w="80" w:type="dxa"/>
              <w:start w:w="100" w:type="dxa"/>
              <w:bottom w:w="80" w:type="dxa"/>
              <w:end w:w="100" w:type="dxa"/>
            </w:tcMar>
          </w:tcPr>
          <w:p>
            <w:pPr>
              <w:spacing w:after="0"/>
              <w:jc w:val="right"/>
            </w:pPr>
            <w:r>
              <w:rPr>
                <w:rFonts w:ascii="Calibri" w:hAnsi="Calibri"/>
                <w:sz w:val="15"/>
              </w:rPr>
              <w:t>196 T€</w:t>
            </w:r>
          </w:p>
        </w:tc>
      </w:tr>
      <w:tr>
        <w:trPr>
          <w:cantSplit/>
        </w:trPr>
        <w:tc>
          <w:tcPr>
            <w:tcW w:type="dxa" w:w="2381"/>
            <w:vAlign w:val="center"/>
            <w:tcMar>
              <w:top w:w="80" w:type="dxa"/>
              <w:start w:w="100" w:type="dxa"/>
              <w:bottom w:w="80" w:type="dxa"/>
              <w:end w:w="100" w:type="dxa"/>
            </w:tcMar>
            <w:shd w:fill="F3F7F9"/>
          </w:tcPr>
          <w:p>
            <w:pPr>
              <w:spacing w:after="0"/>
              <w:jc w:val="left"/>
            </w:pPr>
            <w:r>
              <w:rPr>
                <w:rFonts w:ascii="Calibri" w:hAnsi="Calibri"/>
                <w:b/>
                <w:sz w:val="15"/>
              </w:rPr>
              <w:t>125%</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137 T€</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174 T€</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210 T€</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247 T€</w:t>
            </w:r>
          </w:p>
        </w:tc>
        <w:tc>
          <w:tcPr>
            <w:tcW w:type="dxa" w:w="1502"/>
            <w:vAlign w:val="center"/>
            <w:tcMar>
              <w:top w:w="80" w:type="dxa"/>
              <w:start w:w="100" w:type="dxa"/>
              <w:bottom w:w="80" w:type="dxa"/>
              <w:end w:w="100" w:type="dxa"/>
            </w:tcMar>
            <w:shd w:fill="F3F7F9"/>
          </w:tcPr>
          <w:p>
            <w:pPr>
              <w:spacing w:after="0"/>
              <w:jc w:val="right"/>
            </w:pPr>
            <w:r>
              <w:rPr>
                <w:rFonts w:ascii="Calibri" w:hAnsi="Calibri"/>
                <w:sz w:val="15"/>
              </w:rPr>
              <w:t>284 T€</w:t>
            </w:r>
          </w:p>
        </w:tc>
      </w:tr>
      <w:tr>
        <w:trPr>
          <w:cantSplit/>
        </w:trPr>
        <w:tc>
          <w:tcPr>
            <w:tcW w:type="dxa" w:w="2381"/>
            <w:vAlign w:val="center"/>
            <w:tcMar>
              <w:top w:w="80" w:type="dxa"/>
              <w:start w:w="100" w:type="dxa"/>
              <w:bottom w:w="80" w:type="dxa"/>
              <w:end w:w="100" w:type="dxa"/>
            </w:tcMar>
          </w:tcPr>
          <w:p>
            <w:pPr>
              <w:spacing w:after="0"/>
              <w:jc w:val="left"/>
            </w:pPr>
            <w:r>
              <w:rPr>
                <w:rFonts w:ascii="Calibri" w:hAnsi="Calibri"/>
                <w:b/>
                <w:sz w:val="15"/>
              </w:rPr>
              <w:t>150%</w:t>
            </w:r>
          </w:p>
        </w:tc>
        <w:tc>
          <w:tcPr>
            <w:tcW w:type="dxa" w:w="1502"/>
            <w:vAlign w:val="center"/>
            <w:tcMar>
              <w:top w:w="80" w:type="dxa"/>
              <w:start w:w="100" w:type="dxa"/>
              <w:bottom w:w="80" w:type="dxa"/>
              <w:end w:w="100" w:type="dxa"/>
            </w:tcMar>
          </w:tcPr>
          <w:p>
            <w:pPr>
              <w:spacing w:after="0"/>
              <w:jc w:val="right"/>
            </w:pPr>
            <w:r>
              <w:rPr>
                <w:rFonts w:ascii="Calibri" w:hAnsi="Calibri"/>
                <w:sz w:val="15"/>
              </w:rPr>
              <w:t>196 T€</w:t>
            </w:r>
          </w:p>
        </w:tc>
        <w:tc>
          <w:tcPr>
            <w:tcW w:type="dxa" w:w="1502"/>
            <w:vAlign w:val="center"/>
            <w:tcMar>
              <w:top w:w="80" w:type="dxa"/>
              <w:start w:w="100" w:type="dxa"/>
              <w:bottom w:w="80" w:type="dxa"/>
              <w:end w:w="100" w:type="dxa"/>
            </w:tcMar>
          </w:tcPr>
          <w:p>
            <w:pPr>
              <w:spacing w:after="0"/>
              <w:jc w:val="right"/>
            </w:pPr>
            <w:r>
              <w:rPr>
                <w:rFonts w:ascii="Calibri" w:hAnsi="Calibri"/>
                <w:sz w:val="15"/>
              </w:rPr>
              <w:t>240 T€</w:t>
            </w:r>
          </w:p>
        </w:tc>
        <w:tc>
          <w:tcPr>
            <w:tcW w:type="dxa" w:w="1502"/>
            <w:vAlign w:val="center"/>
            <w:tcMar>
              <w:top w:w="80" w:type="dxa"/>
              <w:start w:w="100" w:type="dxa"/>
              <w:bottom w:w="80" w:type="dxa"/>
              <w:end w:w="100" w:type="dxa"/>
            </w:tcMar>
          </w:tcPr>
          <w:p>
            <w:pPr>
              <w:spacing w:after="0"/>
              <w:jc w:val="right"/>
            </w:pPr>
            <w:r>
              <w:rPr>
                <w:rFonts w:ascii="Calibri" w:hAnsi="Calibri"/>
                <w:sz w:val="15"/>
              </w:rPr>
              <w:t>284 T€</w:t>
            </w:r>
          </w:p>
        </w:tc>
        <w:tc>
          <w:tcPr>
            <w:tcW w:type="dxa" w:w="1502"/>
            <w:vAlign w:val="center"/>
            <w:tcMar>
              <w:top w:w="80" w:type="dxa"/>
              <w:start w:w="100" w:type="dxa"/>
              <w:bottom w:w="80" w:type="dxa"/>
              <w:end w:w="100" w:type="dxa"/>
            </w:tcMar>
          </w:tcPr>
          <w:p>
            <w:pPr>
              <w:spacing w:after="0"/>
              <w:jc w:val="right"/>
            </w:pPr>
            <w:r>
              <w:rPr>
                <w:rFonts w:ascii="Calibri" w:hAnsi="Calibri"/>
                <w:sz w:val="15"/>
              </w:rPr>
              <w:t>328 T€</w:t>
            </w:r>
          </w:p>
        </w:tc>
        <w:tc>
          <w:tcPr>
            <w:tcW w:type="dxa" w:w="1502"/>
            <w:vAlign w:val="center"/>
            <w:tcMar>
              <w:top w:w="80" w:type="dxa"/>
              <w:start w:w="100" w:type="dxa"/>
              <w:bottom w:w="80" w:type="dxa"/>
              <w:end w:w="100" w:type="dxa"/>
            </w:tcMar>
          </w:tcPr>
          <w:p>
            <w:pPr>
              <w:spacing w:after="0"/>
              <w:jc w:val="right"/>
            </w:pPr>
            <w:r>
              <w:rPr>
                <w:rFonts w:ascii="Calibri" w:hAnsi="Calibri"/>
                <w:sz w:val="15"/>
              </w:rPr>
              <w:t>373 T€</w:t>
            </w:r>
          </w:p>
        </w:tc>
      </w:tr>
    </w:tbl>
    <w:p>
      <w:pPr>
        <w:spacing w:after="20"/>
      </w:pPr>
    </w:p>
    <w:p>
      <w:r>
        <w:br w:type="page"/>
      </w:r>
    </w:p>
    <w:p>
      <w:pPr>
        <w:pStyle w:val="Heading1"/>
      </w:pPr>
      <w:r>
        <w:t>18. Kapitalbedarf, Mittelverwendung und Finanzierungsszenarien</w:t>
      </w:r>
    </w:p>
    <w:p>
      <w:r>
        <w:t>Das Monatsmodell weist bei 2.000 € Startliquidität eine maximale rechnerische Finanzierungslücke von rund 9,4 T€ (pessimistisch), 4,7 T€ (realistisch) bzw. 3,6 T€ (optimistisch) aus. Dass das optimistische Szenario dennoch kurzzeitig negativ wird, folgt aus Gründungs-, Rechts- und Produktaufwand vor den jährlichen Vorauszahlungen. Ein reiner 2.000-€-Start ist daher unvorsichtig.</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1701"/>
            <w:shd w:fill="1F5A7A"/>
            <w:vAlign w:val="center"/>
            <w:tcMar>
              <w:top w:w="80" w:type="dxa"/>
              <w:start w:w="100" w:type="dxa"/>
              <w:bottom w:w="80" w:type="dxa"/>
              <w:end w:w="100" w:type="dxa"/>
            </w:tcMar>
          </w:tcPr>
          <w:p>
            <w:pPr>
              <w:spacing w:after="0"/>
              <w:jc w:val="center"/>
            </w:pPr>
            <w:r>
              <w:rPr>
                <w:rFonts w:ascii="Calibri" w:hAnsi="Calibri"/>
                <w:b/>
                <w:color w:val="FFFFFF"/>
                <w:sz w:val="17"/>
              </w:rPr>
              <w:t>Szenario</w:t>
            </w:r>
          </w:p>
        </w:tc>
        <w:tc>
          <w:tcPr>
            <w:tcW w:type="dxa" w:w="3402"/>
            <w:shd w:fill="1F5A7A"/>
            <w:vAlign w:val="center"/>
            <w:tcMar>
              <w:top w:w="80" w:type="dxa"/>
              <w:start w:w="100" w:type="dxa"/>
              <w:bottom w:w="80" w:type="dxa"/>
              <w:end w:w="100" w:type="dxa"/>
            </w:tcMar>
          </w:tcPr>
          <w:p>
            <w:pPr>
              <w:spacing w:after="0"/>
              <w:jc w:val="center"/>
            </w:pPr>
            <w:r>
              <w:rPr>
                <w:rFonts w:ascii="Calibri" w:hAnsi="Calibri"/>
                <w:b/>
                <w:color w:val="FFFFFF"/>
                <w:sz w:val="17"/>
              </w:rPr>
              <w:t>Struktur</w:t>
            </w:r>
          </w:p>
        </w:tc>
        <w:tc>
          <w:tcPr>
            <w:tcW w:type="dxa" w:w="1474"/>
            <w:shd w:fill="1F5A7A"/>
            <w:vAlign w:val="center"/>
            <w:tcMar>
              <w:top w:w="80" w:type="dxa"/>
              <w:start w:w="100" w:type="dxa"/>
              <w:bottom w:w="80" w:type="dxa"/>
              <w:end w:w="100" w:type="dxa"/>
            </w:tcMar>
          </w:tcPr>
          <w:p>
            <w:pPr>
              <w:spacing w:after="0"/>
              <w:jc w:val="center"/>
            </w:pPr>
            <w:r>
              <w:rPr>
                <w:rFonts w:ascii="Calibri" w:hAnsi="Calibri"/>
                <w:b/>
                <w:color w:val="FFFFFF"/>
                <w:sz w:val="17"/>
              </w:rPr>
              <w:t>Mittel</w:t>
            </w:r>
          </w:p>
        </w:tc>
        <w:tc>
          <w:tcPr>
            <w:tcW w:type="dxa" w:w="3402"/>
            <w:shd w:fill="1F5A7A"/>
            <w:vAlign w:val="center"/>
            <w:tcMar>
              <w:top w:w="80" w:type="dxa"/>
              <w:start w:w="100" w:type="dxa"/>
              <w:bottom w:w="80" w:type="dxa"/>
              <w:end w:w="100" w:type="dxa"/>
            </w:tcMar>
          </w:tcPr>
          <w:p>
            <w:pPr>
              <w:spacing w:after="0"/>
              <w:jc w:val="center"/>
            </w:pPr>
            <w:r>
              <w:rPr>
                <w:rFonts w:ascii="Calibri" w:hAnsi="Calibri"/>
                <w:b/>
                <w:color w:val="FFFFFF"/>
                <w:sz w:val="17"/>
              </w:rPr>
              <w:t>Eignung</w:t>
            </w:r>
          </w:p>
        </w:tc>
      </w:tr>
      <w:tr>
        <w:trPr>
          <w:cantSplit/>
        </w:trPr>
        <w:tc>
          <w:tcPr>
            <w:tcW w:type="dxa" w:w="1701"/>
            <w:vAlign w:val="center"/>
            <w:tcMar>
              <w:top w:w="80" w:type="dxa"/>
              <w:start w:w="100" w:type="dxa"/>
              <w:bottom w:w="80" w:type="dxa"/>
              <w:end w:w="100" w:type="dxa"/>
            </w:tcMar>
          </w:tcPr>
          <w:p>
            <w:pPr>
              <w:spacing w:after="0"/>
              <w:jc w:val="left"/>
            </w:pPr>
            <w:r>
              <w:rPr>
                <w:rFonts w:ascii="Calibri" w:hAnsi="Calibri"/>
                <w:b/>
                <w:sz w:val="17"/>
              </w:rPr>
              <w:t>A · Minimal Bootstrap</w:t>
            </w:r>
          </w:p>
        </w:tc>
        <w:tc>
          <w:tcPr>
            <w:tcW w:type="dxa" w:w="3402"/>
            <w:vAlign w:val="center"/>
            <w:tcMar>
              <w:top w:w="80" w:type="dxa"/>
              <w:start w:w="100" w:type="dxa"/>
              <w:bottom w:w="80" w:type="dxa"/>
              <w:end w:w="100" w:type="dxa"/>
            </w:tcMar>
          </w:tcPr>
          <w:p>
            <w:pPr>
              <w:spacing w:after="0"/>
              <w:jc w:val="right"/>
            </w:pPr>
            <w:r>
              <w:rPr>
                <w:rFonts w:ascii="Calibri" w:hAnsi="Calibri"/>
                <w:sz w:val="17"/>
              </w:rPr>
              <w:t>2 T€ Stammkapital + 13 T€ Gesellschafterdarlehen</w:t>
            </w:r>
          </w:p>
        </w:tc>
        <w:tc>
          <w:tcPr>
            <w:tcW w:type="dxa" w:w="1474"/>
            <w:vAlign w:val="center"/>
            <w:tcMar>
              <w:top w:w="80" w:type="dxa"/>
              <w:start w:w="100" w:type="dxa"/>
              <w:bottom w:w="80" w:type="dxa"/>
              <w:end w:w="100" w:type="dxa"/>
            </w:tcMar>
          </w:tcPr>
          <w:p>
            <w:pPr>
              <w:spacing w:after="0"/>
              <w:jc w:val="right"/>
            </w:pPr>
            <w:r>
              <w:rPr>
                <w:rFonts w:ascii="Calibri" w:hAnsi="Calibri"/>
                <w:sz w:val="17"/>
              </w:rPr>
              <w:t>15 T€</w:t>
            </w:r>
          </w:p>
        </w:tc>
        <w:tc>
          <w:tcPr>
            <w:tcW w:type="dxa" w:w="3402"/>
            <w:vAlign w:val="center"/>
            <w:tcMar>
              <w:top w:w="80" w:type="dxa"/>
              <w:start w:w="100" w:type="dxa"/>
              <w:bottom w:w="80" w:type="dxa"/>
              <w:end w:w="100" w:type="dxa"/>
            </w:tcMar>
          </w:tcPr>
          <w:p>
            <w:pPr>
              <w:spacing w:after="0"/>
              <w:jc w:val="right"/>
            </w:pPr>
            <w:r>
              <w:rPr>
                <w:rFonts w:ascii="Calibri" w:hAnsi="Calibri"/>
                <w:sz w:val="17"/>
              </w:rPr>
              <w:t>Empfohlenes Minimum; enge Kostenkontrolle</w:t>
            </w:r>
          </w:p>
        </w:tc>
      </w:tr>
      <w:tr>
        <w:trPr>
          <w:cantSplit/>
        </w:trPr>
        <w:tc>
          <w:tcPr>
            <w:tcW w:type="dxa" w:w="1701"/>
            <w:vAlign w:val="center"/>
            <w:tcMar>
              <w:top w:w="80" w:type="dxa"/>
              <w:start w:w="100" w:type="dxa"/>
              <w:bottom w:w="80" w:type="dxa"/>
              <w:end w:w="100" w:type="dxa"/>
            </w:tcMar>
            <w:shd w:fill="F3F7F9"/>
          </w:tcPr>
          <w:p>
            <w:pPr>
              <w:spacing w:after="0"/>
              <w:jc w:val="left"/>
            </w:pPr>
            <w:r>
              <w:rPr>
                <w:rFonts w:ascii="Calibri" w:hAnsi="Calibri"/>
                <w:b/>
                <w:sz w:val="17"/>
              </w:rPr>
              <w:t>B · Robuster Bootstrap</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7"/>
              </w:rPr>
              <w:t>2 T€ Stammkapital + 23 T€ Darlehen/Fördermittel</w:t>
            </w:r>
          </w:p>
        </w:tc>
        <w:tc>
          <w:tcPr>
            <w:tcW w:type="dxa" w:w="1474"/>
            <w:vAlign w:val="center"/>
            <w:tcMar>
              <w:top w:w="80" w:type="dxa"/>
              <w:start w:w="100" w:type="dxa"/>
              <w:bottom w:w="80" w:type="dxa"/>
              <w:end w:w="100" w:type="dxa"/>
            </w:tcMar>
            <w:shd w:fill="F3F7F9"/>
          </w:tcPr>
          <w:p>
            <w:pPr>
              <w:spacing w:after="0"/>
              <w:jc w:val="right"/>
            </w:pPr>
            <w:r>
              <w:rPr>
                <w:rFonts w:ascii="Calibri" w:hAnsi="Calibri"/>
                <w:sz w:val="17"/>
              </w:rPr>
              <w:t>25 T€</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7"/>
              </w:rPr>
              <w:t>Bevorzugt; deckt Compliance, Versicherung und Puffer</w:t>
            </w:r>
          </w:p>
        </w:tc>
      </w:tr>
      <w:tr>
        <w:trPr>
          <w:cantSplit/>
        </w:trPr>
        <w:tc>
          <w:tcPr>
            <w:tcW w:type="dxa" w:w="1701"/>
            <w:vAlign w:val="center"/>
            <w:tcMar>
              <w:top w:w="80" w:type="dxa"/>
              <w:start w:w="100" w:type="dxa"/>
              <w:bottom w:w="80" w:type="dxa"/>
              <w:end w:w="100" w:type="dxa"/>
            </w:tcMar>
          </w:tcPr>
          <w:p>
            <w:pPr>
              <w:spacing w:after="0"/>
              <w:jc w:val="left"/>
            </w:pPr>
            <w:r>
              <w:rPr>
                <w:rFonts w:ascii="Calibri" w:hAnsi="Calibri"/>
                <w:b/>
                <w:sz w:val="17"/>
              </w:rPr>
              <w:t>C · Wachstumsfinanzierung</w:t>
            </w:r>
          </w:p>
        </w:tc>
        <w:tc>
          <w:tcPr>
            <w:tcW w:type="dxa" w:w="3402"/>
            <w:vAlign w:val="center"/>
            <w:tcMar>
              <w:top w:w="80" w:type="dxa"/>
              <w:start w:w="100" w:type="dxa"/>
              <w:bottom w:w="80" w:type="dxa"/>
              <w:end w:w="100" w:type="dxa"/>
            </w:tcMar>
          </w:tcPr>
          <w:p>
            <w:pPr>
              <w:spacing w:after="0"/>
              <w:jc w:val="right"/>
            </w:pPr>
            <w:r>
              <w:rPr>
                <w:rFonts w:ascii="Calibri" w:hAnsi="Calibri"/>
                <w:sz w:val="17"/>
              </w:rPr>
              <w:t>25–50 T€ Förderdarlehen/Bank nach Verträgen</w:t>
            </w:r>
          </w:p>
        </w:tc>
        <w:tc>
          <w:tcPr>
            <w:tcW w:type="dxa" w:w="1474"/>
            <w:vAlign w:val="center"/>
            <w:tcMar>
              <w:top w:w="80" w:type="dxa"/>
              <w:start w:w="100" w:type="dxa"/>
              <w:bottom w:w="80" w:type="dxa"/>
              <w:end w:w="100" w:type="dxa"/>
            </w:tcMar>
          </w:tcPr>
          <w:p>
            <w:pPr>
              <w:spacing w:after="0"/>
              <w:jc w:val="right"/>
            </w:pPr>
            <w:r>
              <w:rPr>
                <w:rFonts w:ascii="Calibri" w:hAnsi="Calibri"/>
                <w:sz w:val="17"/>
              </w:rPr>
              <w:t>25–50 T€</w:t>
            </w:r>
          </w:p>
        </w:tc>
        <w:tc>
          <w:tcPr>
            <w:tcW w:type="dxa" w:w="3402"/>
            <w:vAlign w:val="center"/>
            <w:tcMar>
              <w:top w:w="80" w:type="dxa"/>
              <w:start w:w="100" w:type="dxa"/>
              <w:bottom w:w="80" w:type="dxa"/>
              <w:end w:w="100" w:type="dxa"/>
            </w:tcMar>
          </w:tcPr>
          <w:p>
            <w:pPr>
              <w:spacing w:after="0"/>
              <w:jc w:val="right"/>
            </w:pPr>
            <w:r>
              <w:rPr>
                <w:rFonts w:ascii="Calibri" w:hAnsi="Calibri"/>
                <w:sz w:val="17"/>
              </w:rPr>
              <w:t>Erst bei 5+ zahlenden Kunden und klarer Pipeline</w:t>
            </w:r>
          </w:p>
        </w:tc>
      </w:tr>
      <w:tr>
        <w:trPr>
          <w:cantSplit/>
        </w:trPr>
        <w:tc>
          <w:tcPr>
            <w:tcW w:type="dxa" w:w="1701"/>
            <w:vAlign w:val="center"/>
            <w:tcMar>
              <w:top w:w="80" w:type="dxa"/>
              <w:start w:w="100" w:type="dxa"/>
              <w:bottom w:w="80" w:type="dxa"/>
              <w:end w:w="100" w:type="dxa"/>
            </w:tcMar>
            <w:shd w:fill="F3F7F9"/>
          </w:tcPr>
          <w:p>
            <w:pPr>
              <w:spacing w:after="0"/>
              <w:jc w:val="left"/>
            </w:pPr>
            <w:r>
              <w:rPr>
                <w:rFonts w:ascii="Calibri" w:hAnsi="Calibri"/>
                <w:b/>
                <w:sz w:val="17"/>
              </w:rPr>
              <w:t>D · Equity</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7"/>
              </w:rPr>
              <w:t>Angel/Seed</w:t>
            </w:r>
          </w:p>
        </w:tc>
        <w:tc>
          <w:tcPr>
            <w:tcW w:type="dxa" w:w="1474"/>
            <w:vAlign w:val="center"/>
            <w:tcMar>
              <w:top w:w="80" w:type="dxa"/>
              <w:start w:w="100" w:type="dxa"/>
              <w:bottom w:w="80" w:type="dxa"/>
              <w:end w:w="100" w:type="dxa"/>
            </w:tcMar>
            <w:shd w:fill="F3F7F9"/>
          </w:tcPr>
          <w:p>
            <w:pPr>
              <w:spacing w:after="0"/>
              <w:jc w:val="right"/>
            </w:pPr>
            <w:r>
              <w:rPr>
                <w:rFonts w:ascii="Calibri" w:hAnsi="Calibri"/>
                <w:sz w:val="17"/>
              </w:rPr>
              <w:t>&gt;250 T€</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7"/>
              </w:rPr>
              <w:t>Derzeit nicht empfohlen; erst für belastbare Expansion</w:t>
            </w:r>
          </w:p>
        </w:tc>
      </w:tr>
    </w:tbl>
    <w:p>
      <w:pPr>
        <w:spacing w:after="20"/>
      </w:pPr>
    </w:p>
    <w:tbl>
      <w:tblPr>
        <w:tblStyle w:val="TableGrid"/>
        <w:tblW w:type="auto" w:w="0"/>
        <w:jc w:val="center"/>
        <w:tblLayout w:type="fixed"/>
        <w:tblLook w:firstColumn="1" w:firstRow="1" w:lastColumn="0" w:lastRow="0" w:noHBand="0" w:noVBand="1" w:val="04A0"/>
      </w:tblPr>
      <w:tblGrid>
        <w:gridCol w:w="3283"/>
        <w:gridCol w:w="3283"/>
        <w:gridCol w:w="3283"/>
      </w:tblGrid>
      <w:tr>
        <w:trPr>
          <w:tblHeader w:val="true"/>
        </w:trPr>
        <w:tc>
          <w:tcPr>
            <w:tcW w:type="dxa" w:w="4536"/>
            <w:shd w:fill="1F5A7A"/>
            <w:vAlign w:val="center"/>
            <w:tcMar>
              <w:top w:w="80" w:type="dxa"/>
              <w:start w:w="100" w:type="dxa"/>
              <w:bottom w:w="80" w:type="dxa"/>
              <w:end w:w="100" w:type="dxa"/>
            </w:tcMar>
          </w:tcPr>
          <w:p>
            <w:pPr>
              <w:spacing w:after="0"/>
              <w:jc w:val="center"/>
            </w:pPr>
            <w:r>
              <w:rPr>
                <w:rFonts w:ascii="Calibri" w:hAnsi="Calibri"/>
                <w:b/>
                <w:color w:val="FFFFFF"/>
                <w:sz w:val="17"/>
              </w:rPr>
              <w:t>Verwendung einer 20-T€-Reserve</w:t>
            </w:r>
          </w:p>
        </w:tc>
        <w:tc>
          <w:tcPr>
            <w:tcW w:type="dxa" w:w="1530"/>
            <w:shd w:fill="1F5A7A"/>
            <w:vAlign w:val="center"/>
            <w:tcMar>
              <w:top w:w="80" w:type="dxa"/>
              <w:start w:w="100" w:type="dxa"/>
              <w:bottom w:w="80" w:type="dxa"/>
              <w:end w:w="100" w:type="dxa"/>
            </w:tcMar>
          </w:tcPr>
          <w:p>
            <w:pPr>
              <w:spacing w:after="0"/>
              <w:jc w:val="center"/>
            </w:pPr>
            <w:r>
              <w:rPr>
                <w:rFonts w:ascii="Calibri" w:hAnsi="Calibri"/>
                <w:b/>
                <w:color w:val="FFFFFF"/>
                <w:sz w:val="17"/>
              </w:rPr>
              <w:t>Betrag</w:t>
            </w:r>
          </w:p>
        </w:tc>
        <w:tc>
          <w:tcPr>
            <w:tcW w:type="dxa" w:w="3912"/>
            <w:shd w:fill="1F5A7A"/>
            <w:vAlign w:val="center"/>
            <w:tcMar>
              <w:top w:w="80" w:type="dxa"/>
              <w:start w:w="100" w:type="dxa"/>
              <w:bottom w:w="80" w:type="dxa"/>
              <w:end w:w="100" w:type="dxa"/>
            </w:tcMar>
          </w:tcPr>
          <w:p>
            <w:pPr>
              <w:spacing w:after="0"/>
              <w:jc w:val="center"/>
            </w:pPr>
            <w:r>
              <w:rPr>
                <w:rFonts w:ascii="Calibri" w:hAnsi="Calibri"/>
                <w:b/>
                <w:color w:val="FFFFFF"/>
                <w:sz w:val="17"/>
              </w:rPr>
              <w:t>Begründung</w:t>
            </w:r>
          </w:p>
        </w:tc>
      </w:tr>
      <w:tr>
        <w:trPr>
          <w:cantSplit/>
        </w:trPr>
        <w:tc>
          <w:tcPr>
            <w:tcW w:type="dxa" w:w="4536"/>
            <w:vAlign w:val="center"/>
            <w:tcMar>
              <w:top w:w="80" w:type="dxa"/>
              <w:start w:w="100" w:type="dxa"/>
              <w:bottom w:w="80" w:type="dxa"/>
              <w:end w:w="100" w:type="dxa"/>
            </w:tcMar>
          </w:tcPr>
          <w:p>
            <w:pPr>
              <w:spacing w:after="0"/>
              <w:jc w:val="left"/>
            </w:pPr>
            <w:r>
              <w:rPr>
                <w:rFonts w:ascii="Calibri" w:hAnsi="Calibri"/>
                <w:b/>
                <w:sz w:val="17"/>
              </w:rPr>
              <w:t>Gründung, Verträge, Datenschutz, IP/Lizenzen</w:t>
            </w:r>
          </w:p>
        </w:tc>
        <w:tc>
          <w:tcPr>
            <w:tcW w:type="dxa" w:w="1530"/>
            <w:vAlign w:val="center"/>
            <w:tcMar>
              <w:top w:w="80" w:type="dxa"/>
              <w:start w:w="100" w:type="dxa"/>
              <w:bottom w:w="80" w:type="dxa"/>
              <w:end w:w="100" w:type="dxa"/>
            </w:tcMar>
          </w:tcPr>
          <w:p>
            <w:pPr>
              <w:spacing w:after="0"/>
              <w:jc w:val="right"/>
            </w:pPr>
            <w:r>
              <w:rPr>
                <w:rFonts w:ascii="Calibri" w:hAnsi="Calibri"/>
                <w:sz w:val="17"/>
              </w:rPr>
              <w:t>4,5 T€</w:t>
            </w:r>
          </w:p>
        </w:tc>
        <w:tc>
          <w:tcPr>
            <w:tcW w:type="dxa" w:w="3912"/>
            <w:vAlign w:val="center"/>
            <w:tcMar>
              <w:top w:w="80" w:type="dxa"/>
              <w:start w:w="100" w:type="dxa"/>
              <w:bottom w:w="80" w:type="dxa"/>
              <w:end w:w="100" w:type="dxa"/>
            </w:tcMar>
          </w:tcPr>
          <w:p>
            <w:pPr>
              <w:spacing w:after="0"/>
              <w:jc w:val="right"/>
            </w:pPr>
            <w:r>
              <w:rPr>
                <w:rFonts w:ascii="Calibri" w:hAnsi="Calibri"/>
                <w:sz w:val="17"/>
              </w:rPr>
              <w:t>Launch-Gates und anwaltliche Prüfung</w:t>
            </w:r>
          </w:p>
        </w:tc>
      </w:tr>
      <w:tr>
        <w:trPr>
          <w:cantSplit/>
        </w:trPr>
        <w:tc>
          <w:tcPr>
            <w:tcW w:type="dxa" w:w="4536"/>
            <w:vAlign w:val="center"/>
            <w:tcMar>
              <w:top w:w="80" w:type="dxa"/>
              <w:start w:w="100" w:type="dxa"/>
              <w:bottom w:w="80" w:type="dxa"/>
              <w:end w:w="100" w:type="dxa"/>
            </w:tcMar>
            <w:shd w:fill="F3F7F9"/>
          </w:tcPr>
          <w:p>
            <w:pPr>
              <w:spacing w:after="0"/>
              <w:jc w:val="left"/>
            </w:pPr>
            <w:r>
              <w:rPr>
                <w:rFonts w:ascii="Calibri" w:hAnsi="Calibri"/>
                <w:b/>
                <w:sz w:val="17"/>
              </w:rPr>
              <w:t>Versicherung, Buchhaltung, Verwaltung</w:t>
            </w:r>
          </w:p>
        </w:tc>
        <w:tc>
          <w:tcPr>
            <w:tcW w:type="dxa" w:w="1530"/>
            <w:vAlign w:val="center"/>
            <w:tcMar>
              <w:top w:w="80" w:type="dxa"/>
              <w:start w:w="100" w:type="dxa"/>
              <w:bottom w:w="80" w:type="dxa"/>
              <w:end w:w="100" w:type="dxa"/>
            </w:tcMar>
            <w:shd w:fill="F3F7F9"/>
          </w:tcPr>
          <w:p>
            <w:pPr>
              <w:spacing w:after="0"/>
              <w:jc w:val="right"/>
            </w:pPr>
            <w:r>
              <w:rPr>
                <w:rFonts w:ascii="Calibri" w:hAnsi="Calibri"/>
                <w:sz w:val="17"/>
              </w:rPr>
              <w:t>3,0 T€</w:t>
            </w:r>
          </w:p>
        </w:tc>
        <w:tc>
          <w:tcPr>
            <w:tcW w:type="dxa" w:w="3912"/>
            <w:vAlign w:val="center"/>
            <w:tcMar>
              <w:top w:w="80" w:type="dxa"/>
              <w:start w:w="100" w:type="dxa"/>
              <w:bottom w:w="80" w:type="dxa"/>
              <w:end w:w="100" w:type="dxa"/>
            </w:tcMar>
            <w:shd w:fill="F3F7F9"/>
          </w:tcPr>
          <w:p>
            <w:pPr>
              <w:spacing w:after="0"/>
              <w:jc w:val="right"/>
            </w:pPr>
            <w:r>
              <w:rPr>
                <w:rFonts w:ascii="Calibri" w:hAnsi="Calibri"/>
                <w:sz w:val="17"/>
              </w:rPr>
              <w:t>12–18 Monate Grundbetrieb</w:t>
            </w:r>
          </w:p>
        </w:tc>
      </w:tr>
      <w:tr>
        <w:trPr>
          <w:cantSplit/>
        </w:trPr>
        <w:tc>
          <w:tcPr>
            <w:tcW w:type="dxa" w:w="4536"/>
            <w:vAlign w:val="center"/>
            <w:tcMar>
              <w:top w:w="80" w:type="dxa"/>
              <w:start w:w="100" w:type="dxa"/>
              <w:bottom w:w="80" w:type="dxa"/>
              <w:end w:w="100" w:type="dxa"/>
            </w:tcMar>
          </w:tcPr>
          <w:p>
            <w:pPr>
              <w:spacing w:after="0"/>
              <w:jc w:val="left"/>
            </w:pPr>
            <w:r>
              <w:rPr>
                <w:rFonts w:ascii="Calibri" w:hAnsi="Calibri"/>
                <w:b/>
                <w:sz w:val="17"/>
              </w:rPr>
              <w:t>Infrastruktur, Daten, Monitoring</w:t>
            </w:r>
          </w:p>
        </w:tc>
        <w:tc>
          <w:tcPr>
            <w:tcW w:type="dxa" w:w="1530"/>
            <w:vAlign w:val="center"/>
            <w:tcMar>
              <w:top w:w="80" w:type="dxa"/>
              <w:start w:w="100" w:type="dxa"/>
              <w:bottom w:w="80" w:type="dxa"/>
              <w:end w:w="100" w:type="dxa"/>
            </w:tcMar>
          </w:tcPr>
          <w:p>
            <w:pPr>
              <w:spacing w:after="0"/>
              <w:jc w:val="right"/>
            </w:pPr>
            <w:r>
              <w:rPr>
                <w:rFonts w:ascii="Calibri" w:hAnsi="Calibri"/>
                <w:sz w:val="17"/>
              </w:rPr>
              <w:t>3,0 T€</w:t>
            </w:r>
          </w:p>
        </w:tc>
        <w:tc>
          <w:tcPr>
            <w:tcW w:type="dxa" w:w="3912"/>
            <w:vAlign w:val="center"/>
            <w:tcMar>
              <w:top w:w="80" w:type="dxa"/>
              <w:start w:w="100" w:type="dxa"/>
              <w:bottom w:w="80" w:type="dxa"/>
              <w:end w:w="100" w:type="dxa"/>
            </w:tcMar>
          </w:tcPr>
          <w:p>
            <w:pPr>
              <w:spacing w:after="0"/>
              <w:jc w:val="right"/>
            </w:pPr>
            <w:r>
              <w:rPr>
                <w:rFonts w:ascii="Calibri" w:hAnsi="Calibri"/>
                <w:sz w:val="17"/>
              </w:rPr>
              <w:t>Last-/Lizenzpuffer</w:t>
            </w:r>
          </w:p>
        </w:tc>
      </w:tr>
      <w:tr>
        <w:trPr>
          <w:cantSplit/>
        </w:trPr>
        <w:tc>
          <w:tcPr>
            <w:tcW w:type="dxa" w:w="4536"/>
            <w:vAlign w:val="center"/>
            <w:tcMar>
              <w:top w:w="80" w:type="dxa"/>
              <w:start w:w="100" w:type="dxa"/>
              <w:bottom w:w="80" w:type="dxa"/>
              <w:end w:w="100" w:type="dxa"/>
            </w:tcMar>
            <w:shd w:fill="F3F7F9"/>
          </w:tcPr>
          <w:p>
            <w:pPr>
              <w:spacing w:after="0"/>
              <w:jc w:val="left"/>
            </w:pPr>
            <w:r>
              <w:rPr>
                <w:rFonts w:ascii="Calibri" w:hAnsi="Calibri"/>
                <w:b/>
                <w:sz w:val="17"/>
              </w:rPr>
              <w:t>Sales, Pilotintegration, Reisen</w:t>
            </w:r>
          </w:p>
        </w:tc>
        <w:tc>
          <w:tcPr>
            <w:tcW w:type="dxa" w:w="1530"/>
            <w:vAlign w:val="center"/>
            <w:tcMar>
              <w:top w:w="80" w:type="dxa"/>
              <w:start w:w="100" w:type="dxa"/>
              <w:bottom w:w="80" w:type="dxa"/>
              <w:end w:w="100" w:type="dxa"/>
            </w:tcMar>
            <w:shd w:fill="F3F7F9"/>
          </w:tcPr>
          <w:p>
            <w:pPr>
              <w:spacing w:after="0"/>
              <w:jc w:val="right"/>
            </w:pPr>
            <w:r>
              <w:rPr>
                <w:rFonts w:ascii="Calibri" w:hAnsi="Calibri"/>
                <w:sz w:val="17"/>
              </w:rPr>
              <w:t>4,0 T€</w:t>
            </w:r>
          </w:p>
        </w:tc>
        <w:tc>
          <w:tcPr>
            <w:tcW w:type="dxa" w:w="3912"/>
            <w:vAlign w:val="center"/>
            <w:tcMar>
              <w:top w:w="80" w:type="dxa"/>
              <w:start w:w="100" w:type="dxa"/>
              <w:bottom w:w="80" w:type="dxa"/>
              <w:end w:w="100" w:type="dxa"/>
            </w:tcMar>
            <w:shd w:fill="F3F7F9"/>
          </w:tcPr>
          <w:p>
            <w:pPr>
              <w:spacing w:after="0"/>
              <w:jc w:val="right"/>
            </w:pPr>
            <w:r>
              <w:rPr>
                <w:rFonts w:ascii="Calibri" w:hAnsi="Calibri"/>
                <w:sz w:val="17"/>
              </w:rPr>
              <w:t>Paid-Design-Partner-Akquise</w:t>
            </w:r>
          </w:p>
        </w:tc>
      </w:tr>
      <w:tr>
        <w:trPr>
          <w:cantSplit/>
        </w:trPr>
        <w:tc>
          <w:tcPr>
            <w:tcW w:type="dxa" w:w="4536"/>
            <w:vAlign w:val="center"/>
            <w:tcMar>
              <w:top w:w="80" w:type="dxa"/>
              <w:start w:w="100" w:type="dxa"/>
              <w:bottom w:w="80" w:type="dxa"/>
              <w:end w:w="100" w:type="dxa"/>
            </w:tcMar>
          </w:tcPr>
          <w:p>
            <w:pPr>
              <w:spacing w:after="0"/>
              <w:jc w:val="left"/>
            </w:pPr>
            <w:r>
              <w:rPr>
                <w:rFonts w:ascii="Calibri" w:hAnsi="Calibri"/>
                <w:b/>
                <w:sz w:val="17"/>
              </w:rPr>
              <w:t>Contingency</w:t>
            </w:r>
          </w:p>
        </w:tc>
        <w:tc>
          <w:tcPr>
            <w:tcW w:type="dxa" w:w="1530"/>
            <w:vAlign w:val="center"/>
            <w:tcMar>
              <w:top w:w="80" w:type="dxa"/>
              <w:start w:w="100" w:type="dxa"/>
              <w:bottom w:w="80" w:type="dxa"/>
              <w:end w:w="100" w:type="dxa"/>
            </w:tcMar>
          </w:tcPr>
          <w:p>
            <w:pPr>
              <w:spacing w:after="0"/>
              <w:jc w:val="right"/>
            </w:pPr>
            <w:r>
              <w:rPr>
                <w:rFonts w:ascii="Calibri" w:hAnsi="Calibri"/>
                <w:sz w:val="17"/>
              </w:rPr>
              <w:t>5,5 T€</w:t>
            </w:r>
          </w:p>
        </w:tc>
        <w:tc>
          <w:tcPr>
            <w:tcW w:type="dxa" w:w="3912"/>
            <w:vAlign w:val="center"/>
            <w:tcMar>
              <w:top w:w="80" w:type="dxa"/>
              <w:start w:w="100" w:type="dxa"/>
              <w:bottom w:w="80" w:type="dxa"/>
              <w:end w:w="100" w:type="dxa"/>
            </w:tcMar>
          </w:tcPr>
          <w:p>
            <w:pPr>
              <w:spacing w:after="0"/>
              <w:jc w:val="right"/>
            </w:pPr>
            <w:r>
              <w:rPr>
                <w:rFonts w:ascii="Calibri" w:hAnsi="Calibri"/>
                <w:sz w:val="17"/>
              </w:rPr>
              <w:t>Ausfälle, Nachlizenzierung, längerer Sales-Zyklus</w:t>
            </w:r>
          </w:p>
        </w:tc>
      </w:tr>
    </w:tbl>
    <w:p>
      <w:pPr>
        <w:spacing w:after="20"/>
      </w:pPr>
    </w:p>
    <w:p>
      <w:r>
        <w:t>Kapital wird nicht für breite Paid-Acquisition eingesetzt, bevor Conversion und Retention belegt sind. Gründerzeit bleibt der knappste wirtschaftliche Input; die Schattenkosten zeigen, dass „kostenlose“ Arbeit das Geschäftsmodell wirtschaftlich belastet.</w:t>
      </w:r>
    </w:p>
    <w:p>
      <w:r>
        <w:br w:type="page"/>
      </w:r>
    </w:p>
    <w:p>
      <w:pPr>
        <w:pStyle w:val="Heading1"/>
      </w:pPr>
      <w:r>
        <w:t>19. Exit- beziehungsweise langfristige Wachstumsstrategie</w:t>
      </w:r>
    </w:p>
    <w:p>
      <w:r>
        <w:t>Primäres Ziel ist ein profitables, kapital-effizientes Softwareunternehmen. Ein Exit ist eine Option, kein Planungsersatz. Strategische Käufer könnten Sportdatenanbieter, Publisher-Softwaregruppen, Engagement-/CMS-Plattformen oder Sportmediennetzwerke sein, sofern das Unternehmen wiederkehrende Erlöse, Datenrechte, Prognosehistorie und Kundenbindung besitzt.</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2438"/>
            <w:shd w:fill="1F5A7A"/>
            <w:vAlign w:val="center"/>
            <w:tcMar>
              <w:top w:w="80" w:type="dxa"/>
              <w:start w:w="100" w:type="dxa"/>
              <w:bottom w:w="80" w:type="dxa"/>
              <w:end w:w="100" w:type="dxa"/>
            </w:tcMar>
          </w:tcPr>
          <w:p>
            <w:pPr>
              <w:spacing w:after="0"/>
              <w:jc w:val="center"/>
            </w:pPr>
            <w:r>
              <w:rPr>
                <w:rFonts w:ascii="Calibri" w:hAnsi="Calibri"/>
                <w:b/>
                <w:color w:val="FFFFFF"/>
                <w:sz w:val="17"/>
              </w:rPr>
              <w:t>Pfad</w:t>
            </w:r>
          </w:p>
        </w:tc>
        <w:tc>
          <w:tcPr>
            <w:tcW w:type="dxa" w:w="4139"/>
            <w:shd w:fill="1F5A7A"/>
            <w:vAlign w:val="center"/>
            <w:tcMar>
              <w:top w:w="80" w:type="dxa"/>
              <w:start w:w="100" w:type="dxa"/>
              <w:bottom w:w="80" w:type="dxa"/>
              <w:end w:w="100" w:type="dxa"/>
            </w:tcMar>
          </w:tcPr>
          <w:p>
            <w:pPr>
              <w:spacing w:after="0"/>
              <w:jc w:val="center"/>
            </w:pPr>
            <w:r>
              <w:rPr>
                <w:rFonts w:ascii="Calibri" w:hAnsi="Calibri"/>
                <w:b/>
                <w:color w:val="FFFFFF"/>
                <w:sz w:val="17"/>
              </w:rPr>
              <w:t>Voraussetzung</w:t>
            </w:r>
          </w:p>
        </w:tc>
        <w:tc>
          <w:tcPr>
            <w:tcW w:type="dxa" w:w="1757"/>
            <w:shd w:fill="1F5A7A"/>
            <w:vAlign w:val="center"/>
            <w:tcMar>
              <w:top w:w="80" w:type="dxa"/>
              <w:start w:w="100" w:type="dxa"/>
              <w:bottom w:w="80" w:type="dxa"/>
              <w:end w:w="100" w:type="dxa"/>
            </w:tcMar>
          </w:tcPr>
          <w:p>
            <w:pPr>
              <w:spacing w:after="0"/>
              <w:jc w:val="center"/>
            </w:pPr>
            <w:r>
              <w:rPr>
                <w:rFonts w:ascii="Calibri" w:hAnsi="Calibri"/>
                <w:b/>
                <w:color w:val="FFFFFF"/>
                <w:sz w:val="17"/>
              </w:rPr>
              <w:t>Zeithorizont</w:t>
            </w:r>
          </w:p>
        </w:tc>
        <w:tc>
          <w:tcPr>
            <w:tcW w:type="dxa" w:w="1701"/>
            <w:shd w:fill="1F5A7A"/>
            <w:vAlign w:val="center"/>
            <w:tcMar>
              <w:top w:w="80" w:type="dxa"/>
              <w:start w:w="100" w:type="dxa"/>
              <w:bottom w:w="80" w:type="dxa"/>
              <w:end w:w="100" w:type="dxa"/>
            </w:tcMar>
          </w:tcPr>
          <w:p>
            <w:pPr>
              <w:spacing w:after="0"/>
              <w:jc w:val="center"/>
            </w:pPr>
            <w:r>
              <w:rPr>
                <w:rFonts w:ascii="Calibri" w:hAnsi="Calibri"/>
                <w:b/>
                <w:color w:val="FFFFFF"/>
                <w:sz w:val="17"/>
              </w:rPr>
              <w:t>Priorität</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7"/>
              </w:rPr>
              <w:t>Profitables Nischen-SaaS</w:t>
            </w:r>
          </w:p>
        </w:tc>
        <w:tc>
          <w:tcPr>
            <w:tcW w:type="dxa" w:w="4139"/>
            <w:vAlign w:val="center"/>
            <w:tcMar>
              <w:top w:w="80" w:type="dxa"/>
              <w:start w:w="100" w:type="dxa"/>
              <w:bottom w:w="80" w:type="dxa"/>
              <w:end w:w="100" w:type="dxa"/>
            </w:tcMar>
          </w:tcPr>
          <w:p>
            <w:pPr>
              <w:spacing w:after="0"/>
              <w:jc w:val="right"/>
            </w:pPr>
            <w:r>
              <w:rPr>
                <w:rFonts w:ascii="Calibri" w:hAnsi="Calibri"/>
                <w:sz w:val="17"/>
              </w:rPr>
              <w:t>200–300 Kunden, geringe Churn, kleines Team</w:t>
            </w:r>
          </w:p>
        </w:tc>
        <w:tc>
          <w:tcPr>
            <w:tcW w:type="dxa" w:w="1757"/>
            <w:vAlign w:val="center"/>
            <w:tcMar>
              <w:top w:w="80" w:type="dxa"/>
              <w:start w:w="100" w:type="dxa"/>
              <w:bottom w:w="80" w:type="dxa"/>
              <w:end w:w="100" w:type="dxa"/>
            </w:tcMar>
          </w:tcPr>
          <w:p>
            <w:pPr>
              <w:spacing w:after="0"/>
              <w:jc w:val="right"/>
            </w:pPr>
            <w:r>
              <w:rPr>
                <w:rFonts w:ascii="Calibri" w:hAnsi="Calibri"/>
                <w:sz w:val="17"/>
              </w:rPr>
              <w:t>3–5 Jahre</w:t>
            </w:r>
          </w:p>
        </w:tc>
        <w:tc>
          <w:tcPr>
            <w:tcW w:type="dxa" w:w="1701"/>
            <w:vAlign w:val="center"/>
            <w:tcMar>
              <w:top w:w="80" w:type="dxa"/>
              <w:start w:w="100" w:type="dxa"/>
              <w:bottom w:w="80" w:type="dxa"/>
              <w:end w:w="100" w:type="dxa"/>
            </w:tcMar>
          </w:tcPr>
          <w:p>
            <w:pPr>
              <w:spacing w:after="0"/>
              <w:jc w:val="right"/>
            </w:pPr>
            <w:r>
              <w:rPr>
                <w:rFonts w:ascii="Calibri" w:hAnsi="Calibri"/>
                <w:sz w:val="17"/>
              </w:rPr>
              <w:t>Primär</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7"/>
              </w:rPr>
              <w:t>Europäische Expansion</w:t>
            </w:r>
          </w:p>
        </w:tc>
        <w:tc>
          <w:tcPr>
            <w:tcW w:type="dxa" w:w="4139"/>
            <w:vAlign w:val="center"/>
            <w:tcMar>
              <w:top w:w="80" w:type="dxa"/>
              <w:start w:w="100" w:type="dxa"/>
              <w:bottom w:w="80" w:type="dxa"/>
              <w:end w:w="100" w:type="dxa"/>
            </w:tcMar>
            <w:shd w:fill="F3F7F9"/>
          </w:tcPr>
          <w:p>
            <w:pPr>
              <w:spacing w:after="0"/>
              <w:jc w:val="right"/>
            </w:pPr>
            <w:r>
              <w:rPr>
                <w:rFonts w:ascii="Calibri" w:hAnsi="Calibri"/>
                <w:sz w:val="17"/>
              </w:rPr>
              <w:t>Deutschland-PMF, englisches Produkt, Rechte</w:t>
            </w:r>
          </w:p>
        </w:tc>
        <w:tc>
          <w:tcPr>
            <w:tcW w:type="dxa" w:w="1757"/>
            <w:vAlign w:val="center"/>
            <w:tcMar>
              <w:top w:w="80" w:type="dxa"/>
              <w:start w:w="100" w:type="dxa"/>
              <w:bottom w:w="80" w:type="dxa"/>
              <w:end w:w="100" w:type="dxa"/>
            </w:tcMar>
            <w:shd w:fill="F3F7F9"/>
          </w:tcPr>
          <w:p>
            <w:pPr>
              <w:spacing w:after="0"/>
              <w:jc w:val="right"/>
            </w:pPr>
            <w:r>
              <w:rPr>
                <w:rFonts w:ascii="Calibri" w:hAnsi="Calibri"/>
                <w:sz w:val="17"/>
              </w:rPr>
              <w:t>ab Jahr 3</w:t>
            </w:r>
          </w:p>
        </w:tc>
        <w:tc>
          <w:tcPr>
            <w:tcW w:type="dxa" w:w="1701"/>
            <w:vAlign w:val="center"/>
            <w:tcMar>
              <w:top w:w="80" w:type="dxa"/>
              <w:start w:w="100" w:type="dxa"/>
              <w:bottom w:w="80" w:type="dxa"/>
              <w:end w:w="100" w:type="dxa"/>
            </w:tcMar>
            <w:shd w:fill="F3F7F9"/>
          </w:tcPr>
          <w:p>
            <w:pPr>
              <w:spacing w:after="0"/>
              <w:jc w:val="right"/>
            </w:pPr>
            <w:r>
              <w:rPr>
                <w:rFonts w:ascii="Calibri" w:hAnsi="Calibri"/>
                <w:sz w:val="17"/>
              </w:rPr>
              <w:t>Sekundär</w:t>
            </w:r>
          </w:p>
        </w:tc>
      </w:tr>
      <w:tr>
        <w:trPr>
          <w:cantSplit/>
        </w:trPr>
        <w:tc>
          <w:tcPr>
            <w:tcW w:type="dxa" w:w="2438"/>
            <w:vAlign w:val="center"/>
            <w:tcMar>
              <w:top w:w="80" w:type="dxa"/>
              <w:start w:w="100" w:type="dxa"/>
              <w:bottom w:w="80" w:type="dxa"/>
              <w:end w:w="100" w:type="dxa"/>
            </w:tcMar>
          </w:tcPr>
          <w:p>
            <w:pPr>
              <w:spacing w:after="0"/>
              <w:jc w:val="left"/>
            </w:pPr>
            <w:r>
              <w:rPr>
                <w:rFonts w:ascii="Calibri" w:hAnsi="Calibri"/>
                <w:b/>
                <w:sz w:val="17"/>
              </w:rPr>
              <w:t>US-Expansion</w:t>
            </w:r>
          </w:p>
        </w:tc>
        <w:tc>
          <w:tcPr>
            <w:tcW w:type="dxa" w:w="4139"/>
            <w:vAlign w:val="center"/>
            <w:tcMar>
              <w:top w:w="80" w:type="dxa"/>
              <w:start w:w="100" w:type="dxa"/>
              <w:bottom w:w="80" w:type="dxa"/>
              <w:end w:w="100" w:type="dxa"/>
            </w:tcMar>
          </w:tcPr>
          <w:p>
            <w:pPr>
              <w:spacing w:after="0"/>
              <w:jc w:val="right"/>
            </w:pPr>
            <w:r>
              <w:rPr>
                <w:rFonts w:ascii="Calibri" w:hAnsi="Calibri"/>
                <w:sz w:val="17"/>
              </w:rPr>
              <w:t>US-Rechte, Support, Salespartner, Rechtsprüfung</w:t>
            </w:r>
          </w:p>
        </w:tc>
        <w:tc>
          <w:tcPr>
            <w:tcW w:type="dxa" w:w="1757"/>
            <w:vAlign w:val="center"/>
            <w:tcMar>
              <w:top w:w="80" w:type="dxa"/>
              <w:start w:w="100" w:type="dxa"/>
              <w:bottom w:w="80" w:type="dxa"/>
              <w:end w:w="100" w:type="dxa"/>
            </w:tcMar>
          </w:tcPr>
          <w:p>
            <w:pPr>
              <w:spacing w:after="0"/>
              <w:jc w:val="right"/>
            </w:pPr>
            <w:r>
              <w:rPr>
                <w:rFonts w:ascii="Calibri" w:hAnsi="Calibri"/>
                <w:sz w:val="17"/>
              </w:rPr>
              <w:t>ab Jahr 4/5</w:t>
            </w:r>
          </w:p>
        </w:tc>
        <w:tc>
          <w:tcPr>
            <w:tcW w:type="dxa" w:w="1701"/>
            <w:vAlign w:val="center"/>
            <w:tcMar>
              <w:top w:w="80" w:type="dxa"/>
              <w:start w:w="100" w:type="dxa"/>
              <w:bottom w:w="80" w:type="dxa"/>
              <w:end w:w="100" w:type="dxa"/>
            </w:tcMar>
          </w:tcPr>
          <w:p>
            <w:pPr>
              <w:spacing w:after="0"/>
              <w:jc w:val="right"/>
            </w:pPr>
            <w:r>
              <w:rPr>
                <w:rFonts w:ascii="Calibri" w:hAnsi="Calibri"/>
                <w:sz w:val="17"/>
              </w:rPr>
              <w:t>Optional</w:t>
            </w:r>
          </w:p>
        </w:tc>
      </w:tr>
      <w:tr>
        <w:trPr>
          <w:cantSplit/>
        </w:trPr>
        <w:tc>
          <w:tcPr>
            <w:tcW w:type="dxa" w:w="2438"/>
            <w:vAlign w:val="center"/>
            <w:tcMar>
              <w:top w:w="80" w:type="dxa"/>
              <w:start w:w="100" w:type="dxa"/>
              <w:bottom w:w="80" w:type="dxa"/>
              <w:end w:w="100" w:type="dxa"/>
            </w:tcMar>
            <w:shd w:fill="F3F7F9"/>
          </w:tcPr>
          <w:p>
            <w:pPr>
              <w:spacing w:after="0"/>
              <w:jc w:val="left"/>
            </w:pPr>
            <w:r>
              <w:rPr>
                <w:rFonts w:ascii="Calibri" w:hAnsi="Calibri"/>
                <w:b/>
                <w:sz w:val="17"/>
              </w:rPr>
              <w:t>Strategischer Verkauf</w:t>
            </w:r>
          </w:p>
        </w:tc>
        <w:tc>
          <w:tcPr>
            <w:tcW w:type="dxa" w:w="4139"/>
            <w:vAlign w:val="center"/>
            <w:tcMar>
              <w:top w:w="80" w:type="dxa"/>
              <w:start w:w="100" w:type="dxa"/>
              <w:bottom w:w="80" w:type="dxa"/>
              <w:end w:w="100" w:type="dxa"/>
            </w:tcMar>
            <w:shd w:fill="F3F7F9"/>
          </w:tcPr>
          <w:p>
            <w:pPr>
              <w:spacing w:after="0"/>
              <w:jc w:val="right"/>
            </w:pPr>
            <w:r>
              <w:rPr>
                <w:rFonts w:ascii="Calibri" w:hAnsi="Calibri"/>
                <w:sz w:val="17"/>
              </w:rPr>
              <w:t>ARR-Qualität, IP-Chain, Datenasset, NRR</w:t>
            </w:r>
          </w:p>
        </w:tc>
        <w:tc>
          <w:tcPr>
            <w:tcW w:type="dxa" w:w="1757"/>
            <w:vAlign w:val="center"/>
            <w:tcMar>
              <w:top w:w="80" w:type="dxa"/>
              <w:start w:w="100" w:type="dxa"/>
              <w:bottom w:w="80" w:type="dxa"/>
              <w:end w:w="100" w:type="dxa"/>
            </w:tcMar>
            <w:shd w:fill="F3F7F9"/>
          </w:tcPr>
          <w:p>
            <w:pPr>
              <w:spacing w:after="0"/>
              <w:jc w:val="right"/>
            </w:pPr>
            <w:r>
              <w:rPr>
                <w:rFonts w:ascii="Calibri" w:hAnsi="Calibri"/>
                <w:sz w:val="17"/>
              </w:rPr>
              <w:t>ab Jahr 5</w:t>
            </w:r>
          </w:p>
        </w:tc>
        <w:tc>
          <w:tcPr>
            <w:tcW w:type="dxa" w:w="1701"/>
            <w:vAlign w:val="center"/>
            <w:tcMar>
              <w:top w:w="80" w:type="dxa"/>
              <w:start w:w="100" w:type="dxa"/>
              <w:bottom w:w="80" w:type="dxa"/>
              <w:end w:w="100" w:type="dxa"/>
            </w:tcMar>
            <w:shd w:fill="F3F7F9"/>
          </w:tcPr>
          <w:p>
            <w:pPr>
              <w:spacing w:after="0"/>
              <w:jc w:val="right"/>
            </w:pPr>
            <w:r>
              <w:rPr>
                <w:rFonts w:ascii="Calibri" w:hAnsi="Calibri"/>
                <w:sz w:val="17"/>
              </w:rPr>
              <w:t>Opportunistisch</w:t>
            </w:r>
          </w:p>
        </w:tc>
      </w:tr>
    </w:tbl>
    <w:p>
      <w:pPr>
        <w:spacing w:after="20"/>
      </w:pPr>
    </w:p>
    <w:p>
      <w:r>
        <w:t>Exit-Readiness-KPIs: Anteil wiederkehrender Umsätze &gt;80%, NRR ≥100%, Bruttomarge &gt;70%, Vollkosten-CAC-Payback &lt;12 Monate, geringe Kundenkonzentration, vollständige IP-Chain-of-Title und dokumentierte Modell-/Daten-Governance.</w:t>
      </w:r>
    </w:p>
    <w:p>
      <w:r>
        <w:br w:type="page"/>
      </w:r>
    </w:p>
    <w:p>
      <w:pPr>
        <w:pStyle w:val="Heading1"/>
      </w:pPr>
      <w:r>
        <w:t>20. Abschließende Investitionsargumentation</w:t>
      </w:r>
    </w:p>
    <w:p>
      <w:r>
        <w:t>Das Vorhaben besitzt eine ungewöhnlich starke Kombination aus technischer Gründerqualität, vorhandener öffentlicher Resonanz und nahezu marktreifem Produkt. Gleichzeitig sind die entscheidenden kommerziellen Beweise noch offen. Für eine institutionelle Beteiligung fehlen zahlende Kunden, Kohorten-Retention, wiederholbare Akquisition, geklärte IP-/Datenrechte und ein hinreichender Team-Zeitcommitment.</w:t>
      </w:r>
    </w:p>
    <w:tbl>
      <w:tblPr>
        <w:tblStyle w:val="TableGrid"/>
        <w:tblW w:type="auto" w:w="0"/>
        <w:jc w:val="center"/>
        <w:tblLayout w:type="fixed"/>
        <w:tblLook w:firstColumn="1" w:firstRow="1" w:lastColumn="0" w:lastRow="0" w:noHBand="0" w:noVBand="1" w:val="04A0"/>
      </w:tblPr>
      <w:tblGrid>
        <w:gridCol w:w="3283"/>
        <w:gridCol w:w="3283"/>
        <w:gridCol w:w="3283"/>
      </w:tblGrid>
      <w:tr>
        <w:trPr>
          <w:tblHeader w:val="true"/>
        </w:trPr>
        <w:tc>
          <w:tcPr>
            <w:tcW w:type="dxa" w:w="3515"/>
            <w:shd w:fill="1F5A7A"/>
            <w:vAlign w:val="center"/>
            <w:tcMar>
              <w:top w:w="80" w:type="dxa"/>
              <w:start w:w="100" w:type="dxa"/>
              <w:bottom w:w="80" w:type="dxa"/>
              <w:end w:w="100" w:type="dxa"/>
            </w:tcMar>
          </w:tcPr>
          <w:p>
            <w:pPr>
              <w:spacing w:after="0"/>
              <w:jc w:val="center"/>
            </w:pPr>
            <w:r>
              <w:rPr>
                <w:rFonts w:ascii="Calibri" w:hAnsi="Calibri"/>
                <w:b/>
                <w:color w:val="FFFFFF"/>
                <w:sz w:val="17"/>
              </w:rPr>
              <w:t>Argument für</w:t>
            </w:r>
          </w:p>
        </w:tc>
        <w:tc>
          <w:tcPr>
            <w:tcW w:type="dxa" w:w="4025"/>
            <w:shd w:fill="1F5A7A"/>
            <w:vAlign w:val="center"/>
            <w:tcMar>
              <w:top w:w="80" w:type="dxa"/>
              <w:start w:w="100" w:type="dxa"/>
              <w:bottom w:w="80" w:type="dxa"/>
              <w:end w:w="100" w:type="dxa"/>
            </w:tcMar>
          </w:tcPr>
          <w:p>
            <w:pPr>
              <w:spacing w:after="0"/>
              <w:jc w:val="center"/>
            </w:pPr>
            <w:r>
              <w:rPr>
                <w:rFonts w:ascii="Calibri" w:hAnsi="Calibri"/>
                <w:b/>
                <w:color w:val="FFFFFF"/>
                <w:sz w:val="17"/>
              </w:rPr>
              <w:t>Argument gegen</w:t>
            </w:r>
          </w:p>
        </w:tc>
        <w:tc>
          <w:tcPr>
            <w:tcW w:type="dxa" w:w="2664"/>
            <w:shd w:fill="1F5A7A"/>
            <w:vAlign w:val="center"/>
            <w:tcMar>
              <w:top w:w="80" w:type="dxa"/>
              <w:start w:w="100" w:type="dxa"/>
              <w:bottom w:w="80" w:type="dxa"/>
              <w:end w:w="100" w:type="dxa"/>
            </w:tcMar>
          </w:tcPr>
          <w:p>
            <w:pPr>
              <w:spacing w:after="0"/>
              <w:jc w:val="center"/>
            </w:pPr>
            <w:r>
              <w:rPr>
                <w:rFonts w:ascii="Calibri" w:hAnsi="Calibri"/>
                <w:b/>
                <w:color w:val="FFFFFF"/>
                <w:sz w:val="17"/>
              </w:rPr>
              <w:t>Urteil</w:t>
            </w:r>
          </w:p>
        </w:tc>
      </w:tr>
      <w:tr>
        <w:trPr>
          <w:cantSplit/>
        </w:trPr>
        <w:tc>
          <w:tcPr>
            <w:tcW w:type="dxa" w:w="3515"/>
            <w:vAlign w:val="center"/>
            <w:tcMar>
              <w:top w:w="80" w:type="dxa"/>
              <w:start w:w="100" w:type="dxa"/>
              <w:bottom w:w="80" w:type="dxa"/>
              <w:end w:w="100" w:type="dxa"/>
            </w:tcMar>
          </w:tcPr>
          <w:p>
            <w:pPr>
              <w:spacing w:after="0"/>
              <w:jc w:val="left"/>
            </w:pPr>
            <w:r>
              <w:rPr>
                <w:rFonts w:ascii="Calibri" w:hAnsi="Calibri"/>
                <w:b/>
                <w:sz w:val="17"/>
              </w:rPr>
              <w:t>Technisch glaubwürdiges Founder-Team</w:t>
            </w:r>
          </w:p>
        </w:tc>
        <w:tc>
          <w:tcPr>
            <w:tcW w:type="dxa" w:w="4025"/>
            <w:vAlign w:val="center"/>
            <w:tcMar>
              <w:top w:w="80" w:type="dxa"/>
              <w:start w:w="100" w:type="dxa"/>
              <w:bottom w:w="80" w:type="dxa"/>
              <w:end w:w="100" w:type="dxa"/>
            </w:tcMar>
          </w:tcPr>
          <w:p>
            <w:pPr>
              <w:spacing w:after="0"/>
              <w:jc w:val="right"/>
            </w:pPr>
            <w:r>
              <w:rPr>
                <w:rFonts w:ascii="Calibri" w:hAnsi="Calibri"/>
                <w:sz w:val="17"/>
              </w:rPr>
              <w:t>Nur ca. 20 Founder-Stunden/Woche gesamt</w:t>
            </w:r>
          </w:p>
        </w:tc>
        <w:tc>
          <w:tcPr>
            <w:tcW w:type="dxa" w:w="2664"/>
            <w:vAlign w:val="center"/>
            <w:tcMar>
              <w:top w:w="80" w:type="dxa"/>
              <w:start w:w="100" w:type="dxa"/>
              <w:bottom w:w="80" w:type="dxa"/>
              <w:end w:w="100" w:type="dxa"/>
            </w:tcMar>
          </w:tcPr>
          <w:p>
            <w:pPr>
              <w:spacing w:after="0"/>
              <w:jc w:val="right"/>
            </w:pPr>
            <w:r>
              <w:rPr>
                <w:rFonts w:ascii="Calibri" w:hAnsi="Calibri"/>
                <w:sz w:val="17"/>
              </w:rPr>
              <w:t>Kapazität strikt priorisieren</w:t>
            </w:r>
          </w:p>
        </w:tc>
      </w:tr>
      <w:tr>
        <w:trPr>
          <w:cantSplit/>
        </w:trPr>
        <w:tc>
          <w:tcPr>
            <w:tcW w:type="dxa" w:w="3515"/>
            <w:vAlign w:val="center"/>
            <w:tcMar>
              <w:top w:w="80" w:type="dxa"/>
              <w:start w:w="100" w:type="dxa"/>
              <w:bottom w:w="80" w:type="dxa"/>
              <w:end w:w="100" w:type="dxa"/>
            </w:tcMar>
            <w:shd w:fill="F3F7F9"/>
          </w:tcPr>
          <w:p>
            <w:pPr>
              <w:spacing w:after="0"/>
              <w:jc w:val="left"/>
            </w:pPr>
            <w:r>
              <w:rPr>
                <w:rFonts w:ascii="Calibri" w:hAnsi="Calibri"/>
                <w:b/>
                <w:sz w:val="17"/>
              </w:rPr>
              <w:t>Belegte Nutzer-/Medienresonanz</w:t>
            </w:r>
          </w:p>
        </w:tc>
        <w:tc>
          <w:tcPr>
            <w:tcW w:type="dxa" w:w="4025"/>
            <w:vAlign w:val="center"/>
            <w:tcMar>
              <w:top w:w="80" w:type="dxa"/>
              <w:start w:w="100" w:type="dxa"/>
              <w:bottom w:w="80" w:type="dxa"/>
              <w:end w:w="100" w:type="dxa"/>
            </w:tcMar>
            <w:shd w:fill="F3F7F9"/>
          </w:tcPr>
          <w:p>
            <w:pPr>
              <w:spacing w:after="0"/>
              <w:jc w:val="right"/>
            </w:pPr>
            <w:r>
              <w:rPr>
                <w:rFonts w:ascii="Calibri" w:hAnsi="Calibri"/>
                <w:sz w:val="17"/>
              </w:rPr>
              <w:t>Eventabhängig; keine bezahlte B2B-Traktion</w:t>
            </w:r>
          </w:p>
        </w:tc>
        <w:tc>
          <w:tcPr>
            <w:tcW w:type="dxa" w:w="2664"/>
            <w:vAlign w:val="center"/>
            <w:tcMar>
              <w:top w:w="80" w:type="dxa"/>
              <w:start w:w="100" w:type="dxa"/>
              <w:bottom w:w="80" w:type="dxa"/>
              <w:end w:w="100" w:type="dxa"/>
            </w:tcMar>
            <w:shd w:fill="F3F7F9"/>
          </w:tcPr>
          <w:p>
            <w:pPr>
              <w:spacing w:after="0"/>
              <w:jc w:val="right"/>
            </w:pPr>
            <w:r>
              <w:rPr>
                <w:rFonts w:ascii="Calibri" w:hAnsi="Calibri"/>
                <w:sz w:val="17"/>
              </w:rPr>
              <w:t>Guter Lead-Magnet, kein PMF-Beweis</w:t>
            </w:r>
          </w:p>
        </w:tc>
      </w:tr>
      <w:tr>
        <w:trPr>
          <w:cantSplit/>
        </w:trPr>
        <w:tc>
          <w:tcPr>
            <w:tcW w:type="dxa" w:w="3515"/>
            <w:vAlign w:val="center"/>
            <w:tcMar>
              <w:top w:w="80" w:type="dxa"/>
              <w:start w:w="100" w:type="dxa"/>
              <w:bottom w:w="80" w:type="dxa"/>
              <w:end w:w="100" w:type="dxa"/>
            </w:tcMar>
          </w:tcPr>
          <w:p>
            <w:pPr>
              <w:spacing w:after="0"/>
              <w:jc w:val="left"/>
            </w:pPr>
            <w:r>
              <w:rPr>
                <w:rFonts w:ascii="Calibri" w:hAnsi="Calibri"/>
                <w:b/>
                <w:sz w:val="17"/>
              </w:rPr>
              <w:t>Niedrige heutige Infrastrukturkosten</w:t>
            </w:r>
          </w:p>
        </w:tc>
        <w:tc>
          <w:tcPr>
            <w:tcW w:type="dxa" w:w="4025"/>
            <w:vAlign w:val="center"/>
            <w:tcMar>
              <w:top w:w="80" w:type="dxa"/>
              <w:start w:w="100" w:type="dxa"/>
              <w:bottom w:w="80" w:type="dxa"/>
              <w:end w:w="100" w:type="dxa"/>
            </w:tcMar>
          </w:tcPr>
          <w:p>
            <w:pPr>
              <w:spacing w:after="0"/>
              <w:jc w:val="right"/>
            </w:pPr>
            <w:r>
              <w:rPr>
                <w:rFonts w:ascii="Calibri" w:hAnsi="Calibri"/>
                <w:sz w:val="17"/>
              </w:rPr>
              <w:t>Recht, Vertrieb, Support und Gründerzeit fehlen in Ist-Kosten</w:t>
            </w:r>
          </w:p>
        </w:tc>
        <w:tc>
          <w:tcPr>
            <w:tcW w:type="dxa" w:w="2664"/>
            <w:vAlign w:val="center"/>
            <w:tcMar>
              <w:top w:w="80" w:type="dxa"/>
              <w:start w:w="100" w:type="dxa"/>
              <w:bottom w:w="80" w:type="dxa"/>
              <w:end w:w="100" w:type="dxa"/>
            </w:tcMar>
          </w:tcPr>
          <w:p>
            <w:pPr>
              <w:spacing w:after="0"/>
              <w:jc w:val="right"/>
            </w:pPr>
            <w:r>
              <w:rPr>
                <w:rFonts w:ascii="Calibri" w:hAnsi="Calibri"/>
                <w:sz w:val="17"/>
              </w:rPr>
              <w:t>Schattenrechnung beibehalten</w:t>
            </w:r>
          </w:p>
        </w:tc>
      </w:tr>
      <w:tr>
        <w:trPr>
          <w:cantSplit/>
        </w:trPr>
        <w:tc>
          <w:tcPr>
            <w:tcW w:type="dxa" w:w="3515"/>
            <w:vAlign w:val="center"/>
            <w:tcMar>
              <w:top w:w="80" w:type="dxa"/>
              <w:start w:w="100" w:type="dxa"/>
              <w:bottom w:w="80" w:type="dxa"/>
              <w:end w:w="100" w:type="dxa"/>
            </w:tcMar>
            <w:shd w:fill="F3F7F9"/>
          </w:tcPr>
          <w:p>
            <w:pPr>
              <w:spacing w:after="0"/>
              <w:jc w:val="left"/>
            </w:pPr>
            <w:r>
              <w:rPr>
                <w:rFonts w:ascii="Calibri" w:hAnsi="Calibri"/>
                <w:b/>
                <w:sz w:val="17"/>
              </w:rPr>
              <w:t>SaaS mit potenziell guter Marge</w:t>
            </w:r>
          </w:p>
        </w:tc>
        <w:tc>
          <w:tcPr>
            <w:tcW w:type="dxa" w:w="4025"/>
            <w:vAlign w:val="center"/>
            <w:tcMar>
              <w:top w:w="80" w:type="dxa"/>
              <w:start w:w="100" w:type="dxa"/>
              <w:bottom w:w="80" w:type="dxa"/>
              <w:end w:w="100" w:type="dxa"/>
            </w:tcMar>
            <w:shd w:fill="F3F7F9"/>
          </w:tcPr>
          <w:p>
            <w:pPr>
              <w:spacing w:after="0"/>
              <w:jc w:val="right"/>
            </w:pPr>
            <w:r>
              <w:rPr>
                <w:rFonts w:ascii="Calibri" w:hAnsi="Calibri"/>
                <w:sz w:val="17"/>
              </w:rPr>
              <w:t>ARPA/Churn/CAC unvalidiert</w:t>
            </w:r>
          </w:p>
        </w:tc>
        <w:tc>
          <w:tcPr>
            <w:tcW w:type="dxa" w:w="2664"/>
            <w:vAlign w:val="center"/>
            <w:tcMar>
              <w:top w:w="80" w:type="dxa"/>
              <w:start w:w="100" w:type="dxa"/>
              <w:bottom w:w="80" w:type="dxa"/>
              <w:end w:w="100" w:type="dxa"/>
            </w:tcMar>
            <w:shd w:fill="F3F7F9"/>
          </w:tcPr>
          <w:p>
            <w:pPr>
              <w:spacing w:after="0"/>
              <w:jc w:val="right"/>
            </w:pPr>
            <w:r>
              <w:rPr>
                <w:rFonts w:ascii="Calibri" w:hAnsi="Calibri"/>
                <w:sz w:val="17"/>
              </w:rPr>
              <w:t>Paid-Pilot-Phase zwingend</w:t>
            </w:r>
          </w:p>
        </w:tc>
      </w:tr>
      <w:tr>
        <w:trPr>
          <w:cantSplit/>
        </w:trPr>
        <w:tc>
          <w:tcPr>
            <w:tcW w:type="dxa" w:w="3515"/>
            <w:vAlign w:val="center"/>
            <w:tcMar>
              <w:top w:w="80" w:type="dxa"/>
              <w:start w:w="100" w:type="dxa"/>
              <w:bottom w:w="80" w:type="dxa"/>
              <w:end w:w="100" w:type="dxa"/>
            </w:tcMar>
          </w:tcPr>
          <w:p>
            <w:pPr>
              <w:spacing w:after="0"/>
              <w:jc w:val="left"/>
            </w:pPr>
            <w:r>
              <w:rPr>
                <w:rFonts w:ascii="Calibri" w:hAnsi="Calibri"/>
                <w:b/>
                <w:sz w:val="17"/>
              </w:rPr>
              <w:t>Erklärbarkeit und Wissenschaft</w:t>
            </w:r>
          </w:p>
        </w:tc>
        <w:tc>
          <w:tcPr>
            <w:tcW w:type="dxa" w:w="4025"/>
            <w:vAlign w:val="center"/>
            <w:tcMar>
              <w:top w:w="80" w:type="dxa"/>
              <w:start w:w="100" w:type="dxa"/>
              <w:bottom w:w="80" w:type="dxa"/>
              <w:end w:w="100" w:type="dxa"/>
            </w:tcMar>
          </w:tcPr>
          <w:p>
            <w:pPr>
              <w:spacing w:after="0"/>
              <w:jc w:val="right"/>
            </w:pPr>
            <w:r>
              <w:rPr>
                <w:rFonts w:ascii="Calibri" w:hAnsi="Calibri"/>
                <w:sz w:val="17"/>
              </w:rPr>
              <w:t>Prompts leicht kopierbar; Paperstatus offen</w:t>
            </w:r>
          </w:p>
        </w:tc>
        <w:tc>
          <w:tcPr>
            <w:tcW w:type="dxa" w:w="2664"/>
            <w:vAlign w:val="center"/>
            <w:tcMar>
              <w:top w:w="80" w:type="dxa"/>
              <w:start w:w="100" w:type="dxa"/>
              <w:bottom w:w="80" w:type="dxa"/>
              <w:end w:w="100" w:type="dxa"/>
            </w:tcMar>
          </w:tcPr>
          <w:p>
            <w:pPr>
              <w:spacing w:after="0"/>
              <w:jc w:val="right"/>
            </w:pPr>
            <w:r>
              <w:rPr>
                <w:rFonts w:ascii="Calibri" w:hAnsi="Calibri"/>
                <w:sz w:val="17"/>
              </w:rPr>
              <w:t>Daten-/Benchmark-Moat aufbauen</w:t>
            </w:r>
          </w:p>
        </w:tc>
      </w:tr>
    </w:tbl>
    <w:p>
      <w:pPr>
        <w:spacing w:after="20"/>
      </w:pPr>
    </w:p>
    <w:tbl>
      <w:tblPr>
        <w:tblW w:type="auto" w:w="0"/>
        <w:jc w:val="center"/>
        <w:tblLook w:firstColumn="1" w:firstRow="1" w:lastColumn="0" w:lastRow="0" w:noHBand="0" w:noVBand="1" w:val="04A0"/>
      </w:tblPr>
      <w:tblGrid>
        <w:gridCol w:w="9850"/>
      </w:tblGrid>
      <w:tr>
        <w:tc>
          <w:tcPr>
            <w:tcW w:type="dxa" w:w="9850"/>
            <w:shd w:fill="DDEFF5"/>
            <w:tcMar>
              <w:top w:w="140" w:type="dxa"/>
              <w:start w:w="180" w:type="dxa"/>
              <w:bottom w:w="140" w:type="dxa"/>
              <w:end w:w="180" w:type="dxa"/>
            </w:tcMar>
          </w:tcPr>
          <w:p>
            <w:pPr>
              <w:pStyle w:val="Callout"/>
            </w:pPr>
            <w:r>
              <w:rPr>
                <w:b/>
              </w:rPr>
              <w:t xml:space="preserve">Finales Votum — </w:t>
            </w:r>
            <w:r>
              <w:t>Conditional Go für einen 90-tägigen, bootstrapped Markttest; No-Go für eine Equity-Runde zum jetzigen Zeitpunkt. Investierbarkeit entsteht erst nach 3–5 zahlenden Designpartnern, geklärten Rechten und einer reproduzierbaren Prognose-Scorecard.</w:t>
            </w:r>
          </w:p>
        </w:tc>
      </w:tr>
    </w:tbl>
    <w:p>
      <w:pPr>
        <w:spacing w:after="20"/>
      </w:pPr>
    </w:p>
    <w:p>
      <w:r>
        <w:br w:type="page"/>
      </w:r>
    </w:p>
    <w:p>
      <w:pPr>
        <w:pStyle w:val="Heading1"/>
      </w:pPr>
      <w:r>
        <w:t>Investment-Committee-Check und eingearbeitete Überarbeitung</w:t>
      </w:r>
    </w:p>
    <w:p>
      <w:r>
        <w:t>Ein skeptisches Investment Committee würde das Vorhaben aktuell nicht aufgrund der Medienreichweite finanzieren. Die folgende Prüfung wurde als Red-Team-Schritt durchgeführt; die daraus abgeleiteten Änderungen sind bereits in dieser finalen Fassung umgesetzt.</w:t>
      </w:r>
    </w:p>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4"/>
              </w:rPr>
              <w:t>Kriterium</w:t>
            </w:r>
          </w:p>
        </w:tc>
        <w:tc>
          <w:tcPr>
            <w:tcW w:type="dxa" w:w="1247"/>
            <w:shd w:fill="1F5A7A"/>
            <w:vAlign w:val="center"/>
            <w:tcMar>
              <w:top w:w="80" w:type="dxa"/>
              <w:start w:w="100" w:type="dxa"/>
              <w:bottom w:w="80" w:type="dxa"/>
              <w:end w:w="100" w:type="dxa"/>
            </w:tcMar>
          </w:tcPr>
          <w:p>
            <w:pPr>
              <w:spacing w:after="0"/>
              <w:jc w:val="center"/>
            </w:pPr>
            <w:r>
              <w:rPr>
                <w:rFonts w:ascii="Calibri" w:hAnsi="Calibri"/>
                <w:b/>
                <w:color w:val="FFFFFF"/>
                <w:sz w:val="14"/>
              </w:rPr>
              <w:t>Score / 5</w:t>
            </w:r>
          </w:p>
        </w:tc>
        <w:tc>
          <w:tcPr>
            <w:tcW w:type="dxa" w:w="3402"/>
            <w:shd w:fill="1F5A7A"/>
            <w:vAlign w:val="center"/>
            <w:tcMar>
              <w:top w:w="80" w:type="dxa"/>
              <w:start w:w="100" w:type="dxa"/>
              <w:bottom w:w="80" w:type="dxa"/>
              <w:end w:w="100" w:type="dxa"/>
            </w:tcMar>
          </w:tcPr>
          <w:p>
            <w:pPr>
              <w:spacing w:after="0"/>
              <w:jc w:val="center"/>
            </w:pPr>
            <w:r>
              <w:rPr>
                <w:rFonts w:ascii="Calibri" w:hAnsi="Calibri"/>
                <w:b/>
                <w:color w:val="FFFFFF"/>
                <w:sz w:val="14"/>
              </w:rPr>
              <w:t>IC-Kritik</w:t>
            </w:r>
          </w:p>
        </w:tc>
        <w:tc>
          <w:tcPr>
            <w:tcW w:type="dxa" w:w="3402"/>
            <w:shd w:fill="1F5A7A"/>
            <w:vAlign w:val="center"/>
            <w:tcMar>
              <w:top w:w="80" w:type="dxa"/>
              <w:start w:w="100" w:type="dxa"/>
              <w:bottom w:w="80" w:type="dxa"/>
              <w:end w:w="100" w:type="dxa"/>
            </w:tcMar>
          </w:tcPr>
          <w:p>
            <w:pPr>
              <w:spacing w:after="0"/>
              <w:jc w:val="center"/>
            </w:pPr>
            <w:r>
              <w:rPr>
                <w:rFonts w:ascii="Calibri" w:hAnsi="Calibri"/>
                <w:b/>
                <w:color w:val="FFFFFF"/>
                <w:sz w:val="14"/>
              </w:rPr>
              <w:t>Eingearbeitete Änderung</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4"/>
              </w:rPr>
              <w:t>Problem/Kundenbedarf</w:t>
            </w:r>
          </w:p>
        </w:tc>
        <w:tc>
          <w:tcPr>
            <w:tcW w:type="dxa" w:w="1247"/>
            <w:vAlign w:val="center"/>
            <w:tcMar>
              <w:top w:w="80" w:type="dxa"/>
              <w:start w:w="100" w:type="dxa"/>
              <w:bottom w:w="80" w:type="dxa"/>
              <w:end w:w="100" w:type="dxa"/>
            </w:tcMar>
          </w:tcPr>
          <w:p>
            <w:pPr>
              <w:spacing w:after="0"/>
              <w:jc w:val="right"/>
            </w:pPr>
            <w:r>
              <w:rPr>
                <w:rFonts w:ascii="Calibri" w:hAnsi="Calibri"/>
                <w:sz w:val="14"/>
              </w:rPr>
              <w:t>3,0</w:t>
            </w:r>
          </w:p>
        </w:tc>
        <w:tc>
          <w:tcPr>
            <w:tcW w:type="dxa" w:w="3402"/>
            <w:vAlign w:val="center"/>
            <w:tcMar>
              <w:top w:w="80" w:type="dxa"/>
              <w:start w:w="100" w:type="dxa"/>
              <w:bottom w:w="80" w:type="dxa"/>
              <w:end w:w="100" w:type="dxa"/>
            </w:tcMar>
          </w:tcPr>
          <w:p>
            <w:pPr>
              <w:spacing w:after="0"/>
              <w:jc w:val="right"/>
            </w:pPr>
            <w:r>
              <w:rPr>
                <w:rFonts w:ascii="Calibri" w:hAnsi="Calibri"/>
                <w:sz w:val="14"/>
              </w:rPr>
              <w:t>Interesse, aber keine Zahlungsdaten</w:t>
            </w:r>
          </w:p>
        </w:tc>
        <w:tc>
          <w:tcPr>
            <w:tcW w:type="dxa" w:w="3402"/>
            <w:vAlign w:val="center"/>
            <w:tcMar>
              <w:top w:w="80" w:type="dxa"/>
              <w:start w:w="100" w:type="dxa"/>
              <w:bottom w:w="80" w:type="dxa"/>
              <w:end w:w="100" w:type="dxa"/>
            </w:tcMar>
          </w:tcPr>
          <w:p>
            <w:pPr>
              <w:spacing w:after="0"/>
              <w:jc w:val="right"/>
            </w:pPr>
            <w:r>
              <w:rPr>
                <w:rFonts w:ascii="Calibri" w:hAnsi="Calibri"/>
                <w:sz w:val="14"/>
              </w:rPr>
              <w:t>Paid-Design-Partner als 90-Tage-Gate</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4"/>
              </w:rPr>
              <w:t>Produkt</w:t>
            </w:r>
          </w:p>
        </w:tc>
        <w:tc>
          <w:tcPr>
            <w:tcW w:type="dxa" w:w="1247"/>
            <w:vAlign w:val="center"/>
            <w:tcMar>
              <w:top w:w="80" w:type="dxa"/>
              <w:start w:w="100" w:type="dxa"/>
              <w:bottom w:w="80" w:type="dxa"/>
              <w:end w:w="100" w:type="dxa"/>
            </w:tcMar>
            <w:shd w:fill="F3F7F9"/>
          </w:tcPr>
          <w:p>
            <w:pPr>
              <w:spacing w:after="0"/>
              <w:jc w:val="right"/>
            </w:pPr>
            <w:r>
              <w:rPr>
                <w:rFonts w:ascii="Calibri" w:hAnsi="Calibri"/>
                <w:sz w:val="14"/>
              </w:rPr>
              <w:t>4,0</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nahezu marktreif, aber QA/Rechte offen</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Launch-Gates und vier konkrete Widgets</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4"/>
              </w:rPr>
              <w:t>Markt</w:t>
            </w:r>
          </w:p>
        </w:tc>
        <w:tc>
          <w:tcPr>
            <w:tcW w:type="dxa" w:w="1247"/>
            <w:vAlign w:val="center"/>
            <w:tcMar>
              <w:top w:w="80" w:type="dxa"/>
              <w:start w:w="100" w:type="dxa"/>
              <w:bottom w:w="80" w:type="dxa"/>
              <w:end w:w="100" w:type="dxa"/>
            </w:tcMar>
          </w:tcPr>
          <w:p>
            <w:pPr>
              <w:spacing w:after="0"/>
              <w:jc w:val="right"/>
            </w:pPr>
            <w:r>
              <w:rPr>
                <w:rFonts w:ascii="Calibri" w:hAnsi="Calibri"/>
                <w:sz w:val="14"/>
              </w:rPr>
              <w:t>3,0</w:t>
            </w:r>
          </w:p>
        </w:tc>
        <w:tc>
          <w:tcPr>
            <w:tcW w:type="dxa" w:w="3402"/>
            <w:vAlign w:val="center"/>
            <w:tcMar>
              <w:top w:w="80" w:type="dxa"/>
              <w:start w:w="100" w:type="dxa"/>
              <w:bottom w:w="80" w:type="dxa"/>
              <w:end w:w="100" w:type="dxa"/>
            </w:tcMar>
          </w:tcPr>
          <w:p>
            <w:pPr>
              <w:spacing w:after="0"/>
              <w:jc w:val="right"/>
            </w:pPr>
            <w:r>
              <w:rPr>
                <w:rFonts w:ascii="Calibri" w:hAnsi="Calibri"/>
                <w:sz w:val="14"/>
              </w:rPr>
              <w:t>TAM begrenzt und nur Proxy</w:t>
            </w:r>
          </w:p>
        </w:tc>
        <w:tc>
          <w:tcPr>
            <w:tcW w:type="dxa" w:w="3402"/>
            <w:vAlign w:val="center"/>
            <w:tcMar>
              <w:top w:w="80" w:type="dxa"/>
              <w:start w:w="100" w:type="dxa"/>
              <w:bottom w:w="80" w:type="dxa"/>
              <w:end w:w="100" w:type="dxa"/>
            </w:tcMar>
          </w:tcPr>
          <w:p>
            <w:pPr>
              <w:spacing w:after="0"/>
              <w:jc w:val="right"/>
            </w:pPr>
            <w:r>
              <w:rPr>
                <w:rFonts w:ascii="Calibri" w:hAnsi="Calibri"/>
                <w:sz w:val="14"/>
              </w:rPr>
              <w:t>bottom-up Bandbreite statt Marktfloskel</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4"/>
              </w:rPr>
              <w:t>Traktion</w:t>
            </w:r>
          </w:p>
        </w:tc>
        <w:tc>
          <w:tcPr>
            <w:tcW w:type="dxa" w:w="1247"/>
            <w:vAlign w:val="center"/>
            <w:tcMar>
              <w:top w:w="80" w:type="dxa"/>
              <w:start w:w="100" w:type="dxa"/>
              <w:bottom w:w="80" w:type="dxa"/>
              <w:end w:w="100" w:type="dxa"/>
            </w:tcMar>
            <w:shd w:fill="F3F7F9"/>
          </w:tcPr>
          <w:p>
            <w:pPr>
              <w:spacing w:after="0"/>
              <w:jc w:val="right"/>
            </w:pPr>
            <w:r>
              <w:rPr>
                <w:rFonts w:ascii="Calibri" w:hAnsi="Calibri"/>
                <w:sz w:val="14"/>
              </w:rPr>
              <w:t>3,0</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Reichweite ≠ Retention</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Screenshots präzise ausgewertet; Likes nicht behauptet</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4"/>
              </w:rPr>
              <w:t>Geschäftsmodell</w:t>
            </w:r>
          </w:p>
        </w:tc>
        <w:tc>
          <w:tcPr>
            <w:tcW w:type="dxa" w:w="1247"/>
            <w:vAlign w:val="center"/>
            <w:tcMar>
              <w:top w:w="80" w:type="dxa"/>
              <w:start w:w="100" w:type="dxa"/>
              <w:bottom w:w="80" w:type="dxa"/>
              <w:end w:w="100" w:type="dxa"/>
            </w:tcMar>
          </w:tcPr>
          <w:p>
            <w:pPr>
              <w:spacing w:after="0"/>
              <w:jc w:val="right"/>
            </w:pPr>
            <w:r>
              <w:rPr>
                <w:rFonts w:ascii="Calibri" w:hAnsi="Calibri"/>
                <w:sz w:val="14"/>
              </w:rPr>
              <w:t>2,5</w:t>
            </w:r>
          </w:p>
        </w:tc>
        <w:tc>
          <w:tcPr>
            <w:tcW w:type="dxa" w:w="3402"/>
            <w:vAlign w:val="center"/>
            <w:tcMar>
              <w:top w:w="80" w:type="dxa"/>
              <w:start w:w="100" w:type="dxa"/>
              <w:bottom w:w="80" w:type="dxa"/>
              <w:end w:w="100" w:type="dxa"/>
            </w:tcMar>
          </w:tcPr>
          <w:p>
            <w:pPr>
              <w:spacing w:after="0"/>
              <w:jc w:val="right"/>
            </w:pPr>
            <w:r>
              <w:rPr>
                <w:rFonts w:ascii="Calibri" w:hAnsi="Calibri"/>
                <w:sz w:val="14"/>
              </w:rPr>
              <w:t>ARPA, Churn, RPM unbekannt</w:t>
            </w:r>
          </w:p>
        </w:tc>
        <w:tc>
          <w:tcPr>
            <w:tcW w:type="dxa" w:w="3402"/>
            <w:vAlign w:val="center"/>
            <w:tcMar>
              <w:top w:w="80" w:type="dxa"/>
              <w:start w:w="100" w:type="dxa"/>
              <w:bottom w:w="80" w:type="dxa"/>
              <w:end w:w="100" w:type="dxa"/>
            </w:tcMar>
          </w:tcPr>
          <w:p>
            <w:pPr>
              <w:spacing w:after="0"/>
              <w:jc w:val="right"/>
            </w:pPr>
            <w:r>
              <w:rPr>
                <w:rFonts w:ascii="Calibri" w:hAnsi="Calibri"/>
                <w:sz w:val="14"/>
              </w:rPr>
              <w:t>drei Szenarien + Sensitivität</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4"/>
              </w:rPr>
              <w:t>GTM</w:t>
            </w:r>
          </w:p>
        </w:tc>
        <w:tc>
          <w:tcPr>
            <w:tcW w:type="dxa" w:w="1247"/>
            <w:vAlign w:val="center"/>
            <w:tcMar>
              <w:top w:w="80" w:type="dxa"/>
              <w:start w:w="100" w:type="dxa"/>
              <w:bottom w:w="80" w:type="dxa"/>
              <w:end w:w="100" w:type="dxa"/>
            </w:tcMar>
            <w:shd w:fill="F3F7F9"/>
          </w:tcPr>
          <w:p>
            <w:pPr>
              <w:spacing w:after="0"/>
              <w:jc w:val="right"/>
            </w:pPr>
            <w:r>
              <w:rPr>
                <w:rFonts w:ascii="Calibri" w:hAnsi="Calibri"/>
                <w:sz w:val="14"/>
              </w:rPr>
              <w:t>2,0</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Founder-led Sales noch nicht bewiesen</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30/60/90-Tage-Plan mit Kill-Kriterien</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4"/>
              </w:rPr>
              <w:t>Moat</w:t>
            </w:r>
          </w:p>
        </w:tc>
        <w:tc>
          <w:tcPr>
            <w:tcW w:type="dxa" w:w="1247"/>
            <w:vAlign w:val="center"/>
            <w:tcMar>
              <w:top w:w="80" w:type="dxa"/>
              <w:start w:w="100" w:type="dxa"/>
              <w:bottom w:w="80" w:type="dxa"/>
              <w:end w:w="100" w:type="dxa"/>
            </w:tcMar>
          </w:tcPr>
          <w:p>
            <w:pPr>
              <w:spacing w:after="0"/>
              <w:jc w:val="right"/>
            </w:pPr>
            <w:r>
              <w:rPr>
                <w:rFonts w:ascii="Calibri" w:hAnsi="Calibri"/>
                <w:sz w:val="14"/>
              </w:rPr>
              <w:t>2,5</w:t>
            </w:r>
          </w:p>
        </w:tc>
        <w:tc>
          <w:tcPr>
            <w:tcW w:type="dxa" w:w="3402"/>
            <w:vAlign w:val="center"/>
            <w:tcMar>
              <w:top w:w="80" w:type="dxa"/>
              <w:start w:w="100" w:type="dxa"/>
              <w:bottom w:w="80" w:type="dxa"/>
              <w:end w:w="100" w:type="dxa"/>
            </w:tcMar>
          </w:tcPr>
          <w:p>
            <w:pPr>
              <w:spacing w:after="0"/>
              <w:jc w:val="right"/>
            </w:pPr>
            <w:r>
              <w:rPr>
                <w:rFonts w:ascii="Calibri" w:hAnsi="Calibri"/>
                <w:sz w:val="14"/>
              </w:rPr>
              <w:t>Prompts sind kein Schutzwall</w:t>
            </w:r>
          </w:p>
        </w:tc>
        <w:tc>
          <w:tcPr>
            <w:tcW w:type="dxa" w:w="3402"/>
            <w:vAlign w:val="center"/>
            <w:tcMar>
              <w:top w:w="80" w:type="dxa"/>
              <w:start w:w="100" w:type="dxa"/>
              <w:bottom w:w="80" w:type="dxa"/>
              <w:end w:w="100" w:type="dxa"/>
            </w:tcMar>
          </w:tcPr>
          <w:p>
            <w:pPr>
              <w:spacing w:after="0"/>
              <w:jc w:val="right"/>
            </w:pPr>
            <w:r>
              <w:rPr>
                <w:rFonts w:ascii="Calibri" w:hAnsi="Calibri"/>
                <w:sz w:val="14"/>
              </w:rPr>
              <w:t>Forecast Ledger, Kalibrierung, Integration</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4"/>
              </w:rPr>
              <w:t>Team</w:t>
            </w:r>
          </w:p>
        </w:tc>
        <w:tc>
          <w:tcPr>
            <w:tcW w:type="dxa" w:w="1247"/>
            <w:vAlign w:val="center"/>
            <w:tcMar>
              <w:top w:w="80" w:type="dxa"/>
              <w:start w:w="100" w:type="dxa"/>
              <w:bottom w:w="80" w:type="dxa"/>
              <w:end w:w="100" w:type="dxa"/>
            </w:tcMar>
            <w:shd w:fill="F3F7F9"/>
          </w:tcPr>
          <w:p>
            <w:pPr>
              <w:spacing w:after="0"/>
              <w:jc w:val="right"/>
            </w:pPr>
            <w:r>
              <w:rPr>
                <w:rFonts w:ascii="Calibri" w:hAnsi="Calibri"/>
                <w:sz w:val="14"/>
              </w:rPr>
              <w:t>4,0</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stark technisch, geringe Zeit/Commercial Gap</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Rollen-/Hiring-Gates</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4"/>
              </w:rPr>
              <w:t>Governance/Regulatorik</w:t>
            </w:r>
          </w:p>
        </w:tc>
        <w:tc>
          <w:tcPr>
            <w:tcW w:type="dxa" w:w="1247"/>
            <w:vAlign w:val="center"/>
            <w:tcMar>
              <w:top w:w="80" w:type="dxa"/>
              <w:start w:w="100" w:type="dxa"/>
              <w:bottom w:w="80" w:type="dxa"/>
              <w:end w:w="100" w:type="dxa"/>
            </w:tcMar>
          </w:tcPr>
          <w:p>
            <w:pPr>
              <w:spacing w:after="0"/>
              <w:jc w:val="right"/>
            </w:pPr>
            <w:r>
              <w:rPr>
                <w:rFonts w:ascii="Calibri" w:hAnsi="Calibri"/>
                <w:sz w:val="14"/>
              </w:rPr>
              <w:t>2,0</w:t>
            </w:r>
          </w:p>
        </w:tc>
        <w:tc>
          <w:tcPr>
            <w:tcW w:type="dxa" w:w="3402"/>
            <w:vAlign w:val="center"/>
            <w:tcMar>
              <w:top w:w="80" w:type="dxa"/>
              <w:start w:w="100" w:type="dxa"/>
              <w:bottom w:w="80" w:type="dxa"/>
              <w:end w:w="100" w:type="dxa"/>
            </w:tcMar>
          </w:tcPr>
          <w:p>
            <w:pPr>
              <w:spacing w:after="0"/>
              <w:jc w:val="right"/>
            </w:pPr>
            <w:r>
              <w:rPr>
                <w:rFonts w:ascii="Calibri" w:hAnsi="Calibri"/>
                <w:sz w:val="14"/>
              </w:rPr>
              <w:t>IP, Universität, Daten, 50/50 offen</w:t>
            </w:r>
          </w:p>
        </w:tc>
        <w:tc>
          <w:tcPr>
            <w:tcW w:type="dxa" w:w="3402"/>
            <w:vAlign w:val="center"/>
            <w:tcMar>
              <w:top w:w="80" w:type="dxa"/>
              <w:start w:w="100" w:type="dxa"/>
              <w:bottom w:w="80" w:type="dxa"/>
              <w:end w:w="100" w:type="dxa"/>
            </w:tcMar>
          </w:tcPr>
          <w:p>
            <w:pPr>
              <w:spacing w:after="0"/>
              <w:jc w:val="right"/>
            </w:pPr>
            <w:r>
              <w:rPr>
                <w:rFonts w:ascii="Calibri" w:hAnsi="Calibri"/>
                <w:sz w:val="14"/>
              </w:rPr>
              <w:t>Gründungs- und Rechte-Checkliste</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4"/>
              </w:rPr>
              <w:t>Finanzen</w:t>
            </w:r>
          </w:p>
        </w:tc>
        <w:tc>
          <w:tcPr>
            <w:tcW w:type="dxa" w:w="1247"/>
            <w:vAlign w:val="center"/>
            <w:tcMar>
              <w:top w:w="80" w:type="dxa"/>
              <w:start w:w="100" w:type="dxa"/>
              <w:bottom w:w="80" w:type="dxa"/>
              <w:end w:w="100" w:type="dxa"/>
            </w:tcMar>
            <w:shd w:fill="F3F7F9"/>
          </w:tcPr>
          <w:p>
            <w:pPr>
              <w:spacing w:after="0"/>
              <w:jc w:val="right"/>
            </w:pPr>
            <w:r>
              <w:rPr>
                <w:rFonts w:ascii="Calibri" w:hAnsi="Calibri"/>
                <w:sz w:val="14"/>
              </w:rPr>
              <w:t>3,0</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2 T€ zu knapp; Gratisarbeit verzerrt</w:t>
            </w:r>
          </w:p>
        </w:tc>
        <w:tc>
          <w:tcPr>
            <w:tcW w:type="dxa" w:w="3402"/>
            <w:vAlign w:val="center"/>
            <w:tcMar>
              <w:top w:w="80" w:type="dxa"/>
              <w:start w:w="100" w:type="dxa"/>
              <w:bottom w:w="80" w:type="dxa"/>
              <w:end w:w="100" w:type="dxa"/>
            </w:tcMar>
            <w:shd w:fill="F3F7F9"/>
          </w:tcPr>
          <w:p>
            <w:pPr>
              <w:spacing w:after="0"/>
              <w:jc w:val="right"/>
            </w:pPr>
            <w:r>
              <w:rPr>
                <w:rFonts w:ascii="Calibri" w:hAnsi="Calibri"/>
                <w:sz w:val="14"/>
              </w:rPr>
              <w:t>15–25 T€ Reserve + Schattenkosten</w:t>
            </w:r>
          </w:p>
        </w:tc>
      </w:tr>
    </w:tbl>
    <w:p>
      <w:pPr>
        <w:spacing w:after="20"/>
      </w:pPr>
    </w:p>
    <w:p>
      <w:r>
        <w:t>Gesamtscore: 2,9/5. Das entspricht einem attraktiven Experiment mit begrenztem Kapitaleinsatz, aber noch keinem investorenreifen Scale-up. Die finale Fassung korrigiert vier typische Überbewertungen: Medienreichweite wird nicht als Nachfrage verkauft; Ads sind sekundär; Prompts gelten nicht als Moat; und die Finanzierung berücksichtigt Liquidität und Gründerarbeit.</w:t>
      </w:r>
    </w:p>
    <w:p>
      <w:pPr>
        <w:pStyle w:val="Heading2"/>
      </w:pPr>
      <w:r>
        <w:t>Entscheidungsregeln nach 90 Tagen</w:t>
      </w:r>
    </w:p>
    <w:p>
      <w:pPr>
        <w:pStyle w:val="ListBullet"/>
      </w:pPr>
      <w:r>
        <w:t>GO: mindestens 5 zahlende Kunden, davon 3 nach 60 Tagen aktiv; dokumentierte Prognose-Scorecard; Rechte und Verträge geklärt.</w:t>
      </w:r>
    </w:p>
    <w:p>
      <w:pPr>
        <w:pStyle w:val="ListBullet"/>
      </w:pPr>
      <w:r>
        <w:t>REVISE: 2–4 zahlende Kunden oder starke Nutzung ohne Retention; Segment, Preis oder Einbindungsformat in einem weiteren 60-Tage-Test ändern.</w:t>
      </w:r>
    </w:p>
    <w:p>
      <w:pPr>
        <w:pStyle w:val="ListBullet"/>
      </w:pPr>
      <w:r>
        <w:t>STOP/PIVOT: weniger als 2 zahlende Kunden trotz 30 qualifizierter Gespräche; keine weitere Sportarten- oder Automatisierungsausweitung.</w:t>
      </w:r>
    </w:p>
    <w:p>
      <w:r>
        <w:br w:type="page"/>
      </w:r>
    </w:p>
    <w:p>
      <w:pPr>
        <w:pStyle w:val="Heading1"/>
      </w:pPr>
      <w:r>
        <w:t>Anhang A · Traction-Evidenz</w:t>
      </w:r>
    </w:p>
    <w:p>
      <w:r>
        <w:t>Die Screenshots sind Momentaufnahmen. Vor externen Gesprächen sollten Originalexporte, Property-ID, Zeitraum, Zeitzone, Filter und Plattformlinks in einem unveränderlichen Datenraum archiviert werden.</w:t>
      </w:r>
    </w:p>
    <w:tbl>
      <w:tblPr>
        <w:tblW w:type="auto" w:w="0"/>
        <w:jc w:val="center"/>
        <w:tblLayout w:type="fixed"/>
        <w:tblLook w:firstColumn="1" w:firstRow="1" w:lastColumn="0" w:lastRow="0" w:noHBand="0" w:noVBand="1" w:val="04A0"/>
      </w:tblPr>
      <w:tblGrid>
        <w:gridCol w:w="4925"/>
        <w:gridCol w:w="4925"/>
      </w:tblGrid>
      <w:tr>
        <w:tc>
          <w:tcPr>
            <w:tcW w:type="dxa" w:w="4925"/>
            <w:tcMar>
              <w:top w:w="80" w:type="dxa"/>
              <w:start w:w="80" w:type="dxa"/>
              <w:bottom w:w="80" w:type="dxa"/>
              <w:end w:w="80" w:type="dxa"/>
            </w:tcMar>
          </w:tcPr>
          <w:p>
            <w:r>
              <w:drawing>
                <wp:inline xmlns:a="http://schemas.openxmlformats.org/drawingml/2006/main" xmlns:pic="http://schemas.openxmlformats.org/drawingml/2006/picture">
                  <wp:extent cx="2160000" cy="4696119"/>
                  <wp:docPr id="4" name="Picture 4"/>
                  <wp:cNvGraphicFramePr>
                    <a:graphicFrameLocks noChangeAspect="1"/>
                  </wp:cNvGraphicFramePr>
                  <a:graphic>
                    <a:graphicData uri="http://schemas.openxmlformats.org/drawingml/2006/picture">
                      <pic:pic>
                        <pic:nvPicPr>
                          <pic:cNvPr id="0" name="IMG_2240.PNG"/>
                          <pic:cNvPicPr/>
                        </pic:nvPicPr>
                        <pic:blipFill>
                          <a:blip r:embed="rId14"/>
                          <a:stretch>
                            <a:fillRect/>
                          </a:stretch>
                        </pic:blipFill>
                        <pic:spPr>
                          <a:xfrm>
                            <a:off x="0" y="0"/>
                            <a:ext cx="2160000" cy="4696119"/>
                          </a:xfrm>
                          <a:prstGeom prst="rect"/>
                        </pic:spPr>
                      </pic:pic>
                    </a:graphicData>
                  </a:graphic>
                </wp:inline>
              </w:drawing>
            </w:r>
          </w:p>
          <w:p>
            <w:pPr>
              <w:pStyle w:val="SmallNote"/>
            </w:pPr>
            <w:r>
              <w:t>Google Analytics: 13.669 aktive Nutzer; Zeitraum 11.06.–19.07.2026.</w:t>
            </w:r>
          </w:p>
        </w:tc>
        <w:tc>
          <w:tcPr>
            <w:tcW w:type="dxa" w:w="4925"/>
            <w:tcMar>
              <w:top w:w="80" w:type="dxa"/>
              <w:start w:w="80" w:type="dxa"/>
              <w:bottom w:w="80" w:type="dxa"/>
              <w:end w:w="80" w:type="dxa"/>
            </w:tcMar>
          </w:tcPr>
          <w:p>
            <w:r>
              <w:drawing>
                <wp:inline xmlns:a="http://schemas.openxmlformats.org/drawingml/2006/main" xmlns:pic="http://schemas.openxmlformats.org/drawingml/2006/picture">
                  <wp:extent cx="2052000" cy="2736000"/>
                  <wp:docPr id="5" name="Picture 5"/>
                  <wp:cNvGraphicFramePr>
                    <a:graphicFrameLocks noChangeAspect="1"/>
                  </wp:cNvGraphicFramePr>
                  <a:graphic>
                    <a:graphicData uri="http://schemas.openxmlformats.org/drawingml/2006/picture">
                      <pic:pic>
                        <pic:nvPicPr>
                          <pic:cNvPr id="0" name="IMG_2238.jpg"/>
                          <pic:cNvPicPr/>
                        </pic:nvPicPr>
                        <pic:blipFill>
                          <a:blip r:embed="rId15"/>
                          <a:stretch>
                            <a:fillRect/>
                          </a:stretch>
                        </pic:blipFill>
                        <pic:spPr>
                          <a:xfrm>
                            <a:off x="0" y="0"/>
                            <a:ext cx="2052000" cy="2736000"/>
                          </a:xfrm>
                          <a:prstGeom prst="rect"/>
                        </pic:spPr>
                      </pic:pic>
                    </a:graphicData>
                  </a:graphic>
                </wp:inline>
              </w:drawing>
            </w:r>
          </w:p>
          <w:p>
            <w:pPr>
              <w:pStyle w:val="SmallNote"/>
            </w:pPr>
            <w:r>
              <w:t>Tagesschau-Screenshot: 7,7 Mio. Videoaufrufe; Motiv datiert 23.06.2026.</w:t>
            </w:r>
          </w:p>
        </w:tc>
      </w:tr>
    </w:tbl>
    <w:tbl>
      <w:tblPr>
        <w:tblStyle w:val="TableGrid"/>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2268"/>
            <w:shd w:fill="1F5A7A"/>
            <w:vAlign w:val="center"/>
            <w:tcMar>
              <w:top w:w="80" w:type="dxa"/>
              <w:start w:w="100" w:type="dxa"/>
              <w:bottom w:w="80" w:type="dxa"/>
              <w:end w:w="100" w:type="dxa"/>
            </w:tcMar>
          </w:tcPr>
          <w:p>
            <w:pPr>
              <w:spacing w:after="0"/>
              <w:jc w:val="center"/>
            </w:pPr>
            <w:r>
              <w:rPr>
                <w:rFonts w:ascii="Calibri" w:hAnsi="Calibri"/>
                <w:b/>
                <w:color w:val="FFFFFF"/>
                <w:sz w:val="17"/>
              </w:rPr>
              <w:t>Kennzahl</w:t>
            </w:r>
          </w:p>
        </w:tc>
        <w:tc>
          <w:tcPr>
            <w:tcW w:type="dxa" w:w="1587"/>
            <w:shd w:fill="1F5A7A"/>
            <w:vAlign w:val="center"/>
            <w:tcMar>
              <w:top w:w="80" w:type="dxa"/>
              <w:start w:w="100" w:type="dxa"/>
              <w:bottom w:w="80" w:type="dxa"/>
              <w:end w:w="100" w:type="dxa"/>
            </w:tcMar>
          </w:tcPr>
          <w:p>
            <w:pPr>
              <w:spacing w:after="0"/>
              <w:jc w:val="center"/>
            </w:pPr>
            <w:r>
              <w:rPr>
                <w:rFonts w:ascii="Calibri" w:hAnsi="Calibri"/>
                <w:b/>
                <w:color w:val="FFFFFF"/>
                <w:sz w:val="17"/>
              </w:rPr>
              <w:t>Wert</w:t>
            </w:r>
          </w:p>
        </w:tc>
        <w:tc>
          <w:tcPr>
            <w:tcW w:type="dxa" w:w="3572"/>
            <w:shd w:fill="1F5A7A"/>
            <w:vAlign w:val="center"/>
            <w:tcMar>
              <w:top w:w="80" w:type="dxa"/>
              <w:start w:w="100" w:type="dxa"/>
              <w:bottom w:w="80" w:type="dxa"/>
              <w:end w:w="100" w:type="dxa"/>
            </w:tcMar>
          </w:tcPr>
          <w:p>
            <w:pPr>
              <w:spacing w:after="0"/>
              <w:jc w:val="center"/>
            </w:pPr>
            <w:r>
              <w:rPr>
                <w:rFonts w:ascii="Calibri" w:hAnsi="Calibri"/>
                <w:b/>
                <w:color w:val="FFFFFF"/>
                <w:sz w:val="17"/>
              </w:rPr>
              <w:t>Zeitraum/Beleg</w:t>
            </w:r>
          </w:p>
        </w:tc>
        <w:tc>
          <w:tcPr>
            <w:tcW w:type="dxa" w:w="2551"/>
            <w:shd w:fill="1F5A7A"/>
            <w:vAlign w:val="center"/>
            <w:tcMar>
              <w:top w:w="80" w:type="dxa"/>
              <w:start w:w="100" w:type="dxa"/>
              <w:bottom w:w="80" w:type="dxa"/>
              <w:end w:w="100" w:type="dxa"/>
            </w:tcMar>
          </w:tcPr>
          <w:p>
            <w:pPr>
              <w:spacing w:after="0"/>
              <w:jc w:val="center"/>
            </w:pPr>
            <w:r>
              <w:rPr>
                <w:rFonts w:ascii="Calibri" w:hAnsi="Calibri"/>
                <w:b/>
                <w:color w:val="FFFFFF"/>
                <w:sz w:val="17"/>
              </w:rPr>
              <w:t>Bewertung</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7"/>
              </w:rPr>
              <w:t>Pageviews</w:t>
            </w:r>
          </w:p>
        </w:tc>
        <w:tc>
          <w:tcPr>
            <w:tcW w:type="dxa" w:w="1587"/>
            <w:vAlign w:val="center"/>
            <w:tcMar>
              <w:top w:w="80" w:type="dxa"/>
              <w:start w:w="100" w:type="dxa"/>
              <w:bottom w:w="80" w:type="dxa"/>
              <w:end w:w="100" w:type="dxa"/>
            </w:tcMar>
          </w:tcPr>
          <w:p>
            <w:pPr>
              <w:spacing w:after="0"/>
              <w:jc w:val="right"/>
            </w:pPr>
            <w:r>
              <w:rPr>
                <w:rFonts w:ascii="Calibri" w:hAnsi="Calibri"/>
                <w:sz w:val="17"/>
              </w:rPr>
              <w:t>69.919</w:t>
            </w:r>
          </w:p>
        </w:tc>
        <w:tc>
          <w:tcPr>
            <w:tcW w:type="dxa" w:w="3572"/>
            <w:vAlign w:val="center"/>
            <w:tcMar>
              <w:top w:w="80" w:type="dxa"/>
              <w:start w:w="100" w:type="dxa"/>
              <w:bottom w:w="80" w:type="dxa"/>
              <w:end w:w="100" w:type="dxa"/>
            </w:tcMar>
          </w:tcPr>
          <w:p>
            <w:pPr>
              <w:spacing w:after="0"/>
              <w:jc w:val="right"/>
            </w:pPr>
            <w:r>
              <w:rPr>
                <w:rFonts w:ascii="Calibri" w:hAnsi="Calibri"/>
                <w:sz w:val="17"/>
              </w:rPr>
              <w:t>11.06.–19.07.; IMG_2244/2243</w:t>
            </w:r>
          </w:p>
        </w:tc>
        <w:tc>
          <w:tcPr>
            <w:tcW w:type="dxa" w:w="2551"/>
            <w:vAlign w:val="center"/>
            <w:tcMar>
              <w:top w:w="80" w:type="dxa"/>
              <w:start w:w="100" w:type="dxa"/>
              <w:bottom w:w="80" w:type="dxa"/>
              <w:end w:w="100" w:type="dxa"/>
            </w:tcMar>
          </w:tcPr>
          <w:p>
            <w:pPr>
              <w:spacing w:after="0"/>
              <w:jc w:val="right"/>
            </w:pPr>
            <w:r>
              <w:rPr>
                <w:rFonts w:ascii="Calibri" w:hAnsi="Calibri"/>
                <w:sz w:val="17"/>
              </w:rPr>
              <w:t>belegt im Screenshot</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7"/>
              </w:rPr>
              <w:t>Sessions</w:t>
            </w:r>
          </w:p>
        </w:tc>
        <w:tc>
          <w:tcPr>
            <w:tcW w:type="dxa" w:w="1587"/>
            <w:vAlign w:val="center"/>
            <w:tcMar>
              <w:top w:w="80" w:type="dxa"/>
              <w:start w:w="100" w:type="dxa"/>
              <w:bottom w:w="80" w:type="dxa"/>
              <w:end w:w="100" w:type="dxa"/>
            </w:tcMar>
            <w:shd w:fill="F3F7F9"/>
          </w:tcPr>
          <w:p>
            <w:pPr>
              <w:spacing w:after="0"/>
              <w:jc w:val="right"/>
            </w:pPr>
            <w:r>
              <w:rPr>
                <w:rFonts w:ascii="Calibri" w:hAnsi="Calibri"/>
                <w:sz w:val="17"/>
              </w:rPr>
              <w:t>36.066</w:t>
            </w:r>
          </w:p>
        </w:tc>
        <w:tc>
          <w:tcPr>
            <w:tcW w:type="dxa" w:w="3572"/>
            <w:vAlign w:val="center"/>
            <w:tcMar>
              <w:top w:w="80" w:type="dxa"/>
              <w:start w:w="100" w:type="dxa"/>
              <w:bottom w:w="80" w:type="dxa"/>
              <w:end w:w="100" w:type="dxa"/>
            </w:tcMar>
            <w:shd w:fill="F3F7F9"/>
          </w:tcPr>
          <w:p>
            <w:pPr>
              <w:spacing w:after="0"/>
              <w:jc w:val="right"/>
            </w:pPr>
            <w:r>
              <w:rPr>
                <w:rFonts w:ascii="Calibri" w:hAnsi="Calibri"/>
                <w:sz w:val="17"/>
              </w:rPr>
              <w:t>11.06.–19.07.; IMG_2242</w:t>
            </w:r>
          </w:p>
        </w:tc>
        <w:tc>
          <w:tcPr>
            <w:tcW w:type="dxa" w:w="2551"/>
            <w:vAlign w:val="center"/>
            <w:tcMar>
              <w:top w:w="80" w:type="dxa"/>
              <w:start w:w="100" w:type="dxa"/>
              <w:bottom w:w="80" w:type="dxa"/>
              <w:end w:w="100" w:type="dxa"/>
            </w:tcMar>
            <w:shd w:fill="F3F7F9"/>
          </w:tcPr>
          <w:p>
            <w:pPr>
              <w:spacing w:after="0"/>
              <w:jc w:val="right"/>
            </w:pPr>
            <w:r>
              <w:rPr>
                <w:rFonts w:ascii="Calibri" w:hAnsi="Calibri"/>
                <w:sz w:val="17"/>
              </w:rPr>
              <w:t>belegt im Screenshot</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7"/>
              </w:rPr>
              <w:t>Aktive Nutzer</w:t>
            </w:r>
          </w:p>
        </w:tc>
        <w:tc>
          <w:tcPr>
            <w:tcW w:type="dxa" w:w="1587"/>
            <w:vAlign w:val="center"/>
            <w:tcMar>
              <w:top w:w="80" w:type="dxa"/>
              <w:start w:w="100" w:type="dxa"/>
              <w:bottom w:w="80" w:type="dxa"/>
              <w:end w:w="100" w:type="dxa"/>
            </w:tcMar>
          </w:tcPr>
          <w:p>
            <w:pPr>
              <w:spacing w:after="0"/>
              <w:jc w:val="right"/>
            </w:pPr>
            <w:r>
              <w:rPr>
                <w:rFonts w:ascii="Calibri" w:hAnsi="Calibri"/>
                <w:sz w:val="17"/>
              </w:rPr>
              <w:t>13.669</w:t>
            </w:r>
          </w:p>
        </w:tc>
        <w:tc>
          <w:tcPr>
            <w:tcW w:type="dxa" w:w="3572"/>
            <w:vAlign w:val="center"/>
            <w:tcMar>
              <w:top w:w="80" w:type="dxa"/>
              <w:start w:w="100" w:type="dxa"/>
              <w:bottom w:w="80" w:type="dxa"/>
              <w:end w:w="100" w:type="dxa"/>
            </w:tcMar>
          </w:tcPr>
          <w:p>
            <w:pPr>
              <w:spacing w:after="0"/>
              <w:jc w:val="right"/>
            </w:pPr>
            <w:r>
              <w:rPr>
                <w:rFonts w:ascii="Calibri" w:hAnsi="Calibri"/>
                <w:sz w:val="17"/>
              </w:rPr>
              <w:t>11.06.–19.07.; IMG_2240/2241</w:t>
            </w:r>
          </w:p>
        </w:tc>
        <w:tc>
          <w:tcPr>
            <w:tcW w:type="dxa" w:w="2551"/>
            <w:vAlign w:val="center"/>
            <w:tcMar>
              <w:top w:w="80" w:type="dxa"/>
              <w:start w:w="100" w:type="dxa"/>
              <w:bottom w:w="80" w:type="dxa"/>
              <w:end w:w="100" w:type="dxa"/>
            </w:tcMar>
          </w:tcPr>
          <w:p>
            <w:pPr>
              <w:spacing w:after="0"/>
              <w:jc w:val="right"/>
            </w:pPr>
            <w:r>
              <w:rPr>
                <w:rFonts w:ascii="Calibri" w:hAnsi="Calibri"/>
                <w:sz w:val="17"/>
              </w:rPr>
              <w:t>belegt im Screenshot</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7"/>
              </w:rPr>
              <w:t>Neue Nutzer</w:t>
            </w:r>
          </w:p>
        </w:tc>
        <w:tc>
          <w:tcPr>
            <w:tcW w:type="dxa" w:w="1587"/>
            <w:vAlign w:val="center"/>
            <w:tcMar>
              <w:top w:w="80" w:type="dxa"/>
              <w:start w:w="100" w:type="dxa"/>
              <w:bottom w:w="80" w:type="dxa"/>
              <w:end w:w="100" w:type="dxa"/>
            </w:tcMar>
            <w:shd w:fill="F3F7F9"/>
          </w:tcPr>
          <w:p>
            <w:pPr>
              <w:spacing w:after="0"/>
              <w:jc w:val="right"/>
            </w:pPr>
            <w:r>
              <w:rPr>
                <w:rFonts w:ascii="Calibri" w:hAnsi="Calibri"/>
                <w:sz w:val="17"/>
              </w:rPr>
              <w:t>13.596</w:t>
            </w:r>
          </w:p>
        </w:tc>
        <w:tc>
          <w:tcPr>
            <w:tcW w:type="dxa" w:w="3572"/>
            <w:vAlign w:val="center"/>
            <w:tcMar>
              <w:top w:w="80" w:type="dxa"/>
              <w:start w:w="100" w:type="dxa"/>
              <w:bottom w:w="80" w:type="dxa"/>
              <w:end w:w="100" w:type="dxa"/>
            </w:tcMar>
            <w:shd w:fill="F3F7F9"/>
          </w:tcPr>
          <w:p>
            <w:pPr>
              <w:spacing w:after="0"/>
              <w:jc w:val="right"/>
            </w:pPr>
            <w:r>
              <w:rPr>
                <w:rFonts w:ascii="Calibri" w:hAnsi="Calibri"/>
                <w:sz w:val="17"/>
              </w:rPr>
              <w:t>11.06.–19.07.; IMG_2240/2241</w:t>
            </w:r>
          </w:p>
        </w:tc>
        <w:tc>
          <w:tcPr>
            <w:tcW w:type="dxa" w:w="2551"/>
            <w:vAlign w:val="center"/>
            <w:tcMar>
              <w:top w:w="80" w:type="dxa"/>
              <w:start w:w="100" w:type="dxa"/>
              <w:bottom w:w="80" w:type="dxa"/>
              <w:end w:w="100" w:type="dxa"/>
            </w:tcMar>
            <w:shd w:fill="F3F7F9"/>
          </w:tcPr>
          <w:p>
            <w:pPr>
              <w:spacing w:after="0"/>
              <w:jc w:val="right"/>
            </w:pPr>
            <w:r>
              <w:rPr>
                <w:rFonts w:ascii="Calibri" w:hAnsi="Calibri"/>
                <w:sz w:val="17"/>
              </w:rPr>
              <w:t>belegt im Screenshot</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7"/>
              </w:rPr>
              <w:t>Ø Interaktionsdauer</w:t>
            </w:r>
          </w:p>
        </w:tc>
        <w:tc>
          <w:tcPr>
            <w:tcW w:type="dxa" w:w="1587"/>
            <w:vAlign w:val="center"/>
            <w:tcMar>
              <w:top w:w="80" w:type="dxa"/>
              <w:start w:w="100" w:type="dxa"/>
              <w:bottom w:w="80" w:type="dxa"/>
              <w:end w:w="100" w:type="dxa"/>
            </w:tcMar>
          </w:tcPr>
          <w:p>
            <w:pPr>
              <w:spacing w:after="0"/>
              <w:jc w:val="right"/>
            </w:pPr>
            <w:r>
              <w:rPr>
                <w:rFonts w:ascii="Calibri" w:hAnsi="Calibri"/>
                <w:sz w:val="17"/>
              </w:rPr>
              <w:t>ca. 2:22 min</w:t>
            </w:r>
          </w:p>
        </w:tc>
        <w:tc>
          <w:tcPr>
            <w:tcW w:type="dxa" w:w="3572"/>
            <w:vAlign w:val="center"/>
            <w:tcMar>
              <w:top w:w="80" w:type="dxa"/>
              <w:start w:w="100" w:type="dxa"/>
              <w:bottom w:w="80" w:type="dxa"/>
              <w:end w:w="100" w:type="dxa"/>
            </w:tcMar>
          </w:tcPr>
          <w:p>
            <w:pPr>
              <w:spacing w:after="0"/>
              <w:jc w:val="right"/>
            </w:pPr>
            <w:r>
              <w:rPr>
                <w:rFonts w:ascii="Calibri" w:hAnsi="Calibri"/>
                <w:sz w:val="17"/>
              </w:rPr>
              <w:t>IMG_2241</w:t>
            </w:r>
          </w:p>
        </w:tc>
        <w:tc>
          <w:tcPr>
            <w:tcW w:type="dxa" w:w="2551"/>
            <w:vAlign w:val="center"/>
            <w:tcMar>
              <w:top w:w="80" w:type="dxa"/>
              <w:start w:w="100" w:type="dxa"/>
              <w:bottom w:w="80" w:type="dxa"/>
              <w:end w:w="100" w:type="dxa"/>
            </w:tcMar>
          </w:tcPr>
          <w:p>
            <w:pPr>
              <w:spacing w:after="0"/>
              <w:jc w:val="right"/>
            </w:pPr>
            <w:r>
              <w:rPr>
                <w:rFonts w:ascii="Calibri" w:hAnsi="Calibri"/>
                <w:sz w:val="17"/>
              </w:rPr>
              <w:t>belegt im Screenshot</w:t>
            </w:r>
          </w:p>
        </w:tc>
      </w:tr>
      <w:tr>
        <w:trPr>
          <w:cantSplit/>
        </w:trPr>
        <w:tc>
          <w:tcPr>
            <w:tcW w:type="dxa" w:w="2268"/>
            <w:vAlign w:val="center"/>
            <w:tcMar>
              <w:top w:w="80" w:type="dxa"/>
              <w:start w:w="100" w:type="dxa"/>
              <w:bottom w:w="80" w:type="dxa"/>
              <w:end w:w="100" w:type="dxa"/>
            </w:tcMar>
            <w:shd w:fill="F3F7F9"/>
          </w:tcPr>
          <w:p>
            <w:pPr>
              <w:spacing w:after="0"/>
              <w:jc w:val="left"/>
            </w:pPr>
            <w:r>
              <w:rPr>
                <w:rFonts w:ascii="Calibri" w:hAnsi="Calibri"/>
                <w:b/>
                <w:sz w:val="17"/>
              </w:rPr>
              <w:t>Tagesschau-Videoaufrufe</w:t>
            </w:r>
          </w:p>
        </w:tc>
        <w:tc>
          <w:tcPr>
            <w:tcW w:type="dxa" w:w="1587"/>
            <w:vAlign w:val="center"/>
            <w:tcMar>
              <w:top w:w="80" w:type="dxa"/>
              <w:start w:w="100" w:type="dxa"/>
              <w:bottom w:w="80" w:type="dxa"/>
              <w:end w:w="100" w:type="dxa"/>
            </w:tcMar>
            <w:shd w:fill="F3F7F9"/>
          </w:tcPr>
          <w:p>
            <w:pPr>
              <w:spacing w:after="0"/>
              <w:jc w:val="right"/>
            </w:pPr>
            <w:r>
              <w:rPr>
                <w:rFonts w:ascii="Calibri" w:hAnsi="Calibri"/>
                <w:sz w:val="17"/>
              </w:rPr>
              <w:t>7,7 Mio.</w:t>
            </w:r>
          </w:p>
        </w:tc>
        <w:tc>
          <w:tcPr>
            <w:tcW w:type="dxa" w:w="3572"/>
            <w:vAlign w:val="center"/>
            <w:tcMar>
              <w:top w:w="80" w:type="dxa"/>
              <w:start w:w="100" w:type="dxa"/>
              <w:bottom w:w="80" w:type="dxa"/>
              <w:end w:w="100" w:type="dxa"/>
            </w:tcMar>
            <w:shd w:fill="F3F7F9"/>
          </w:tcPr>
          <w:p>
            <w:pPr>
              <w:spacing w:after="0"/>
              <w:jc w:val="right"/>
            </w:pPr>
            <w:r>
              <w:rPr>
                <w:rFonts w:ascii="Calibri" w:hAnsi="Calibri"/>
                <w:sz w:val="17"/>
              </w:rPr>
              <w:t>IMG_2238/2239</w:t>
            </w:r>
          </w:p>
        </w:tc>
        <w:tc>
          <w:tcPr>
            <w:tcW w:type="dxa" w:w="2551"/>
            <w:vAlign w:val="center"/>
            <w:tcMar>
              <w:top w:w="80" w:type="dxa"/>
              <w:start w:w="100" w:type="dxa"/>
              <w:bottom w:w="80" w:type="dxa"/>
              <w:end w:w="100" w:type="dxa"/>
            </w:tcMar>
            <w:shd w:fill="F3F7F9"/>
          </w:tcPr>
          <w:p>
            <w:pPr>
              <w:spacing w:after="0"/>
              <w:jc w:val="right"/>
            </w:pPr>
            <w:r>
              <w:rPr>
                <w:rFonts w:ascii="Calibri" w:hAnsi="Calibri"/>
                <w:sz w:val="17"/>
              </w:rPr>
              <w:t>belegt im Screenshot</w:t>
            </w:r>
          </w:p>
        </w:tc>
      </w:tr>
      <w:tr>
        <w:trPr>
          <w:cantSplit/>
        </w:trPr>
        <w:tc>
          <w:tcPr>
            <w:tcW w:type="dxa" w:w="2268"/>
            <w:vAlign w:val="center"/>
            <w:tcMar>
              <w:top w:w="80" w:type="dxa"/>
              <w:start w:w="100" w:type="dxa"/>
              <w:bottom w:w="80" w:type="dxa"/>
              <w:end w:w="100" w:type="dxa"/>
            </w:tcMar>
          </w:tcPr>
          <w:p>
            <w:pPr>
              <w:spacing w:after="0"/>
              <w:jc w:val="left"/>
            </w:pPr>
            <w:r>
              <w:rPr>
                <w:rFonts w:ascii="Calibri" w:hAnsi="Calibri"/>
                <w:b/>
                <w:sz w:val="17"/>
              </w:rPr>
              <w:t>Likes</w:t>
            </w:r>
          </w:p>
        </w:tc>
        <w:tc>
          <w:tcPr>
            <w:tcW w:type="dxa" w:w="1587"/>
            <w:vAlign w:val="center"/>
            <w:tcMar>
              <w:top w:w="80" w:type="dxa"/>
              <w:start w:w="100" w:type="dxa"/>
              <w:bottom w:w="80" w:type="dxa"/>
              <w:end w:w="100" w:type="dxa"/>
            </w:tcMar>
          </w:tcPr>
          <w:p>
            <w:pPr>
              <w:spacing w:after="0"/>
              <w:jc w:val="right"/>
            </w:pPr>
            <w:r>
              <w:rPr>
                <w:rFonts w:ascii="Calibri" w:hAnsi="Calibri"/>
                <w:sz w:val="17"/>
              </w:rPr>
              <w:t>nicht belegt</w:t>
            </w:r>
          </w:p>
        </w:tc>
        <w:tc>
          <w:tcPr>
            <w:tcW w:type="dxa" w:w="3572"/>
            <w:vAlign w:val="center"/>
            <w:tcMar>
              <w:top w:w="80" w:type="dxa"/>
              <w:start w:w="100" w:type="dxa"/>
              <w:bottom w:w="80" w:type="dxa"/>
              <w:end w:w="100" w:type="dxa"/>
            </w:tcMar>
          </w:tcPr>
          <w:p>
            <w:pPr>
              <w:spacing w:after="0"/>
              <w:jc w:val="right"/>
            </w:pPr>
            <w:r>
              <w:rPr>
                <w:rFonts w:ascii="Calibri" w:hAnsi="Calibri"/>
                <w:sz w:val="17"/>
              </w:rPr>
              <w:t>nicht in Bildern sichtbar</w:t>
            </w:r>
          </w:p>
        </w:tc>
        <w:tc>
          <w:tcPr>
            <w:tcW w:type="dxa" w:w="2551"/>
            <w:vAlign w:val="center"/>
            <w:tcMar>
              <w:top w:w="80" w:type="dxa"/>
              <w:start w:w="100" w:type="dxa"/>
              <w:bottom w:w="80" w:type="dxa"/>
              <w:end w:w="100" w:type="dxa"/>
            </w:tcMar>
          </w:tcPr>
          <w:p>
            <w:pPr>
              <w:spacing w:after="0"/>
              <w:jc w:val="right"/>
            </w:pPr>
            <w:r>
              <w:rPr>
                <w:rFonts w:ascii="Calibri" w:hAnsi="Calibri"/>
                <w:sz w:val="17"/>
              </w:rPr>
              <w:t>nicht verwenden</w:t>
            </w:r>
          </w:p>
        </w:tc>
      </w:tr>
    </w:tbl>
    <w:p>
      <w:pPr>
        <w:spacing w:after="20"/>
      </w:pPr>
    </w:p>
    <w:p>
      <w:r>
        <w:br w:type="page"/>
      </w:r>
    </w:p>
    <w:p>
      <w:pPr>
        <w:pStyle w:val="Heading1"/>
      </w:pPr>
      <w:r>
        <w:t>Anhang B · Fragenkatalog für Steuerberatung, Recht und Versicherungen</w:t>
      </w:r>
    </w:p>
    <w:p>
      <w:pPr>
        <w:pStyle w:val="Heading2"/>
      </w:pPr>
      <w:r>
        <w:t>Steuerberatung</w:t>
      </w:r>
    </w:p>
    <w:p>
      <w:pPr>
        <w:pStyle w:val="ListBullet"/>
      </w:pPr>
      <w:r>
        <w:t>UG oder GmbH: Einlage, Gesellschafterdarlehen, Gründungsaufwand und spätere Umwandlung?</w:t>
      </w:r>
    </w:p>
    <w:p>
      <w:pPr>
        <w:pStyle w:val="ListBullet"/>
      </w:pPr>
      <w:r>
        <w:t>Tatsächlicher Ort der Geschäftsleitung München/Grünwald; Gewerbesteuerzerlegung und Substanzanforderungen?</w:t>
      </w:r>
    </w:p>
    <w:p>
      <w:pPr>
        <w:pStyle w:val="ListBullet"/>
      </w:pPr>
      <w:r>
        <w:t>Umsatzsteuer bei B2B-Kunden in EU/USA, Reverse Charge, USt-ID, OSS-Relevanz und Leistungsort?</w:t>
      </w:r>
    </w:p>
    <w:p>
      <w:pPr>
        <w:pStyle w:val="ListBullet"/>
      </w:pPr>
      <w:r>
        <w:t>E-Rechnungsfähigkeit, Kontenrahmen, Abgrenzung jährlicher Vorauszahlungen und Deferred Revenue?</w:t>
      </w:r>
    </w:p>
    <w:p>
      <w:pPr>
        <w:pStyle w:val="ListBullet"/>
      </w:pPr>
      <w:r>
        <w:t>Steuerliche Behandlung von Softwareentwicklung, Forschung, Fördermitteln und IP-Übertragung?</w:t>
      </w:r>
    </w:p>
    <w:p>
      <w:pPr>
        <w:pStyle w:val="Heading2"/>
      </w:pPr>
      <w:r>
        <w:t>Rechtsberatung</w:t>
      </w:r>
    </w:p>
    <w:p>
      <w:pPr>
        <w:pStyle w:val="ListBullet"/>
      </w:pPr>
      <w:r>
        <w:t>LMU/Nebentätigkeit, Erfindungs-/Software-/Datenrechte und Publikationspflichten geklärt?</w:t>
      </w:r>
    </w:p>
    <w:p>
      <w:pPr>
        <w:pStyle w:val="ListBullet"/>
      </w:pPr>
      <w:r>
        <w:t>TheSportsDB und weitere Daten-/Logo-/Markenrechte für kommerzielle Website und Kundenwidgets dokumentiert?</w:t>
      </w:r>
    </w:p>
    <w:p>
      <w:pPr>
        <w:pStyle w:val="ListBullet"/>
      </w:pPr>
      <w:r>
        <w:t>B2B-AGB, AVV/DPA, SLA, Support, 12-Monatslaufzeit, automatische Verlängerung und wirksame Haftungsgrenzen?</w:t>
      </w:r>
    </w:p>
    <w:p>
      <w:pPr>
        <w:pStyle w:val="ListBullet"/>
      </w:pPr>
      <w:r>
        <w:t>AI-Act-, DSGVO-, TDDDG-, UWG- und Werbe-/Cookie-Compliance für Plattform, Analytics und Outreach?</w:t>
      </w:r>
    </w:p>
    <w:p>
      <w:pPr>
        <w:pStyle w:val="ListBullet"/>
      </w:pPr>
      <w:r>
        <w:t>Gesellschaftervertrag: 50/50-Deadlock, Vesting, Leaver, IP, Zeitcommitment und Universitätseintritt?</w:t>
      </w:r>
    </w:p>
    <w:p>
      <w:pPr>
        <w:pStyle w:val="Heading2"/>
      </w:pPr>
      <w:r>
        <w:t>Versicherungsmakler</w:t>
      </w:r>
    </w:p>
    <w:p>
      <w:pPr>
        <w:pStyle w:val="ListBullet"/>
      </w:pPr>
      <w:r>
        <w:t>IT-/Vermögensschadenhaftpflicht: Sind Medien-, IP-, Datenschutz-, Datenverlust- und Eigenschäden gedeckt?</w:t>
      </w:r>
    </w:p>
    <w:p>
      <w:pPr>
        <w:pStyle w:val="ListBullet"/>
      </w:pPr>
      <w:r>
        <w:t>Cyber: Incident Response, Forensik, Betriebsunterbrechung, Ransomware, Cloud-/Dienstleisterausfall?</w:t>
      </w:r>
    </w:p>
    <w:p>
      <w:pPr>
        <w:pStyle w:val="ListBullet"/>
      </w:pPr>
      <w:r>
        <w:t>Betriebshaftpflicht und weltweiter Geltungsbereich einschließlich USA; Ausschlüsse für Sportwetten/Prognosen?</w:t>
      </w:r>
    </w:p>
    <w:p>
      <w:pPr>
        <w:pStyle w:val="ListBullet"/>
      </w:pPr>
      <w:r>
        <w:t>Welche Mindestkontrollen werden verlangt: MFA, Backups, Patchmanagement, Logging, Verträge, Notfallplan?</w:t>
      </w:r>
    </w:p>
    <w:p>
      <w:pPr>
        <w:pStyle w:val="ListBullet"/>
      </w:pPr>
      <w:r>
        <w:t>Ab wann sind D&amp;O/Managerhaftpflicht und Firmenrechtsschutz wirtschaftlich sinnvoll?</w:t>
      </w:r>
    </w:p>
    <w:p>
      <w:r>
        <w:br w:type="page"/>
      </w:r>
    </w:p>
    <w:p>
      <w:pPr>
        <w:pStyle w:val="Heading1"/>
      </w:pPr>
      <w:r>
        <w:t>Anhang C · Quellenverzeichnis</w:t>
      </w:r>
    </w:p>
    <w:p>
      <w:pPr>
        <w:pStyle w:val="SmallNote"/>
        <w:ind w:left="142" w:hanging="142"/>
      </w:pPr>
      <w:r>
        <w:rPr>
          <w:b/>
        </w:rPr>
        <w:t xml:space="preserve">[Q1] U.S. Small Business Administration – Write your business plan: </w:t>
      </w:r>
      <w:hyperlink r:id="rId16">
        <w:r>
          <w:rPr>
            <w:color w:val="1F5A7A"/>
            <w:u w:val="single"/>
          </w:rPr>
          <w:t>https://www.sba.gov/business-guide/plan-your-business/write-your-business-plan?showAll=true</w:t>
        </w:r>
      </w:hyperlink>
    </w:p>
    <w:p>
      <w:pPr>
        <w:pStyle w:val="SmallNote"/>
        <w:ind w:left="142" w:hanging="142"/>
      </w:pPr>
      <w:r>
        <w:rPr>
          <w:b/>
        </w:rPr>
        <w:t xml:space="preserve">[Q2] KfW – Gründung und Businessplan: </w:t>
      </w:r>
      <w:hyperlink r:id="rId17">
        <w:r>
          <w:rPr>
            <w:color w:val="1F5A7A"/>
            <w:u w:val="single"/>
          </w:rPr>
          <w:t>https://www.kfw.de/inlandsfoerderung/Unternehmen/Gr%C3%BCndung-und-Nachfolge/Gr%C3%BCndung/</w:t>
        </w:r>
      </w:hyperlink>
    </w:p>
    <w:p>
      <w:pPr>
        <w:pStyle w:val="SmallNote"/>
        <w:ind w:left="142" w:hanging="142"/>
      </w:pPr>
      <w:r>
        <w:rPr>
          <w:b/>
        </w:rPr>
        <w:t xml:space="preserve">[Q3] IAB Europe – AdEx Benchmark 2025: </w:t>
      </w:r>
      <w:hyperlink r:id="rId18">
        <w:r>
          <w:rPr>
            <w:color w:val="1F5A7A"/>
            <w:u w:val="single"/>
          </w:rPr>
          <w:t>https://iabeurope.eu/knowledge_hub/iab-europe-adex-benchmark-2025-report/</w:t>
        </w:r>
      </w:hyperlink>
    </w:p>
    <w:p>
      <w:pPr>
        <w:pStyle w:val="SmallNote"/>
        <w:ind w:left="142" w:hanging="142"/>
      </w:pPr>
      <w:r>
        <w:rPr>
          <w:b/>
        </w:rPr>
        <w:t xml:space="preserve">[Q4] BVDW/OVK – Digitaler Werbemarkt 2026: </w:t>
      </w:r>
      <w:hyperlink r:id="rId19">
        <w:r>
          <w:rPr>
            <w:color w:val="1F5A7A"/>
            <w:u w:val="single"/>
          </w:rPr>
          <w:t>https://www.bvdw.org/news-und-publikationen/ovk-prognose-digitaler-werbemarkt-waechst-auf-ueber-acht-milliarden-euro/</w:t>
        </w:r>
      </w:hyperlink>
    </w:p>
    <w:p>
      <w:pPr>
        <w:pStyle w:val="SmallNote"/>
        <w:ind w:left="142" w:hanging="142"/>
      </w:pPr>
      <w:r>
        <w:rPr>
          <w:b/>
        </w:rPr>
        <w:t xml:space="preserve">[Q5] IAB – U.S. Digital Ad Revenue 2025: </w:t>
      </w:r>
      <w:hyperlink r:id="rId20">
        <w:r>
          <w:rPr>
            <w:color w:val="1F5A7A"/>
            <w:u w:val="single"/>
          </w:rPr>
          <w:t>https://www.iab.com/news/digital-ad-revenue-climbs-to-nearly-300b-as-iab-celebrates-30-year-anniversary/</w:t>
        </w:r>
      </w:hyperlink>
    </w:p>
    <w:p>
      <w:pPr>
        <w:pStyle w:val="SmallNote"/>
        <w:ind w:left="142" w:hanging="142"/>
      </w:pPr>
      <w:r>
        <w:rPr>
          <w:b/>
        </w:rPr>
        <w:t xml:space="preserve">[Q6] Eurostat – Publishing activities statistics: </w:t>
      </w:r>
      <w:hyperlink r:id="rId21">
        <w:r>
          <w:rPr>
            <w:color w:val="1F5A7A"/>
            <w:u w:val="single"/>
          </w:rPr>
          <w:t>https://ec.europa.eu/eurostat/web/products-eurostat-news/w/ddn-20250502-1</w:t>
        </w:r>
      </w:hyperlink>
    </w:p>
    <w:p>
      <w:pPr>
        <w:pStyle w:val="SmallNote"/>
        <w:ind w:left="142" w:hanging="142"/>
      </w:pPr>
      <w:r>
        <w:rPr>
          <w:b/>
        </w:rPr>
        <w:t xml:space="preserve">[Q7] Eurostat – Online news consumption 2024: </w:t>
      </w:r>
      <w:hyperlink r:id="rId22">
        <w:r>
          <w:rPr>
            <w:color w:val="1F5A7A"/>
            <w:u w:val="single"/>
          </w:rPr>
          <w:t>https://ec.europa.eu/eurostat/web/products-eurostat-news/w/ddn-20250710-2</w:t>
        </w:r>
      </w:hyperlink>
    </w:p>
    <w:p>
      <w:pPr>
        <w:pStyle w:val="SmallNote"/>
        <w:ind w:left="142" w:hanging="142"/>
      </w:pPr>
      <w:r>
        <w:rPr>
          <w:b/>
        </w:rPr>
        <w:t xml:space="preserve">[Q8] BDZV – Reichweiten der Zeitungen: </w:t>
      </w:r>
      <w:hyperlink r:id="rId23">
        <w:r>
          <w:rPr>
            <w:color w:val="1F5A7A"/>
            <w:u w:val="single"/>
          </w:rPr>
          <w:t>https://www.bdzv.de/alle-themen/marktdaten/reichweiten-der-zeitungen</w:t>
        </w:r>
      </w:hyperlink>
    </w:p>
    <w:p>
      <w:pPr>
        <w:pStyle w:val="SmallNote"/>
        <w:ind w:left="142" w:hanging="142"/>
      </w:pPr>
      <w:r>
        <w:rPr>
          <w:b/>
        </w:rPr>
        <w:t xml:space="preserve">[Q9] Reuters Institute – Journalism, media and technology trends 2026: </w:t>
      </w:r>
      <w:hyperlink r:id="rId24">
        <w:r>
          <w:rPr>
            <w:color w:val="1F5A7A"/>
            <w:u w:val="single"/>
          </w:rPr>
          <w:t>https://reutersinstitute.politics.ox.ac.uk/journalism-media-and-technology-trends-and-predictions-2026</w:t>
        </w:r>
      </w:hyperlink>
    </w:p>
    <w:p>
      <w:pPr>
        <w:pStyle w:val="SmallNote"/>
        <w:ind w:left="142" w:hanging="142"/>
      </w:pPr>
      <w:r>
        <w:rPr>
          <w:b/>
        </w:rPr>
        <w:t xml:space="preserve">[Q10] BDZV/Highberg – Trends der Zeitungsbranche 2025: </w:t>
      </w:r>
      <w:hyperlink r:id="rId25">
        <w:r>
          <w:rPr>
            <w:color w:val="1F5A7A"/>
            <w:u w:val="single"/>
          </w:rPr>
          <w:t>https://www.bdzv.de/service/presse/pressemitteilungen/2025/trends-der-zeitungsbranche-2025</w:t>
        </w:r>
      </w:hyperlink>
    </w:p>
    <w:p>
      <w:pPr>
        <w:pStyle w:val="SmallNote"/>
        <w:ind w:left="142" w:hanging="142"/>
      </w:pPr>
      <w:r>
        <w:rPr>
          <w:b/>
        </w:rPr>
        <w:t xml:space="preserve">[Q11] Opta Analyst – Supercomputer methodology example: </w:t>
      </w:r>
      <w:hyperlink r:id="rId26">
        <w:r>
          <w:rPr>
            <w:color w:val="1F5A7A"/>
            <w:u w:val="single"/>
          </w:rPr>
          <w:t>https://theanalyst.com/articles/serie-a-predictions-2025-26-opta-supercomputer</w:t>
        </w:r>
      </w:hyperlink>
    </w:p>
    <w:p>
      <w:pPr>
        <w:pStyle w:val="SmallNote"/>
        <w:ind w:left="142" w:hanging="142"/>
      </w:pPr>
      <w:r>
        <w:rPr>
          <w:b/>
        </w:rPr>
        <w:t xml:space="preserve">[Q12] Sportmonks – Football Widgets Pricing: </w:t>
      </w:r>
      <w:hyperlink r:id="rId27">
        <w:r>
          <w:rPr>
            <w:color w:val="1F5A7A"/>
            <w:u w:val="single"/>
          </w:rPr>
          <w:t>https://www.sportmonks.com/football-api/football-widgets/</w:t>
        </w:r>
      </w:hyperlink>
    </w:p>
    <w:p>
      <w:pPr>
        <w:pStyle w:val="SmallNote"/>
        <w:ind w:left="142" w:hanging="142"/>
      </w:pPr>
      <w:r>
        <w:rPr>
          <w:b/>
        </w:rPr>
        <w:t xml:space="preserve">[Q13] API-Sports – Widgets documentation: </w:t>
      </w:r>
      <w:hyperlink r:id="rId28">
        <w:r>
          <w:rPr>
            <w:color w:val="1F5A7A"/>
            <w:u w:val="single"/>
          </w:rPr>
          <w:t>https://api-sports.io/documentation/widgets/v3</w:t>
        </w:r>
      </w:hyperlink>
    </w:p>
    <w:p>
      <w:pPr>
        <w:pStyle w:val="SmallNote"/>
        <w:ind w:left="142" w:hanging="142"/>
      </w:pPr>
      <w:r>
        <w:rPr>
          <w:b/>
        </w:rPr>
        <w:t xml:space="preserve">[Q14] ScoreAxis – Sports widgets: </w:t>
      </w:r>
      <w:hyperlink r:id="rId29">
        <w:r>
          <w:rPr>
            <w:color w:val="1F5A7A"/>
            <w:u w:val="single"/>
          </w:rPr>
          <w:t>https://www.scoreaxis.com/widgets/</w:t>
        </w:r>
      </w:hyperlink>
    </w:p>
    <w:p>
      <w:pPr>
        <w:pStyle w:val="SmallNote"/>
        <w:ind w:left="142" w:hanging="142"/>
      </w:pPr>
      <w:r>
        <w:rPr>
          <w:b/>
        </w:rPr>
        <w:t xml:space="preserve">[Q15] Google AdSense – Revenue share: </w:t>
      </w:r>
      <w:hyperlink r:id="rId30">
        <w:r>
          <w:rPr>
            <w:color w:val="1F5A7A"/>
            <w:u w:val="single"/>
          </w:rPr>
          <w:t>https://support.google.com/adsense/answer/180195?hl=de</w:t>
        </w:r>
      </w:hyperlink>
    </w:p>
    <w:p>
      <w:pPr>
        <w:pStyle w:val="SmallNote"/>
        <w:ind w:left="142" w:hanging="142"/>
      </w:pPr>
      <w:r>
        <w:rPr>
          <w:b/>
        </w:rPr>
        <w:t xml:space="preserve">[Q16] EU Commission – AI Act transparency guidelines: </w:t>
      </w:r>
      <w:hyperlink r:id="rId31">
        <w:r>
          <w:rPr>
            <w:color w:val="1F5A7A"/>
            <w:u w:val="single"/>
          </w:rPr>
          <w:t>https://digital-strategy.ec.europa.eu/en/news/commission-publishes-guidelines-transparency-obligations-providers-and-deployers-certain-ai-systems</w:t>
        </w:r>
      </w:hyperlink>
    </w:p>
    <w:p>
      <w:pPr>
        <w:pStyle w:val="SmallNote"/>
        <w:ind w:left="142" w:hanging="142"/>
      </w:pPr>
      <w:r>
        <w:rPr>
          <w:b/>
        </w:rPr>
        <w:t xml:space="preserve">[Q17] EU Commission – AI regulatory framework: </w:t>
      </w:r>
      <w:hyperlink r:id="rId32">
        <w:r>
          <w:rPr>
            <w:color w:val="1F5A7A"/>
            <w:u w:val="single"/>
          </w:rPr>
          <w:t>https://digital-strategy.ec.europa.eu/en/policies/regulatory-framework-ai</w:t>
        </w:r>
      </w:hyperlink>
    </w:p>
    <w:p>
      <w:pPr>
        <w:pStyle w:val="SmallNote"/>
        <w:ind w:left="142" w:hanging="142"/>
      </w:pPr>
      <w:r>
        <w:rPr>
          <w:b/>
        </w:rPr>
        <w:t xml:space="preserve">[Q18] LMU – Inventions, patents and exploitation rights: </w:t>
      </w:r>
      <w:hyperlink r:id="rId33">
        <w:r>
          <w:rPr>
            <w:color w:val="1F5A7A"/>
            <w:u w:val="single"/>
          </w:rPr>
          <w:t>https://www.lmu.de/en/research/research-transfer/inventions-patents-and-exploitation-rights/</w:t>
        </w:r>
      </w:hyperlink>
    </w:p>
    <w:p>
      <w:pPr>
        <w:pStyle w:val="SmallNote"/>
        <w:ind w:left="142" w:hanging="142"/>
      </w:pPr>
      <w:r>
        <w:rPr>
          <w:b/>
        </w:rPr>
        <w:t xml:space="preserve">[Q19] Gesetze im Internet – GmbHG §5/§5a: </w:t>
      </w:r>
      <w:hyperlink r:id="rId34">
        <w:r>
          <w:rPr>
            <w:color w:val="1F5A7A"/>
            <w:u w:val="single"/>
          </w:rPr>
          <w:t>https://www.gesetze-im-internet.de/gmbhg/BJNR004770892.html</w:t>
        </w:r>
      </w:hyperlink>
    </w:p>
    <w:p>
      <w:pPr>
        <w:pStyle w:val="SmallNote"/>
        <w:ind w:left="142" w:hanging="142"/>
      </w:pPr>
      <w:r>
        <w:rPr>
          <w:b/>
        </w:rPr>
        <w:t xml:space="preserve">[Q20] Bundesfinanzministerium – FAQ E-Rechnung: </w:t>
      </w:r>
      <w:hyperlink r:id="rId35">
        <w:r>
          <w:rPr>
            <w:color w:val="1F5A7A"/>
            <w:u w:val="single"/>
          </w:rPr>
          <w:t>https://www.bundesfinanzministerium.de/Content/DE/FAQ/e-rechnung.html</w:t>
        </w:r>
      </w:hyperlink>
    </w:p>
    <w:p>
      <w:pPr>
        <w:pStyle w:val="SmallNote"/>
        <w:ind w:left="142" w:hanging="142"/>
      </w:pPr>
      <w:r>
        <w:rPr>
          <w:b/>
        </w:rPr>
        <w:t xml:space="preserve">[Q21] IHK Köln – Versicherungen für Unternehmen: </w:t>
      </w:r>
      <w:hyperlink r:id="rId36">
        <w:r>
          <w:rPr>
            <w:color w:val="1F5A7A"/>
            <w:u w:val="single"/>
          </w:rPr>
          <w:t>https://www.ihk.de/koeln/hauptnavigation/beratung-und-services/versicherungen-fuer-unternehmen-5141790</w:t>
        </w:r>
      </w:hyperlink>
    </w:p>
    <w:p>
      <w:pPr>
        <w:pStyle w:val="SmallNote"/>
        <w:ind w:left="142" w:hanging="142"/>
      </w:pPr>
      <w:r>
        <w:rPr>
          <w:b/>
        </w:rPr>
        <w:t xml:space="preserve">[Q22] Stadt München – Gewerbesteuerhebesatz: </w:t>
      </w:r>
      <w:hyperlink r:id="rId37">
        <w:r>
          <w:rPr>
            <w:color w:val="1F5A7A"/>
            <w:u w:val="single"/>
          </w:rPr>
          <w:t>https://stadt.muenchen.de/infos/hebesaetze-gewerbesteuer-grundsteuer.html</w:t>
        </w:r>
      </w:hyperlink>
    </w:p>
    <w:p>
      <w:pPr>
        <w:pStyle w:val="SmallNote"/>
        <w:ind w:left="142" w:hanging="142"/>
      </w:pPr>
      <w:r>
        <w:rPr>
          <w:b/>
        </w:rPr>
        <w:t xml:space="preserve">[Q23] KStG §23: </w:t>
      </w:r>
      <w:hyperlink r:id="rId38">
        <w:r>
          <w:rPr>
            <w:color w:val="1F5A7A"/>
            <w:u w:val="single"/>
          </w:rPr>
          <w:t>https://www.gesetze-im-internet.de/kstg_1977/__23.html</w:t>
        </w:r>
      </w:hyperlink>
    </w:p>
    <w:p>
      <w:pPr>
        <w:pStyle w:val="SmallNote"/>
        <w:ind w:left="142" w:hanging="142"/>
      </w:pPr>
      <w:r>
        <w:rPr>
          <w:b/>
        </w:rPr>
        <w:t xml:space="preserve">[Q24] SolZG §4: </w:t>
      </w:r>
      <w:hyperlink r:id="rId39">
        <w:r>
          <w:rPr>
            <w:color w:val="1F5A7A"/>
            <w:u w:val="single"/>
          </w:rPr>
          <w:t>https://www.gesetze-im-internet.de/solzg_1995/__4.html</w:t>
        </w:r>
      </w:hyperlink>
    </w:p>
    <w:p>
      <w:pPr>
        <w:pStyle w:val="SmallNote"/>
        <w:ind w:left="142" w:hanging="142"/>
      </w:pPr>
      <w:r>
        <w:rPr>
          <w:b/>
        </w:rPr>
        <w:t xml:space="preserve">[Q25] GewStG – Steuermesszahl: </w:t>
      </w:r>
      <w:hyperlink r:id="rId40">
        <w:r>
          <w:rPr>
            <w:color w:val="1F5A7A"/>
            <w:u w:val="single"/>
          </w:rPr>
          <w:t>https://www.gesetze-im-internet.de/gewstg/BJNR009790936.html</w:t>
        </w:r>
      </w:hyperlink>
    </w:p>
    <w:p>
      <w:pPr>
        <w:pStyle w:val="SmallNote"/>
        <w:ind w:left="142" w:hanging="142"/>
      </w:pPr>
      <w:r>
        <w:rPr>
          <w:b/>
        </w:rPr>
        <w:t xml:space="preserve">[Q26] LLM SoccerArena – About: </w:t>
      </w:r>
      <w:hyperlink r:id="rId41">
        <w:r>
          <w:rPr>
            <w:color w:val="1F5A7A"/>
            <w:u w:val="single"/>
          </w:rPr>
          <w:t>https://www.llm-soccerarena.com/about</w:t>
        </w:r>
      </w:hyperlink>
    </w:p>
    <w:p>
      <w:pPr>
        <w:pStyle w:val="SmallNote"/>
        <w:ind w:left="142" w:hanging="142"/>
      </w:pPr>
      <w:r>
        <w:rPr>
          <w:b/>
        </w:rPr>
        <w:t xml:space="preserve">[Q27] BR – Bericht zur KI-Sportprognose: </w:t>
      </w:r>
      <w:hyperlink r:id="rId42">
        <w:r>
          <w:rPr>
            <w:color w:val="1F5A7A"/>
            <w:u w:val="single"/>
          </w:rPr>
          <w:t>https://www.br.de/nachrichten/wissen/neue-studie-wie-gut-prognostiziert-die-ki-fussball-ergebnisse%2CVMyclTs</w:t>
        </w:r>
      </w:hyperlink>
    </w:p>
    <w:p>
      <w:pPr>
        <w:pStyle w:val="Heading2"/>
      </w:pPr>
      <w:r>
        <w:t>Noch einzureichende Nachweise</w:t>
      </w:r>
    </w:p>
    <w:p>
      <w:pPr>
        <w:pStyle w:val="ListBullet"/>
      </w:pPr>
      <w:r>
        <w:t>Paper-URL/DOI/arXiv- oder Archiv-Identifier, Version, Einreichungsstatus und freigegebene Benchmark-Ergebnisse.</w:t>
      </w:r>
    </w:p>
    <w:p>
      <w:pPr>
        <w:pStyle w:val="ListBullet"/>
      </w:pPr>
      <w:r>
        <w:t>Originale Google-Analytics-Exporte und Plattformlinks zur Tagesschau-/BR-Berichterstattung.</w:t>
      </w:r>
    </w:p>
    <w:p>
      <w:pPr>
        <w:pStyle w:val="ListBullet"/>
      </w:pPr>
      <w:r>
        <w:t>Interviewliste mit Datum, Rolle, Problem, Budget, Kaufprozess und anonymisiertem Zitat.</w:t>
      </w:r>
    </w:p>
    <w:p>
      <w:pPr>
        <w:pStyle w:val="ListBullet"/>
      </w:pPr>
      <w:r>
        <w:t>TheSportsDB-/API-Vertrag sowie Logo-/Markenfreigaben für kommerzielle Nutzung.</w:t>
      </w:r>
    </w:p>
    <w:p>
      <w:pPr>
        <w:pStyle w:val="ListBullet"/>
      </w:pPr>
      <w:r>
        <w:t>Universitätsfreigabe, Nebentätigkeitsanzeige und dokumentierte IP-Chain-of-Title.</w:t>
      </w:r>
    </w:p>
    <w:p>
      <w:pPr>
        <w:pStyle w:val="Heading2"/>
      </w:pPr>
      <w:r>
        <w:t>Finale Freigabeliste vor Gründung</w:t>
      </w:r>
    </w:p>
    <w:p>
      <w:pPr>
        <w:pStyle w:val="ListNumber"/>
      </w:pPr>
      <w:r>
        <w:t>Unternehmensname, Domain und Markenrecherche entscheiden.</w:t>
      </w:r>
    </w:p>
    <w:p>
      <w:pPr>
        <w:pStyle w:val="ListNumber"/>
      </w:pPr>
      <w:r>
        <w:t>LMU-/IP-/Nebentätigkeitsklärung schriftlich abschließen.</w:t>
      </w:r>
    </w:p>
    <w:p>
      <w:pPr>
        <w:pStyle w:val="ListNumber"/>
      </w:pPr>
      <w:r>
        <w:t>Daten-, Logo- und API-Lizenzen kommerziell freigeben lassen.</w:t>
      </w:r>
    </w:p>
    <w:p>
      <w:pPr>
        <w:pStyle w:val="ListNumber"/>
      </w:pPr>
      <w:r>
        <w:t>UG-Satzung und 50/50-Gesellschaftervertrag notariell vorbereiten.</w:t>
      </w:r>
    </w:p>
    <w:p>
      <w:pPr>
        <w:pStyle w:val="ListNumber"/>
      </w:pPr>
      <w:r>
        <w:t>15–25 T€ Liquiditätsreserve verbindlich dokumentieren.</w:t>
      </w:r>
    </w:p>
    <w:p>
      <w:pPr>
        <w:pStyle w:val="ListNumber"/>
      </w:pPr>
      <w:r>
        <w:t>AGB, Datenschutz, DPA/AVV, Impressum und KI-Hinweise prüfen.</w:t>
      </w:r>
    </w:p>
    <w:p>
      <w:pPr>
        <w:pStyle w:val="ListNumber"/>
      </w:pPr>
      <w:r>
        <w:t>IT-/Vermögensschaden- und Cyberdeckung anbieten lassen.</w:t>
      </w:r>
    </w:p>
    <w:p>
      <w:pPr>
        <w:pStyle w:val="ListNumber"/>
      </w:pPr>
      <w:r>
        <w:t>Vier Widgets mit Monitoring, Scorecard und Rollback abnehmen.</w:t>
      </w:r>
    </w:p>
    <w:p>
      <w:pPr>
        <w:pStyle w:val="ListNumber"/>
      </w:pPr>
      <w:r>
        <w:t>30 Zielpublisher priorisieren und Paid-Pilot-Angebot standardisieren.</w:t>
      </w:r>
    </w:p>
    <w:p>
      <w:pPr>
        <w:pStyle w:val="ListNumber"/>
      </w:pPr>
      <w:r>
        <w:t>90-Tage-Go/Revise/Stop-Review im Gründerkalender terminieren.</w:t>
      </w:r>
    </w:p>
    <w:p/>
    <w:tbl>
      <w:tblPr>
        <w:tblW w:type="auto" w:w="0"/>
        <w:jc w:val="center"/>
        <w:tblLook w:firstColumn="1" w:firstRow="1" w:lastColumn="0" w:lastRow="0" w:noHBand="0" w:noVBand="1" w:val="04A0"/>
      </w:tblPr>
      <w:tblGrid>
        <w:gridCol w:w="9850"/>
      </w:tblGrid>
      <w:tr>
        <w:tc>
          <w:tcPr>
            <w:tcW w:type="dxa" w:w="9850"/>
            <w:shd w:fill="DDEFF5"/>
            <w:tcMar>
              <w:top w:w="140" w:type="dxa"/>
              <w:start w:w="180" w:type="dxa"/>
              <w:bottom w:w="140" w:type="dxa"/>
              <w:end w:w="180" w:type="dxa"/>
            </w:tcMar>
          </w:tcPr>
          <w:p>
            <w:pPr>
              <w:pStyle w:val="Callout"/>
            </w:pPr>
            <w:r>
              <w:rPr>
                <w:b/>
              </w:rPr>
              <w:t xml:space="preserve">Schlussfolgerung — </w:t>
            </w:r>
            <w:r>
              <w:t>Das Projekt ist wirtschaftlich plausibel, wenn es als fokussiertes Publisher-SaaS geführt wird. Es ist noch nicht bewiesen, dass es skalierbar ist. Der nächste Unternehmenswert entsteht nicht durch weitere Features, sondern durch zahlende Kunden, belastbare Retention, messbare Prognosegüte und geklärte Rechte.</w:t>
            </w:r>
          </w:p>
        </w:tc>
      </w:tr>
    </w:tbl>
    <w:p>
      <w:pPr>
        <w:spacing w:after="20"/>
      </w:pPr>
    </w:p>
    <w:sectPr w:rsidR="00FC693F" w:rsidRPr="0006063C" w:rsidSect="00034616">
      <w:headerReference w:type="default" r:id="rId9"/>
      <w:footerReference w:type="default" r:id="rId10"/>
      <w:pgSz w:w="12240" w:h="15840"/>
      <w:pgMar w:top="1181" w:right="1123" w:bottom="1094"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37D"/>
        <w:sz w:val="16"/>
      </w:rPr>
      <w:t xml:space="preserve">VERTRAULICH  ·  INTERNE PLANUNG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8737D"/>
        <w:sz w:val="16"/>
      </w:rPr>
      <w:t>AI SPORTS PREDICTION  ·  BUSINESSPLAN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jc w:val="both"/>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Calibri" w:hAnsi="Calibri"/>
      <w:b/>
      <w:bCs/>
      <w:color w:val="1F5A7A"/>
      <w:sz w:val="34"/>
      <w:szCs w:val="28"/>
    </w:rPr>
  </w:style>
  <w:style w:type="paragraph" w:styleId="Heading2">
    <w:name w:val="heading 2"/>
    <w:basedOn w:val="Normal"/>
    <w:next w:val="Normal"/>
    <w:link w:val="Heading2Char"/>
    <w:uiPriority w:val="9"/>
    <w:unhideWhenUsed/>
    <w:qFormat/>
    <w:rsid w:val="00FC693F"/>
    <w:pPr>
      <w:keepNext/>
      <w:keepLines/>
      <w:spacing w:before="240" w:after="100"/>
      <w:jc w:val="left"/>
      <w:outlineLvl w:val="1"/>
    </w:pPr>
    <w:rPr>
      <w:rFonts w:asciiTheme="majorHAnsi" w:eastAsiaTheme="majorEastAsia" w:hAnsiTheme="majorHAnsi" w:cstheme="majorBidi" w:ascii="Calibri" w:hAnsi="Calibri"/>
      <w:b/>
      <w:bCs/>
      <w:color w:val="1F5A7A"/>
      <w:sz w:val="26"/>
      <w:szCs w:val="26"/>
    </w:rPr>
  </w:style>
  <w:style w:type="paragraph" w:styleId="Heading3">
    <w:name w:val="heading 3"/>
    <w:basedOn w:val="Normal"/>
    <w:next w:val="Normal"/>
    <w:link w:val="Heading3Char"/>
    <w:uiPriority w:val="9"/>
    <w:unhideWhenUsed/>
    <w:qFormat/>
    <w:rsid w:val="00FC693F"/>
    <w:pPr>
      <w:keepNext/>
      <w:keepLines/>
      <w:spacing w:before="180" w:after="80"/>
      <w:jc w:val="left"/>
      <w:outlineLvl w:val="2"/>
    </w:pPr>
    <w:rPr>
      <w:rFonts w:asciiTheme="majorHAnsi" w:eastAsiaTheme="majorEastAsia" w:hAnsiTheme="majorHAnsi" w:cstheme="majorBidi" w:ascii="Calibri" w:hAnsi="Calibri"/>
      <w:b/>
      <w:bCs/>
      <w:color w:val="1226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jc w:val="left"/>
    </w:pPr>
    <w:rPr>
      <w:rFonts w:asciiTheme="majorHAnsi" w:eastAsiaTheme="majorEastAsia" w:hAnsiTheme="majorHAnsi" w:cstheme="majorBidi" w:ascii="Calibri" w:hAnsi="Calibri"/>
      <w:b/>
      <w:color w:val="1226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jc w:val="left"/>
    </w:pPr>
    <w:rPr>
      <w:rFonts w:asciiTheme="majorHAnsi" w:eastAsiaTheme="majorEastAsia" w:hAnsiTheme="majorHAnsi" w:cstheme="majorBidi" w:ascii="Calibri" w:hAnsi="Calibri"/>
      <w:b w:val="0"/>
      <w:i/>
      <w:iCs/>
      <w:color w:val="1F5A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2" w:hanging="142"/>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2" w:hanging="142"/>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Calibri" w:hAnsi="Calibri"/>
      <w:color w:val="68737D"/>
      <w:sz w:val="17"/>
    </w:rPr>
  </w:style>
  <w:style w:type="paragraph" w:customStyle="1" w:styleId="Callout">
    <w:name w:val="Callout"/>
    <w:pPr>
      <w:spacing w:before="120" w:after="120"/>
      <w:ind w:left="198" w:right="198"/>
    </w:pPr>
    <w:rPr>
      <w:rFonts w:ascii="Calibri" w:hAnsi="Calibri"/>
      <w:b/>
      <w:color w:val="1226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hyperlink" Target="https://www.sba.gov/business-guide/plan-your-business/write-your-business-plan?showAll=true" TargetMode="External"/><Relationship Id="rId17" Type="http://schemas.openxmlformats.org/officeDocument/2006/relationships/hyperlink" Target="https://www.kfw.de/inlandsfoerderung/Unternehmen/Gr%C3%BCndung-und-Nachfolge/Gr%C3%BCndung/" TargetMode="External"/><Relationship Id="rId18" Type="http://schemas.openxmlformats.org/officeDocument/2006/relationships/hyperlink" Target="https://iabeurope.eu/knowledge_hub/iab-europe-adex-benchmark-2025-report/" TargetMode="External"/><Relationship Id="rId19" Type="http://schemas.openxmlformats.org/officeDocument/2006/relationships/hyperlink" Target="https://www.bvdw.org/news-und-publikationen/ovk-prognose-digitaler-werbemarkt-waechst-auf-ueber-acht-milliarden-euro/" TargetMode="External"/><Relationship Id="rId20" Type="http://schemas.openxmlformats.org/officeDocument/2006/relationships/hyperlink" Target="https://www.iab.com/news/digital-ad-revenue-climbs-to-nearly-300b-as-iab-celebrates-30-year-anniversary/" TargetMode="External"/><Relationship Id="rId21" Type="http://schemas.openxmlformats.org/officeDocument/2006/relationships/hyperlink" Target="https://ec.europa.eu/eurostat/web/products-eurostat-news/w/ddn-20250502-1" TargetMode="External"/><Relationship Id="rId22" Type="http://schemas.openxmlformats.org/officeDocument/2006/relationships/hyperlink" Target="https://ec.europa.eu/eurostat/web/products-eurostat-news/w/ddn-20250710-2" TargetMode="External"/><Relationship Id="rId23" Type="http://schemas.openxmlformats.org/officeDocument/2006/relationships/hyperlink" Target="https://www.bdzv.de/alle-themen/marktdaten/reichweiten-der-zeitungen" TargetMode="External"/><Relationship Id="rId24" Type="http://schemas.openxmlformats.org/officeDocument/2006/relationships/hyperlink" Target="https://reutersinstitute.politics.ox.ac.uk/journalism-media-and-technology-trends-and-predictions-2026" TargetMode="External"/><Relationship Id="rId25" Type="http://schemas.openxmlformats.org/officeDocument/2006/relationships/hyperlink" Target="https://www.bdzv.de/service/presse/pressemitteilungen/2025/trends-der-zeitungsbranche-2025" TargetMode="External"/><Relationship Id="rId26" Type="http://schemas.openxmlformats.org/officeDocument/2006/relationships/hyperlink" Target="https://theanalyst.com/articles/serie-a-predictions-2025-26-opta-supercomputer" TargetMode="External"/><Relationship Id="rId27" Type="http://schemas.openxmlformats.org/officeDocument/2006/relationships/hyperlink" Target="https://www.sportmonks.com/football-api/football-widgets/" TargetMode="External"/><Relationship Id="rId28" Type="http://schemas.openxmlformats.org/officeDocument/2006/relationships/hyperlink" Target="https://api-sports.io/documentation/widgets/v3" TargetMode="External"/><Relationship Id="rId29" Type="http://schemas.openxmlformats.org/officeDocument/2006/relationships/hyperlink" Target="https://www.scoreaxis.com/widgets/" TargetMode="External"/><Relationship Id="rId30" Type="http://schemas.openxmlformats.org/officeDocument/2006/relationships/hyperlink" Target="https://support.google.com/adsense/answer/180195?hl=de" TargetMode="External"/><Relationship Id="rId31" Type="http://schemas.openxmlformats.org/officeDocument/2006/relationships/hyperlink" Target="https://digital-strategy.ec.europa.eu/en/news/commission-publishes-guidelines-transparency-obligations-providers-and-deployers-certain-ai-systems" TargetMode="External"/><Relationship Id="rId32" Type="http://schemas.openxmlformats.org/officeDocument/2006/relationships/hyperlink" Target="https://digital-strategy.ec.europa.eu/en/policies/regulatory-framework-ai" TargetMode="External"/><Relationship Id="rId33" Type="http://schemas.openxmlformats.org/officeDocument/2006/relationships/hyperlink" Target="https://www.lmu.de/en/research/research-transfer/inventions-patents-and-exploitation-rights/" TargetMode="External"/><Relationship Id="rId34" Type="http://schemas.openxmlformats.org/officeDocument/2006/relationships/hyperlink" Target="https://www.gesetze-im-internet.de/gmbhg/BJNR004770892.html" TargetMode="External"/><Relationship Id="rId35" Type="http://schemas.openxmlformats.org/officeDocument/2006/relationships/hyperlink" Target="https://www.bundesfinanzministerium.de/Content/DE/FAQ/e-rechnung.html" TargetMode="External"/><Relationship Id="rId36" Type="http://schemas.openxmlformats.org/officeDocument/2006/relationships/hyperlink" Target="https://www.ihk.de/koeln/hauptnavigation/beratung-und-services/versicherungen-fuer-unternehmen-5141790" TargetMode="External"/><Relationship Id="rId37" Type="http://schemas.openxmlformats.org/officeDocument/2006/relationships/hyperlink" Target="https://stadt.muenchen.de/infos/hebesaetze-gewerbesteuer-grundsteuer.html" TargetMode="External"/><Relationship Id="rId38" Type="http://schemas.openxmlformats.org/officeDocument/2006/relationships/hyperlink" Target="https://www.gesetze-im-internet.de/kstg_1977/__23.html" TargetMode="External"/><Relationship Id="rId39" Type="http://schemas.openxmlformats.org/officeDocument/2006/relationships/hyperlink" Target="https://www.gesetze-im-internet.de/solzg_1995/__4.html" TargetMode="External"/><Relationship Id="rId40" Type="http://schemas.openxmlformats.org/officeDocument/2006/relationships/hyperlink" Target="https://www.gesetze-im-internet.de/gewstg/BJNR009790936.html" TargetMode="External"/><Relationship Id="rId41" Type="http://schemas.openxmlformats.org/officeDocument/2006/relationships/hyperlink" Target="https://www.llm-soccerarena.com/about" TargetMode="External"/><Relationship Id="rId42" Type="http://schemas.openxmlformats.org/officeDocument/2006/relationships/hyperlink" Target="https://www.br.de/nachrichten/wissen/neue-studie-wie-gut-prognostiziert-die-ki-fussball-ergebnisse%2CVMyc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Sports Prediction – Businessplan 2026–2031</dc:title>
  <dc:subject>Finaler, investorenfähiger Businessplan für interne Planung, Steuerberatung und Versicherungen</dc:subject>
  <dc:creator>Jonas Schröder und Jonas Schweisthal</dc:creator>
  <cp:keywords>Businessplan, AI, Sports Prediction, Publisher Widgets, SaaS, Finanzplanung</cp:keywords>
  <dc:description>generated by python-docx</dc:description>
  <cp:lastModifiedBy/>
  <cp:revision>1</cp:revision>
  <dcterms:created xsi:type="dcterms:W3CDTF">2013-12-23T23:15:00Z</dcterms:created>
  <dcterms:modified xsi:type="dcterms:W3CDTF">2013-12-23T23:15:00Z</dcterms:modified>
  <cp:category/>
</cp:coreProperties>
</file>