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69AA"/>
          <w:sz w:val="22"/>
        </w:rPr>
        <w:t>PROJET TRACKIT</w:t>
      </w:r>
    </w:p>
    <w:p>
      <w:pPr>
        <w:spacing w:after="80"/>
        <w:pBdr>
          <w:bottom w:val="single" w:sz="6" w:space="4" w:color="163658"/>
        </w:pBdr>
      </w:pPr>
      <w:r>
        <w:rPr>
          <w:rFonts w:ascii="Arial" w:hAnsi="Arial"/>
          <w:b/>
          <w:color w:val="163658"/>
          <w:sz w:val="52"/>
        </w:rPr>
        <w:t>16 — Stratégie de sécurité</w:t>
      </w:r>
    </w:p>
    <w:p>
      <w:pPr>
        <w:spacing w:after="80"/>
      </w:pPr>
      <w:r>
        <w:rPr>
          <w:rFonts w:ascii="Arial" w:hAnsi="Arial"/>
          <w:i w:val="0"/>
          <w:color w:val="5B6878"/>
          <w:sz w:val="22"/>
        </w:rPr>
        <w:t>Réflexion critique et documentée des besoins de sécurisation de l'application web de gestion des anomalies informatiques</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Sommaire</w:t>
      </w:r>
    </w:p>
    <w:p>
      <w:pPr>
        <w:spacing w:after="60"/>
        <w:ind w:left="170"/>
      </w:pPr>
      <w:r>
        <w:rPr>
          <w:rFonts w:ascii="Arial" w:hAnsi="Arial"/>
          <w:color w:val="202B38"/>
          <w:sz w:val="21"/>
        </w:rPr>
        <w:t>1. Objet, périmètre et méthode</w:t>
      </w:r>
    </w:p>
    <w:p>
      <w:pPr>
        <w:spacing w:after="60"/>
        <w:ind w:left="170"/>
      </w:pPr>
      <w:r>
        <w:rPr>
          <w:rFonts w:ascii="Arial" w:hAnsi="Arial"/>
          <w:color w:val="202B38"/>
          <w:sz w:val="21"/>
        </w:rPr>
        <w:t>2. Biens à protéger et analyse des risques</w:t>
      </w:r>
    </w:p>
    <w:p>
      <w:pPr>
        <w:spacing w:after="60"/>
        <w:ind w:left="170"/>
      </w:pPr>
      <w:r>
        <w:rPr>
          <w:rFonts w:ascii="Arial" w:hAnsi="Arial"/>
          <w:color w:val="202B38"/>
          <w:sz w:val="21"/>
        </w:rPr>
        <w:t>3. Principes de Security by Design appliqués</w:t>
      </w:r>
    </w:p>
    <w:p>
      <w:pPr>
        <w:spacing w:after="60"/>
        <w:ind w:left="170"/>
      </w:pPr>
      <w:r>
        <w:rPr>
          <w:rFonts w:ascii="Arial" w:hAnsi="Arial"/>
          <w:color w:val="202B38"/>
          <w:sz w:val="21"/>
        </w:rPr>
        <w:t>4. Authentification et récupération des identifiants</w:t>
      </w:r>
    </w:p>
    <w:p>
      <w:pPr>
        <w:spacing w:after="60"/>
        <w:ind w:left="170"/>
      </w:pPr>
      <w:r>
        <w:rPr>
          <w:rFonts w:ascii="Arial" w:hAnsi="Arial"/>
          <w:color w:val="202B38"/>
          <w:sz w:val="21"/>
        </w:rPr>
        <w:t>5. Autorisation et accès aux ressources</w:t>
      </w:r>
    </w:p>
    <w:p>
      <w:pPr>
        <w:spacing w:after="60"/>
        <w:ind w:left="170"/>
      </w:pPr>
      <w:r>
        <w:rPr>
          <w:rFonts w:ascii="Arial" w:hAnsi="Arial"/>
          <w:color w:val="202B38"/>
          <w:sz w:val="21"/>
        </w:rPr>
        <w:t>6. Protection des données personnelles</w:t>
      </w:r>
    </w:p>
    <w:p>
      <w:pPr>
        <w:spacing w:after="60"/>
        <w:ind w:left="170"/>
      </w:pPr>
      <w:r>
        <w:rPr>
          <w:rFonts w:ascii="Arial" w:hAnsi="Arial"/>
          <w:color w:val="202B38"/>
          <w:sz w:val="21"/>
        </w:rPr>
        <w:t>7. Sécurité des échanges et de la configuration</w:t>
      </w:r>
    </w:p>
    <w:p>
      <w:pPr>
        <w:spacing w:after="60"/>
        <w:ind w:left="170"/>
      </w:pPr>
      <w:r>
        <w:rPr>
          <w:rFonts w:ascii="Arial" w:hAnsi="Arial"/>
          <w:color w:val="202B38"/>
          <w:sz w:val="21"/>
        </w:rPr>
        <w:t>8. Sécurité des pièces jointes</w:t>
      </w:r>
    </w:p>
    <w:p>
      <w:pPr>
        <w:spacing w:after="60"/>
        <w:ind w:left="170"/>
      </w:pPr>
      <w:r>
        <w:rPr>
          <w:rFonts w:ascii="Arial" w:hAnsi="Arial"/>
          <w:color w:val="202B38"/>
          <w:sz w:val="21"/>
        </w:rPr>
        <w:t>9. Journalisation et détection d'intrusion</w:t>
      </w:r>
    </w:p>
    <w:p>
      <w:pPr>
        <w:spacing w:after="60"/>
        <w:ind w:left="170"/>
      </w:pPr>
      <w:r>
        <w:rPr>
          <w:rFonts w:ascii="Arial" w:hAnsi="Arial"/>
          <w:color w:val="202B38"/>
          <w:sz w:val="21"/>
        </w:rPr>
        <w:t>10. Plan de reprise d'activité</w:t>
      </w:r>
    </w:p>
    <w:p>
      <w:pPr>
        <w:spacing w:after="60"/>
        <w:ind w:left="170"/>
      </w:pPr>
      <w:r>
        <w:rPr>
          <w:rFonts w:ascii="Arial" w:hAnsi="Arial"/>
          <w:color w:val="202B38"/>
          <w:sz w:val="21"/>
        </w:rPr>
        <w:t>11. Revue des dix principaux risques OWASP</w:t>
      </w:r>
    </w:p>
    <w:p>
      <w:pPr>
        <w:spacing w:after="60"/>
        <w:ind w:left="170"/>
      </w:pPr>
      <w:r>
        <w:rPr>
          <w:rFonts w:ascii="Arial" w:hAnsi="Arial"/>
          <w:color w:val="202B38"/>
          <w:sz w:val="21"/>
        </w:rPr>
        <w:t>12. Synthèse des écarts et plan d'action</w:t>
      </w:r>
    </w:p>
    <w:p>
      <w:pPr>
        <w:spacing w:after="60"/>
        <w:ind w:left="170"/>
      </w:pPr>
      <w:r>
        <w:rPr>
          <w:rFonts w:ascii="Arial" w:hAnsi="Arial"/>
          <w:color w:val="202B38"/>
          <w:sz w:val="21"/>
        </w:rPr>
        <w:t>13. Conclusion</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1. Objet, périmètre et méthode</w:t>
      </w:r>
    </w:p>
    <w:p>
      <w:pPr>
        <w:keepNext/>
        <w:spacing w:before="180" w:after="60"/>
      </w:pPr>
      <w:r>
        <w:rPr>
          <w:rFonts w:ascii="Arial" w:hAnsi="Arial"/>
          <w:b/>
          <w:color w:val="163658"/>
          <w:sz w:val="25"/>
        </w:rPr>
        <w:t>1.1 Objet du document</w:t>
      </w:r>
    </w:p>
    <w:p>
      <w:pPr>
        <w:spacing w:after="80"/>
        <w:jc w:val="both"/>
      </w:pPr>
      <w:r>
        <w:rPr>
          <w:rFonts w:ascii="Arial" w:hAnsi="Arial"/>
          <w:i w:val="0"/>
          <w:color w:val="202B38"/>
          <w:sz w:val="21"/>
        </w:rPr>
        <w:t>Ce document formalise la stratégie de sécurité de TrackIT, application web de déclaration, de suivi et de traitement des anomalies informatiques. Il ne se limite pas à énumérer de bonnes pratiques : il confronte les besoins de sécurisation aux mesures réellement implémentées dans l'application, distingue ce qui est en place de ce qui ne l'est pas, et hiérarchise les actions restantes.</w:t>
      </w:r>
    </w:p>
    <w:p>
      <w:pPr>
        <w:spacing w:after="80"/>
        <w:jc w:val="both"/>
      </w:pPr>
      <w:r>
        <w:rPr>
          <w:rFonts w:ascii="Arial" w:hAnsi="Arial"/>
          <w:i w:val="0"/>
          <w:color w:val="202B38"/>
          <w:sz w:val="21"/>
        </w:rPr>
        <w:t>Chaque affirmation portant sur une mesure existante est vérifiable dans le code source. Les écarts sont signalés explicitement par un encadré, afin qu'ils ne se confondent pas avec les dispositifs opérationnels.</w:t>
      </w:r>
    </w:p>
    <w:p>
      <w:pPr>
        <w:keepNext/>
        <w:spacing w:before="180" w:after="60"/>
      </w:pPr>
      <w:r>
        <w:rPr>
          <w:rFonts w:ascii="Arial" w:hAnsi="Arial"/>
          <w:b/>
          <w:color w:val="163658"/>
          <w:sz w:val="25"/>
        </w:rPr>
        <w:t>1.2 Périmètre</w:t>
      </w:r>
    </w:p>
    <w:p>
      <w:pPr>
        <w:spacing w:after="80"/>
        <w:jc w:val="both"/>
      </w:pPr>
      <w:r>
        <w:rPr>
          <w:rFonts w:ascii="Arial" w:hAnsi="Arial"/>
          <w:i w:val="0"/>
          <w:color w:val="202B38"/>
          <w:sz w:val="21"/>
        </w:rPr>
        <w:t>Le périmètre couvre les trois composants de la solution :</w:t>
      </w:r>
    </w:p>
    <w:p>
      <w:pPr>
        <w:spacing w:after="40"/>
        <w:ind w:left="397" w:hanging="198"/>
      </w:pPr>
      <w:r>
        <w:rPr>
          <w:rFonts w:ascii="Arial" w:hAnsi="Arial"/>
          <w:i w:val="0"/>
          <w:color w:val="202B38"/>
          <w:sz w:val="21"/>
        </w:rPr>
        <w:t>•  l'</w:t>
      </w:r>
      <w:r>
        <w:rPr>
          <w:rFonts w:ascii="Arial" w:hAnsi="Arial"/>
          <w:b/>
          <w:i w:val="0"/>
          <w:color w:val="202B38"/>
          <w:sz w:val="21"/>
        </w:rPr>
        <w:t>API REST</w:t>
      </w:r>
      <w:r>
        <w:rPr>
          <w:rFonts w:ascii="Arial" w:hAnsi="Arial"/>
          <w:i w:val="0"/>
          <w:color w:val="202B38"/>
          <w:sz w:val="21"/>
        </w:rPr>
        <w:t xml:space="preserve"> (Spring Boot 3.3.5, Java 17), qui porte l'ensemble des règles d'authentification, d'autorisation et de validation — 61 opérations exposées ;</w:t>
      </w:r>
    </w:p>
    <w:p>
      <w:pPr>
        <w:spacing w:after="40"/>
        <w:ind w:left="397" w:hanging="198"/>
      </w:pPr>
      <w:r>
        <w:rPr>
          <w:rFonts w:ascii="Arial" w:hAnsi="Arial"/>
          <w:i w:val="0"/>
          <w:color w:val="202B38"/>
          <w:sz w:val="21"/>
        </w:rPr>
        <w:t xml:space="preserve">•  le </w:t>
      </w:r>
      <w:r>
        <w:rPr>
          <w:rFonts w:ascii="Arial" w:hAnsi="Arial"/>
          <w:b/>
          <w:i w:val="0"/>
          <w:color w:val="202B38"/>
          <w:sz w:val="21"/>
        </w:rPr>
        <w:t>client web</w:t>
      </w:r>
      <w:r>
        <w:rPr>
          <w:rFonts w:ascii="Arial" w:hAnsi="Arial"/>
          <w:i w:val="0"/>
          <w:color w:val="202B38"/>
          <w:sz w:val="21"/>
        </w:rPr>
        <w:t xml:space="preserve"> (JavaScript natif, sans framework), qui consomme l'API et stocke la session de l'utilisateur ;</w:t>
      </w:r>
    </w:p>
    <w:p>
      <w:pPr>
        <w:spacing w:after="40"/>
        <w:ind w:left="397" w:hanging="198"/>
      </w:pPr>
      <w:r>
        <w:rPr>
          <w:rFonts w:ascii="Arial" w:hAnsi="Arial"/>
          <w:i w:val="0"/>
          <w:color w:val="202B38"/>
          <w:sz w:val="21"/>
        </w:rPr>
        <w:t xml:space="preserve">•  la </w:t>
      </w:r>
      <w:r>
        <w:rPr>
          <w:rFonts w:ascii="Arial" w:hAnsi="Arial"/>
          <w:b/>
          <w:i w:val="0"/>
          <w:color w:val="202B38"/>
          <w:sz w:val="21"/>
        </w:rPr>
        <w:t>base de données MySQL</w:t>
      </w:r>
      <w:r>
        <w:rPr>
          <w:rFonts w:ascii="Arial" w:hAnsi="Arial"/>
          <w:i w:val="0"/>
          <w:color w:val="202B38"/>
          <w:sz w:val="21"/>
        </w:rPr>
        <w:t xml:space="preserve"> et le </w:t>
      </w:r>
      <w:r>
        <w:rPr>
          <w:rFonts w:ascii="Arial" w:hAnsi="Arial"/>
          <w:b/>
          <w:i w:val="0"/>
          <w:color w:val="202B38"/>
          <w:sz w:val="21"/>
        </w:rPr>
        <w:t>stockage des pièces jointes</w:t>
      </w:r>
      <w:r>
        <w:rPr>
          <w:rFonts w:ascii="Arial" w:hAnsi="Arial"/>
          <w:i w:val="0"/>
          <w:color w:val="202B38"/>
          <w:sz w:val="21"/>
        </w:rPr>
        <w:t xml:space="preserve"> sur le système de fichiers du serveur.</w:t>
      </w:r>
    </w:p>
    <w:p>
      <w:pPr>
        <w:spacing w:after="80"/>
        <w:jc w:val="both"/>
      </w:pPr>
      <w:r>
        <w:rPr>
          <w:rFonts w:ascii="Arial" w:hAnsi="Arial"/>
          <w:i w:val="0"/>
          <w:color w:val="202B38"/>
          <w:sz w:val="21"/>
        </w:rPr>
        <w:t>Sont hors périmètre la sécurité physique de l'hébergement, la sécurité du poste de travail des utilisateurs, et le traitement des données bancaires, délégué à Stripe : TrackIT ne stocke ni numéro de carte ni donnée de paiement.</w:t>
      </w:r>
    </w:p>
    <w:p>
      <w:pPr>
        <w:keepNext/>
        <w:spacing w:before="180" w:after="60"/>
      </w:pPr>
      <w:r>
        <w:rPr>
          <w:rFonts w:ascii="Arial" w:hAnsi="Arial"/>
          <w:b/>
          <w:color w:val="163658"/>
          <w:sz w:val="25"/>
        </w:rPr>
        <w:t>1.3 Méthode</w:t>
      </w:r>
    </w:p>
    <w:p>
      <w:pPr>
        <w:spacing w:after="80"/>
        <w:jc w:val="both"/>
      </w:pPr>
      <w:r>
        <w:rPr>
          <w:rFonts w:ascii="Arial" w:hAnsi="Arial"/>
          <w:i w:val="0"/>
          <w:color w:val="202B38"/>
          <w:sz w:val="21"/>
        </w:rPr>
        <w:t>L'analyse s'appuie sur trois sources complémentaires :</w:t>
      </w:r>
    </w:p>
    <w:p>
      <w:pPr>
        <w:spacing w:after="40"/>
        <w:ind w:left="397" w:hanging="198"/>
      </w:pPr>
      <w:r>
        <w:rPr>
          <w:rFonts w:ascii="Arial" w:hAnsi="Arial"/>
          <w:i w:val="0"/>
          <w:color w:val="202B38"/>
          <w:sz w:val="21"/>
        </w:rPr>
        <w:t xml:space="preserve">•  une </w:t>
      </w:r>
      <w:r>
        <w:rPr>
          <w:rFonts w:ascii="Arial" w:hAnsi="Arial"/>
          <w:b/>
          <w:i w:val="0"/>
          <w:color w:val="202B38"/>
          <w:sz w:val="21"/>
        </w:rPr>
        <w:t>revue du code source</w:t>
      </w:r>
      <w:r>
        <w:rPr>
          <w:rFonts w:ascii="Arial" w:hAnsi="Arial"/>
          <w:i w:val="0"/>
          <w:color w:val="202B38"/>
          <w:sz w:val="21"/>
        </w:rPr>
        <w:t xml:space="preserve"> portant sur la configuration de sécurité, les filtres d'authentification, les annotations d'autorisation, la validation des entrées, le traitement des fichiers et la gestion des erreurs ;</w:t>
      </w:r>
    </w:p>
    <w:p>
      <w:pPr>
        <w:spacing w:after="40"/>
        <w:ind w:left="397" w:hanging="198"/>
      </w:pPr>
      <w:r>
        <w:rPr>
          <w:rFonts w:ascii="Arial" w:hAnsi="Arial"/>
          <w:i w:val="0"/>
          <w:color w:val="202B38"/>
          <w:sz w:val="21"/>
        </w:rPr>
        <w:t xml:space="preserve">•  le référentiel </w:t>
      </w:r>
      <w:r>
        <w:rPr>
          <w:rFonts w:ascii="Arial" w:hAnsi="Arial"/>
          <w:b/>
          <w:i w:val="0"/>
          <w:color w:val="202B38"/>
          <w:sz w:val="21"/>
        </w:rPr>
        <w:t>OWASP Top 10 (édition 2021)</w:t>
      </w:r>
      <w:r>
        <w:rPr>
          <w:rFonts w:ascii="Arial" w:hAnsi="Arial"/>
          <w:i w:val="0"/>
          <w:color w:val="202B38"/>
          <w:sz w:val="21"/>
        </w:rPr>
        <w:t>, utilisé comme grille de couverture au chapitre 11 ;</w:t>
      </w:r>
    </w:p>
    <w:p>
      <w:pPr>
        <w:spacing w:after="40"/>
        <w:ind w:left="397" w:hanging="198"/>
      </w:pPr>
      <w:r>
        <w:rPr>
          <w:rFonts w:ascii="Arial" w:hAnsi="Arial"/>
          <w:i w:val="0"/>
          <w:color w:val="202B38"/>
          <w:sz w:val="21"/>
        </w:rPr>
        <w:t xml:space="preserve">•  les principes de </w:t>
      </w:r>
      <w:r>
        <w:rPr>
          <w:rFonts w:ascii="Arial" w:hAnsi="Arial"/>
          <w:b/>
          <w:i w:val="0"/>
          <w:color w:val="202B38"/>
          <w:sz w:val="21"/>
        </w:rPr>
        <w:t>Security by Design</w:t>
      </w:r>
      <w:r>
        <w:rPr>
          <w:rFonts w:ascii="Arial" w:hAnsi="Arial"/>
          <w:i w:val="0"/>
          <w:color w:val="202B38"/>
          <w:sz w:val="21"/>
        </w:rPr>
        <w:t>, utilisés comme grille de conception au chapitre 3.</w:t>
      </w:r>
    </w:p>
    <w:p>
      <w:pPr>
        <w:spacing w:after="80"/>
        <w:jc w:val="both"/>
      </w:pPr>
      <w:r>
        <w:rPr>
          <w:rFonts w:ascii="Arial" w:hAnsi="Arial"/>
          <w:i w:val="0"/>
          <w:color w:val="202B38"/>
          <w:sz w:val="21"/>
        </w:rPr>
        <w:t>Les niveaux de risque sont exprimés sur une échelle à quatre degrés — faible, moyen, élevé, critique — obtenue en croisant l'impact d'un incident avec sa vraisemblance compte tenu des mesures déjà en place.</w:t>
      </w:r>
    </w:p>
    <w:p>
      <w:pPr>
        <w:keepNext/>
        <w:spacing w:before="300" w:after="100"/>
        <w:pBdr>
          <w:bottom w:val="single" w:sz="4" w:space="3" w:color="C8D4E2"/>
        </w:pBdr>
      </w:pPr>
      <w:r>
        <w:rPr>
          <w:rFonts w:ascii="Arial" w:hAnsi="Arial"/>
          <w:b/>
          <w:color w:val="163658"/>
          <w:sz w:val="32"/>
        </w:rPr>
        <w:t>2. Biens à protéger et analyse des risques</w:t>
      </w:r>
    </w:p>
    <w:p>
      <w:pPr>
        <w:keepNext/>
        <w:spacing w:before="180" w:after="60"/>
      </w:pPr>
      <w:r>
        <w:rPr>
          <w:rFonts w:ascii="Arial" w:hAnsi="Arial"/>
          <w:b/>
          <w:color w:val="163658"/>
          <w:sz w:val="25"/>
        </w:rPr>
        <w:t>2.1 Biens sensibles</w:t>
      </w:r>
    </w:p>
    <w:p>
      <w:pPr>
        <w:spacing w:after="80"/>
        <w:jc w:val="both"/>
      </w:pPr>
      <w:r>
        <w:rPr>
          <w:rFonts w:ascii="Arial" w:hAnsi="Arial"/>
          <w:i w:val="0"/>
          <w:color w:val="202B38"/>
          <w:sz w:val="21"/>
        </w:rPr>
        <w:t>Avant de choisir des mesures, il faut savoir ce que l'on protège. TrackIT manipule des informations qui décrivent les pannes et les faiblesses du système d'information de ses clients : leur divulgation est plus grave que celle d'un simple catalogue de données.</w:t>
      </w:r>
    </w:p>
    <w:tbl>
      <w:tblPr>
        <w:tblStyle w:val="TableGrid"/>
        <w:tblW w:type="auto" w:w="0"/>
        <w:jc w:val="center"/>
        <w:tblLayout w:type="fixed"/>
        <w:tblLook w:firstColumn="1" w:firstRow="1" w:lastColumn="0" w:lastRow="0" w:noHBand="0" w:noVBand="1" w:val="04A0"/>
        <w:tblLayout w:type="fixed"/>
      </w:tblPr>
      <w:tblGrid>
        <w:gridCol w:w="2041"/>
        <w:gridCol w:w="2041"/>
        <w:gridCol w:w="1247"/>
        <w:gridCol w:w="4309"/>
      </w:tblGrid>
      <w:tr>
        <w:trPr>
          <w:tblHeader w:val="true"/>
          <w:cantSplit/>
        </w:trPr>
        <w:tc>
          <w:tcPr>
            <w:tcW w:type="dxa" w:w="2041"/>
            <w:shd w:fill="163658"/>
          </w:tcPr>
          <w:p>
            <w:pPr>
              <w:spacing w:after="40" w:before="40"/>
            </w:pPr>
            <w:r/>
            <w:r>
              <w:rPr>
                <w:rFonts w:ascii="Arial" w:hAnsi="Arial"/>
                <w:b/>
                <w:color w:val="FFFFFF"/>
                <w:sz w:val="17"/>
              </w:rPr>
              <w:t>Bien</w:t>
            </w:r>
          </w:p>
        </w:tc>
        <w:tc>
          <w:tcPr>
            <w:tcW w:type="dxa" w:w="2041"/>
            <w:shd w:fill="163658"/>
          </w:tcPr>
          <w:p>
            <w:pPr>
              <w:spacing w:after="40" w:before="40"/>
            </w:pPr>
            <w:r/>
            <w:r>
              <w:rPr>
                <w:rFonts w:ascii="Arial" w:hAnsi="Arial"/>
                <w:b/>
                <w:color w:val="FFFFFF"/>
                <w:sz w:val="17"/>
              </w:rPr>
              <w:t>Nature</w:t>
            </w:r>
          </w:p>
        </w:tc>
        <w:tc>
          <w:tcPr>
            <w:tcW w:type="dxa" w:w="1247"/>
            <w:shd w:fill="163658"/>
          </w:tcPr>
          <w:p>
            <w:pPr>
              <w:spacing w:after="40" w:before="40"/>
            </w:pPr>
            <w:r/>
            <w:r>
              <w:rPr>
                <w:rFonts w:ascii="Arial" w:hAnsi="Arial"/>
                <w:b/>
                <w:color w:val="FFFFFF"/>
                <w:sz w:val="17"/>
              </w:rPr>
              <w:t>Sensibilité</w:t>
            </w:r>
          </w:p>
        </w:tc>
        <w:tc>
          <w:tcPr>
            <w:tcW w:type="dxa" w:w="4309"/>
            <w:shd w:fill="163658"/>
          </w:tcPr>
          <w:p>
            <w:pPr>
              <w:spacing w:after="40" w:before="40"/>
            </w:pPr>
            <w:r/>
            <w:r>
              <w:rPr>
                <w:rFonts w:ascii="Arial" w:hAnsi="Arial"/>
                <w:b/>
                <w:color w:val="FFFFFF"/>
                <w:sz w:val="17"/>
              </w:rPr>
              <w:t>Conséquence d'une compromission</w:t>
            </w:r>
          </w:p>
        </w:tc>
      </w:tr>
      <w:tr>
        <w:trPr>
          <w:cantSplit/>
        </w:trPr>
        <w:tc>
          <w:tcPr>
            <w:tcW w:type="dxa" w:w="2041"/>
          </w:tcPr>
          <w:p>
            <w:pPr>
              <w:spacing w:after="40" w:before="40"/>
            </w:pPr>
            <w:r/>
            <w:r>
              <w:rPr>
                <w:rFonts w:ascii="Arial" w:hAnsi="Arial"/>
                <w:i w:val="0"/>
                <w:color w:val="202B38"/>
                <w:sz w:val="17"/>
              </w:rPr>
              <w:t>Mots de passe</w:t>
            </w:r>
          </w:p>
        </w:tc>
        <w:tc>
          <w:tcPr>
            <w:tcW w:type="dxa" w:w="2041"/>
          </w:tcPr>
          <w:p>
            <w:pPr>
              <w:spacing w:after="40" w:before="40"/>
            </w:pPr>
            <w:r/>
            <w:r>
              <w:rPr>
                <w:rFonts w:ascii="Arial" w:hAnsi="Arial"/>
                <w:i w:val="0"/>
                <w:color w:val="202B38"/>
                <w:sz w:val="17"/>
              </w:rPr>
              <w:t>Secret d'authentification</w:t>
            </w:r>
          </w:p>
        </w:tc>
        <w:tc>
          <w:tcPr>
            <w:tcW w:type="dxa" w:w="1247"/>
          </w:tcPr>
          <w:p>
            <w:pPr>
              <w:spacing w:after="40" w:before="40"/>
            </w:pPr>
            <w:r>
              <w:rPr>
                <w:b/>
              </w:rPr>
            </w:r>
            <w:r>
              <w:rPr>
                <w:rFonts w:ascii="Arial" w:hAnsi="Arial"/>
                <w:b/>
                <w:i w:val="0"/>
                <w:color w:val="B42332"/>
                <w:sz w:val="17"/>
              </w:rPr>
              <w:t>Critique</w:t>
            </w:r>
          </w:p>
        </w:tc>
        <w:tc>
          <w:tcPr>
            <w:tcW w:type="dxa" w:w="4309"/>
          </w:tcPr>
          <w:p>
            <w:pPr>
              <w:spacing w:after="40" w:before="40"/>
            </w:pPr>
            <w:r/>
            <w:r>
              <w:rPr>
                <w:rFonts w:ascii="Arial" w:hAnsi="Arial"/>
                <w:i w:val="0"/>
                <w:color w:val="202B38"/>
                <w:sz w:val="17"/>
              </w:rPr>
              <w:t>Usurpation d'identité et accès à toutes les données de l'organisation</w:t>
            </w:r>
          </w:p>
        </w:tc>
      </w:tr>
      <w:tr>
        <w:trPr>
          <w:cantSplit/>
        </w:trPr>
        <w:tc>
          <w:tcPr>
            <w:tcW w:type="dxa" w:w="2041"/>
            <w:shd w:fill="F4F7FA"/>
          </w:tcPr>
          <w:p>
            <w:pPr>
              <w:spacing w:after="40" w:before="40"/>
            </w:pPr>
            <w:r/>
            <w:r>
              <w:rPr>
                <w:rFonts w:ascii="Arial" w:hAnsi="Arial"/>
                <w:i w:val="0"/>
                <w:color w:val="202B38"/>
                <w:sz w:val="17"/>
              </w:rPr>
              <w:t>Jetons JWT</w:t>
            </w:r>
          </w:p>
        </w:tc>
        <w:tc>
          <w:tcPr>
            <w:tcW w:type="dxa" w:w="2041"/>
            <w:shd w:fill="F4F7FA"/>
          </w:tcPr>
          <w:p>
            <w:pPr>
              <w:spacing w:after="40" w:before="40"/>
            </w:pPr>
            <w:r/>
            <w:r>
              <w:rPr>
                <w:rFonts w:ascii="Arial" w:hAnsi="Arial"/>
                <w:i w:val="0"/>
                <w:color w:val="202B38"/>
                <w:sz w:val="17"/>
              </w:rPr>
              <w:t>Secret de session</w:t>
            </w:r>
          </w:p>
        </w:tc>
        <w:tc>
          <w:tcPr>
            <w:tcW w:type="dxa" w:w="1247"/>
            <w:shd w:fill="F4F7FA"/>
          </w:tcPr>
          <w:p>
            <w:pPr>
              <w:spacing w:after="40" w:before="40"/>
            </w:pPr>
            <w:r>
              <w:rPr>
                <w:b/>
              </w:rPr>
            </w:r>
            <w:r>
              <w:rPr>
                <w:rFonts w:ascii="Arial" w:hAnsi="Arial"/>
                <w:b/>
                <w:i w:val="0"/>
                <w:color w:val="B42332"/>
                <w:sz w:val="17"/>
              </w:rPr>
              <w:t>Critique</w:t>
            </w:r>
          </w:p>
        </w:tc>
        <w:tc>
          <w:tcPr>
            <w:tcW w:type="dxa" w:w="4309"/>
            <w:shd w:fill="F4F7FA"/>
          </w:tcPr>
          <w:p>
            <w:pPr>
              <w:spacing w:after="40" w:before="40"/>
            </w:pPr>
            <w:r/>
            <w:r>
              <w:rPr>
                <w:rFonts w:ascii="Arial" w:hAnsi="Arial"/>
                <w:i w:val="0"/>
                <w:color w:val="202B38"/>
                <w:sz w:val="17"/>
              </w:rPr>
              <w:t>Accès complet au compte usurpé pendant la durée de validité du jeton</w:t>
            </w:r>
          </w:p>
        </w:tc>
      </w:tr>
      <w:tr>
        <w:trPr>
          <w:cantSplit/>
        </w:trPr>
        <w:tc>
          <w:tcPr>
            <w:tcW w:type="dxa" w:w="2041"/>
          </w:tcPr>
          <w:p>
            <w:pPr>
              <w:spacing w:after="40" w:before="40"/>
            </w:pPr>
            <w:r/>
            <w:r>
              <w:rPr>
                <w:rFonts w:ascii="Arial" w:hAnsi="Arial"/>
                <w:i w:val="0"/>
                <w:color w:val="202B38"/>
                <w:sz w:val="17"/>
              </w:rPr>
              <w:t>Anomalies et commentaires</w:t>
            </w:r>
          </w:p>
        </w:tc>
        <w:tc>
          <w:tcPr>
            <w:tcW w:type="dxa" w:w="2041"/>
          </w:tcPr>
          <w:p>
            <w:pPr>
              <w:spacing w:after="40" w:before="40"/>
            </w:pPr>
            <w:r/>
            <w:r>
              <w:rPr>
                <w:rFonts w:ascii="Arial" w:hAnsi="Arial"/>
                <w:i w:val="0"/>
                <w:color w:val="202B38"/>
                <w:sz w:val="17"/>
              </w:rPr>
              <w:t>Donnée métier interne</w:t>
            </w:r>
          </w:p>
        </w:tc>
        <w:tc>
          <w:tcPr>
            <w:tcW w:type="dxa" w:w="1247"/>
          </w:tcPr>
          <w:p>
            <w:pPr>
              <w:spacing w:after="40" w:before="40"/>
            </w:pPr>
            <w:r>
              <w:rPr>
                <w:b/>
              </w:rPr>
            </w:r>
            <w:r>
              <w:rPr>
                <w:rFonts w:ascii="Arial" w:hAnsi="Arial"/>
                <w:b/>
                <w:i w:val="0"/>
                <w:color w:val="B42332"/>
                <w:sz w:val="17"/>
              </w:rPr>
              <w:t>Élevée</w:t>
            </w:r>
          </w:p>
        </w:tc>
        <w:tc>
          <w:tcPr>
            <w:tcW w:type="dxa" w:w="4309"/>
          </w:tcPr>
          <w:p>
            <w:pPr>
              <w:spacing w:after="40" w:before="40"/>
            </w:pPr>
            <w:r/>
            <w:r>
              <w:rPr>
                <w:rFonts w:ascii="Arial" w:hAnsi="Arial"/>
                <w:i w:val="0"/>
                <w:color w:val="202B38"/>
                <w:sz w:val="17"/>
              </w:rPr>
              <w:t>Divulgation des pannes et des vulnérabilités du SI du client</w:t>
            </w:r>
          </w:p>
        </w:tc>
      </w:tr>
      <w:tr>
        <w:trPr>
          <w:cantSplit/>
        </w:trPr>
        <w:tc>
          <w:tcPr>
            <w:tcW w:type="dxa" w:w="2041"/>
            <w:shd w:fill="F4F7FA"/>
          </w:tcPr>
          <w:p>
            <w:pPr>
              <w:spacing w:after="40" w:before="40"/>
            </w:pPr>
            <w:r/>
            <w:r>
              <w:rPr>
                <w:rFonts w:ascii="Arial" w:hAnsi="Arial"/>
                <w:i w:val="0"/>
                <w:color w:val="202B38"/>
                <w:sz w:val="17"/>
              </w:rPr>
              <w:t>Systèmes IT déclarés</w:t>
            </w:r>
          </w:p>
        </w:tc>
        <w:tc>
          <w:tcPr>
            <w:tcW w:type="dxa" w:w="2041"/>
            <w:shd w:fill="F4F7FA"/>
          </w:tcPr>
          <w:p>
            <w:pPr>
              <w:spacing w:after="40" w:before="40"/>
            </w:pPr>
            <w:r/>
            <w:r>
              <w:rPr>
                <w:rFonts w:ascii="Arial" w:hAnsi="Arial"/>
                <w:i w:val="0"/>
                <w:color w:val="202B38"/>
                <w:sz w:val="17"/>
              </w:rPr>
              <w:t>Cartographie du SI</w:t>
            </w:r>
          </w:p>
        </w:tc>
        <w:tc>
          <w:tcPr>
            <w:tcW w:type="dxa" w:w="1247"/>
            <w:shd w:fill="F4F7FA"/>
          </w:tcPr>
          <w:p>
            <w:pPr>
              <w:spacing w:after="40" w:before="40"/>
            </w:pPr>
            <w:r>
              <w:rPr>
                <w:b/>
              </w:rPr>
            </w:r>
            <w:r>
              <w:rPr>
                <w:rFonts w:ascii="Arial" w:hAnsi="Arial"/>
                <w:b/>
                <w:i w:val="0"/>
                <w:color w:val="B42332"/>
                <w:sz w:val="17"/>
              </w:rPr>
              <w:t>Élevée</w:t>
            </w:r>
          </w:p>
        </w:tc>
        <w:tc>
          <w:tcPr>
            <w:tcW w:type="dxa" w:w="4309"/>
            <w:shd w:fill="F4F7FA"/>
          </w:tcPr>
          <w:p>
            <w:pPr>
              <w:spacing w:after="40" w:before="40"/>
            </w:pPr>
            <w:r/>
            <w:r>
              <w:rPr>
                <w:rFonts w:ascii="Arial" w:hAnsi="Arial"/>
                <w:i w:val="0"/>
                <w:color w:val="202B38"/>
                <w:sz w:val="17"/>
              </w:rPr>
              <w:t>Facilite la préparation d'une attaque ciblée contre le client</w:t>
            </w:r>
          </w:p>
        </w:tc>
      </w:tr>
      <w:tr>
        <w:trPr>
          <w:cantSplit/>
        </w:trPr>
        <w:tc>
          <w:tcPr>
            <w:tcW w:type="dxa" w:w="2041"/>
          </w:tcPr>
          <w:p>
            <w:pPr>
              <w:spacing w:after="40" w:before="40"/>
            </w:pPr>
            <w:r/>
            <w:r>
              <w:rPr>
                <w:rFonts w:ascii="Arial" w:hAnsi="Arial"/>
                <w:i w:val="0"/>
                <w:color w:val="202B38"/>
                <w:sz w:val="17"/>
              </w:rPr>
              <w:t>Pièces jointes</w:t>
            </w:r>
          </w:p>
        </w:tc>
        <w:tc>
          <w:tcPr>
            <w:tcW w:type="dxa" w:w="2041"/>
          </w:tcPr>
          <w:p>
            <w:pPr>
              <w:spacing w:after="40" w:before="40"/>
            </w:pPr>
            <w:r/>
            <w:r>
              <w:rPr>
                <w:rFonts w:ascii="Arial" w:hAnsi="Arial"/>
                <w:i w:val="0"/>
                <w:color w:val="202B38"/>
                <w:sz w:val="17"/>
              </w:rPr>
              <w:t>Journaux, captures, traces</w:t>
            </w:r>
          </w:p>
        </w:tc>
        <w:tc>
          <w:tcPr>
            <w:tcW w:type="dxa" w:w="1247"/>
          </w:tcPr>
          <w:p>
            <w:pPr>
              <w:spacing w:after="40" w:before="40"/>
            </w:pPr>
            <w:r>
              <w:rPr>
                <w:b/>
              </w:rPr>
            </w:r>
            <w:r>
              <w:rPr>
                <w:rFonts w:ascii="Arial" w:hAnsi="Arial"/>
                <w:b/>
                <w:i w:val="0"/>
                <w:color w:val="B42332"/>
                <w:sz w:val="17"/>
              </w:rPr>
              <w:t>Élevée</w:t>
            </w:r>
          </w:p>
        </w:tc>
        <w:tc>
          <w:tcPr>
            <w:tcW w:type="dxa" w:w="4309"/>
          </w:tcPr>
          <w:p>
            <w:pPr>
              <w:spacing w:after="40" w:before="40"/>
            </w:pPr>
            <w:r/>
            <w:r>
              <w:rPr>
                <w:rFonts w:ascii="Arial" w:hAnsi="Arial"/>
                <w:i w:val="0"/>
                <w:color w:val="202B38"/>
                <w:sz w:val="17"/>
              </w:rPr>
              <w:t>Fuite d'adresses IP, de noms de serveurs, de messages d'erreur internes</w:t>
            </w:r>
          </w:p>
        </w:tc>
      </w:tr>
      <w:tr>
        <w:trPr>
          <w:cantSplit/>
        </w:trPr>
        <w:tc>
          <w:tcPr>
            <w:tcW w:type="dxa" w:w="2041"/>
            <w:shd w:fill="F4F7FA"/>
          </w:tcPr>
          <w:p>
            <w:pPr>
              <w:spacing w:after="40" w:before="40"/>
            </w:pPr>
            <w:r/>
            <w:r>
              <w:rPr>
                <w:rFonts w:ascii="Arial" w:hAnsi="Arial"/>
                <w:i w:val="0"/>
                <w:color w:val="202B38"/>
                <w:sz w:val="17"/>
              </w:rPr>
              <w:t>Données personnelles</w:t>
            </w:r>
          </w:p>
        </w:tc>
        <w:tc>
          <w:tcPr>
            <w:tcW w:type="dxa" w:w="2041"/>
            <w:shd w:fill="F4F7FA"/>
          </w:tcPr>
          <w:p>
            <w:pPr>
              <w:spacing w:after="40" w:before="40"/>
            </w:pPr>
            <w:r/>
            <w:r>
              <w:rPr>
                <w:rFonts w:ascii="Arial" w:hAnsi="Arial"/>
                <w:i w:val="0"/>
                <w:color w:val="202B38"/>
                <w:sz w:val="17"/>
              </w:rPr>
              <w:t>Nom, prénom, e-mail, rôle</w:t>
            </w:r>
          </w:p>
        </w:tc>
        <w:tc>
          <w:tcPr>
            <w:tcW w:type="dxa" w:w="1247"/>
            <w:shd w:fill="F4F7FA"/>
          </w:tcPr>
          <w:p>
            <w:pPr>
              <w:spacing w:after="40" w:before="40"/>
            </w:pPr>
            <w:r>
              <w:rPr>
                <w:b/>
              </w:rPr>
            </w:r>
            <w:r>
              <w:rPr>
                <w:rFonts w:ascii="Arial" w:hAnsi="Arial"/>
                <w:b/>
                <w:i w:val="0"/>
                <w:color w:val="B42332"/>
                <w:sz w:val="17"/>
              </w:rPr>
              <w:t>Élevée</w:t>
            </w:r>
          </w:p>
        </w:tc>
        <w:tc>
          <w:tcPr>
            <w:tcW w:type="dxa" w:w="4309"/>
            <w:shd w:fill="F4F7FA"/>
          </w:tcPr>
          <w:p>
            <w:pPr>
              <w:spacing w:after="40" w:before="40"/>
            </w:pPr>
            <w:r/>
            <w:r>
              <w:rPr>
                <w:rFonts w:ascii="Arial" w:hAnsi="Arial"/>
                <w:i w:val="0"/>
                <w:color w:val="202B38"/>
                <w:sz w:val="17"/>
              </w:rPr>
              <w:t>Non-conformité au RGPD et atteinte à la vie privée des salariés</w:t>
            </w:r>
          </w:p>
        </w:tc>
      </w:tr>
      <w:tr>
        <w:trPr>
          <w:cantSplit/>
        </w:trPr>
        <w:tc>
          <w:tcPr>
            <w:tcW w:type="dxa" w:w="2041"/>
          </w:tcPr>
          <w:p>
            <w:pPr>
              <w:spacing w:after="40" w:before="40"/>
            </w:pPr>
            <w:r/>
            <w:r>
              <w:rPr>
                <w:rFonts w:ascii="Arial" w:hAnsi="Arial"/>
                <w:i w:val="0"/>
                <w:color w:val="202B38"/>
                <w:sz w:val="17"/>
              </w:rPr>
              <w:t>Référentiels et comptes</w:t>
            </w:r>
          </w:p>
        </w:tc>
        <w:tc>
          <w:tcPr>
            <w:tcW w:type="dxa" w:w="2041"/>
          </w:tcPr>
          <w:p>
            <w:pPr>
              <w:spacing w:after="40" w:before="40"/>
            </w:pPr>
            <w:r/>
            <w:r>
              <w:rPr>
                <w:rFonts w:ascii="Arial" w:hAnsi="Arial"/>
                <w:i w:val="0"/>
                <w:color w:val="202B38"/>
                <w:sz w:val="17"/>
              </w:rPr>
              <w:t>Donnée de configuration</w:t>
            </w:r>
          </w:p>
        </w:tc>
        <w:tc>
          <w:tcPr>
            <w:tcW w:type="dxa" w:w="1247"/>
          </w:tcPr>
          <w:p>
            <w:pPr>
              <w:spacing w:after="40" w:before="40"/>
            </w:pPr>
            <w:r>
              <w:rPr>
                <w:b/>
              </w:rPr>
            </w:r>
            <w:r>
              <w:rPr>
                <w:rFonts w:ascii="Arial" w:hAnsi="Arial"/>
                <w:b/>
                <w:i w:val="0"/>
                <w:color w:val="A65A12"/>
                <w:sz w:val="17"/>
              </w:rPr>
              <w:t>Moyenne</w:t>
            </w:r>
          </w:p>
        </w:tc>
        <w:tc>
          <w:tcPr>
            <w:tcW w:type="dxa" w:w="4309"/>
          </w:tcPr>
          <w:p>
            <w:pPr>
              <w:spacing w:after="40" w:before="40"/>
            </w:pPr>
            <w:r/>
            <w:r>
              <w:rPr>
                <w:rFonts w:ascii="Arial" w:hAnsi="Arial"/>
                <w:i w:val="0"/>
                <w:color w:val="202B38"/>
                <w:sz w:val="17"/>
              </w:rPr>
              <w:t>Désorganisation du service, attribution de droits indus</w:t>
            </w:r>
          </w:p>
        </w:tc>
      </w:tr>
      <w:tr>
        <w:trPr>
          <w:cantSplit/>
        </w:trPr>
        <w:tc>
          <w:tcPr>
            <w:tcW w:type="dxa" w:w="2041"/>
            <w:shd w:fill="F4F7FA"/>
          </w:tcPr>
          <w:p>
            <w:pPr>
              <w:spacing w:after="40" w:before="40"/>
            </w:pPr>
            <w:r/>
            <w:r>
              <w:rPr>
                <w:rFonts w:ascii="Arial" w:hAnsi="Arial"/>
                <w:i w:val="0"/>
                <w:color w:val="202B38"/>
                <w:sz w:val="17"/>
              </w:rPr>
              <w:t>Données de paiement</w:t>
            </w:r>
          </w:p>
        </w:tc>
        <w:tc>
          <w:tcPr>
            <w:tcW w:type="dxa" w:w="2041"/>
            <w:shd w:fill="F4F7FA"/>
          </w:tcPr>
          <w:p>
            <w:pPr>
              <w:spacing w:after="40" w:before="40"/>
            </w:pPr>
            <w:r/>
            <w:r>
              <w:rPr>
                <w:rFonts w:ascii="Arial" w:hAnsi="Arial"/>
                <w:i w:val="0"/>
                <w:color w:val="202B38"/>
                <w:sz w:val="17"/>
              </w:rPr>
              <w:t>Donnée financière</w:t>
            </w:r>
          </w:p>
        </w:tc>
        <w:tc>
          <w:tcPr>
            <w:tcW w:type="dxa" w:w="1247"/>
            <w:shd w:fill="F4F7FA"/>
          </w:tcPr>
          <w:p>
            <w:pPr>
              <w:spacing w:after="40" w:before="40"/>
            </w:pPr>
            <w:r/>
            <w:r>
              <w:rPr>
                <w:rFonts w:ascii="Arial" w:hAnsi="Arial"/>
                <w:i w:val="0"/>
                <w:color w:val="202B38"/>
                <w:sz w:val="17"/>
              </w:rPr>
              <w:t>Sans objet</w:t>
            </w:r>
          </w:p>
        </w:tc>
        <w:tc>
          <w:tcPr>
            <w:tcW w:type="dxa" w:w="4309"/>
            <w:shd w:fill="F4F7FA"/>
          </w:tcPr>
          <w:p>
            <w:pPr>
              <w:spacing w:after="40" w:before="40"/>
            </w:pPr>
            <w:r/>
            <w:r>
              <w:rPr>
                <w:rFonts w:ascii="Arial" w:hAnsi="Arial"/>
                <w:i w:val="0"/>
                <w:color w:val="202B38"/>
                <w:sz w:val="17"/>
              </w:rPr>
              <w:t>Non stockées par TrackIT : entièrement déléguées à Stripe</w:t>
            </w:r>
          </w:p>
        </w:tc>
      </w:tr>
    </w:tbl>
    <w:p>
      <w:pPr>
        <w:spacing w:after="0"/>
      </w:pPr>
    </w:p>
    <w:p>
      <w:pPr>
        <w:keepNext/>
        <w:spacing w:before="180" w:after="60"/>
      </w:pPr>
      <w:r>
        <w:rPr>
          <w:rFonts w:ascii="Arial" w:hAnsi="Arial"/>
          <w:b/>
          <w:color w:val="163658"/>
          <w:sz w:val="25"/>
        </w:rPr>
        <w:t>2.2 Sources de menace</w:t>
      </w:r>
    </w:p>
    <w:p>
      <w:pPr>
        <w:spacing w:after="80"/>
        <w:jc w:val="both"/>
      </w:pPr>
      <w:r>
        <w:rPr>
          <w:rFonts w:ascii="Arial" w:hAnsi="Arial"/>
          <w:i w:val="0"/>
          <w:color w:val="202B38"/>
          <w:sz w:val="21"/>
        </w:rPr>
        <w:t>Le modèle de menace retenu distingue cinq profils, du plus extérieur au plus interne. Le profil le plus dangereux n'est pas l'attaquant anonyme, mais l'utilisateur déjà authentifié : il dispose d'un accès légitime et cherche à en sortir.</w:t>
      </w:r>
    </w:p>
    <w:tbl>
      <w:tblPr>
        <w:tblStyle w:val="TableGrid"/>
        <w:tblW w:type="auto" w:w="0"/>
        <w:jc w:val="center"/>
        <w:tblLayout w:type="fixed"/>
        <w:tblLook w:firstColumn="1" w:firstRow="1" w:lastColumn="0" w:lastRow="0" w:noHBand="0" w:noVBand="1" w:val="04A0"/>
        <w:tblLayout w:type="fixed"/>
      </w:tblPr>
      <w:tblGrid>
        <w:gridCol w:w="2268"/>
        <w:gridCol w:w="2041"/>
        <w:gridCol w:w="1134"/>
        <w:gridCol w:w="4195"/>
      </w:tblGrid>
      <w:tr>
        <w:trPr>
          <w:tblHeader w:val="true"/>
          <w:cantSplit/>
        </w:trPr>
        <w:tc>
          <w:tcPr>
            <w:tcW w:type="dxa" w:w="2268"/>
            <w:shd w:fill="163658"/>
          </w:tcPr>
          <w:p>
            <w:pPr>
              <w:spacing w:after="40" w:before="40"/>
            </w:pPr>
            <w:r/>
            <w:r>
              <w:rPr>
                <w:rFonts w:ascii="Arial" w:hAnsi="Arial"/>
                <w:b/>
                <w:color w:val="FFFFFF"/>
                <w:sz w:val="17"/>
              </w:rPr>
              <w:t>Source</w:t>
            </w:r>
          </w:p>
        </w:tc>
        <w:tc>
          <w:tcPr>
            <w:tcW w:type="dxa" w:w="2041"/>
            <w:shd w:fill="163658"/>
          </w:tcPr>
          <w:p>
            <w:pPr>
              <w:spacing w:after="40" w:before="40"/>
            </w:pPr>
            <w:r/>
            <w:r>
              <w:rPr>
                <w:rFonts w:ascii="Arial" w:hAnsi="Arial"/>
                <w:b/>
                <w:color w:val="FFFFFF"/>
                <w:sz w:val="17"/>
              </w:rPr>
              <w:t>Motivation</w:t>
            </w:r>
          </w:p>
        </w:tc>
        <w:tc>
          <w:tcPr>
            <w:tcW w:type="dxa" w:w="1134"/>
            <w:shd w:fill="163658"/>
          </w:tcPr>
          <w:p>
            <w:pPr>
              <w:spacing w:after="40" w:before="40"/>
            </w:pPr>
            <w:r/>
            <w:r>
              <w:rPr>
                <w:rFonts w:ascii="Arial" w:hAnsi="Arial"/>
                <w:b/>
                <w:color w:val="FFFFFF"/>
                <w:sz w:val="17"/>
              </w:rPr>
              <w:t>Capacité</w:t>
            </w:r>
          </w:p>
        </w:tc>
        <w:tc>
          <w:tcPr>
            <w:tcW w:type="dxa" w:w="4195"/>
            <w:shd w:fill="163658"/>
          </w:tcPr>
          <w:p>
            <w:pPr>
              <w:spacing w:after="40" w:before="40"/>
            </w:pPr>
            <w:r/>
            <w:r>
              <w:rPr>
                <w:rFonts w:ascii="Arial" w:hAnsi="Arial"/>
                <w:b/>
                <w:color w:val="FFFFFF"/>
                <w:sz w:val="17"/>
              </w:rPr>
              <w:t>Scénario principal</w:t>
            </w:r>
          </w:p>
        </w:tc>
      </w:tr>
      <w:tr>
        <w:trPr>
          <w:cantSplit/>
        </w:trPr>
        <w:tc>
          <w:tcPr>
            <w:tcW w:type="dxa" w:w="2268"/>
          </w:tcPr>
          <w:p>
            <w:pPr>
              <w:spacing w:after="40" w:before="40"/>
            </w:pPr>
            <w:r/>
            <w:r>
              <w:rPr>
                <w:rFonts w:ascii="Arial" w:hAnsi="Arial"/>
                <w:i w:val="0"/>
                <w:color w:val="202B38"/>
                <w:sz w:val="17"/>
              </w:rPr>
              <w:t>Attaquant externe non authentifié</w:t>
            </w:r>
          </w:p>
        </w:tc>
        <w:tc>
          <w:tcPr>
            <w:tcW w:type="dxa" w:w="2041"/>
          </w:tcPr>
          <w:p>
            <w:pPr>
              <w:spacing w:after="40" w:before="40"/>
            </w:pPr>
            <w:r/>
            <w:r>
              <w:rPr>
                <w:rFonts w:ascii="Arial" w:hAnsi="Arial"/>
                <w:i w:val="0"/>
                <w:color w:val="202B38"/>
                <w:sz w:val="17"/>
              </w:rPr>
              <w:t>Revente de données, nuisance</w:t>
            </w:r>
          </w:p>
        </w:tc>
        <w:tc>
          <w:tcPr>
            <w:tcW w:type="dxa" w:w="1134"/>
          </w:tcPr>
          <w:p>
            <w:pPr>
              <w:spacing w:after="40" w:before="40"/>
            </w:pPr>
            <w:r/>
            <w:r>
              <w:rPr>
                <w:rFonts w:ascii="Arial" w:hAnsi="Arial"/>
                <w:i w:val="0"/>
                <w:color w:val="202B38"/>
                <w:sz w:val="17"/>
              </w:rPr>
              <w:t>Moyenne</w:t>
            </w:r>
          </w:p>
        </w:tc>
        <w:tc>
          <w:tcPr>
            <w:tcW w:type="dxa" w:w="4195"/>
          </w:tcPr>
          <w:p>
            <w:pPr>
              <w:spacing w:after="40" w:before="40"/>
            </w:pPr>
            <w:r/>
            <w:r>
              <w:rPr>
                <w:rFonts w:ascii="Arial" w:hAnsi="Arial"/>
                <w:i w:val="0"/>
                <w:color w:val="202B38"/>
                <w:sz w:val="17"/>
              </w:rPr>
              <w:t>Attaque en force brute sur la connexion ; recherche d'une faille d'injection</w:t>
            </w:r>
          </w:p>
        </w:tc>
      </w:tr>
      <w:tr>
        <w:trPr>
          <w:cantSplit/>
        </w:trPr>
        <w:tc>
          <w:tcPr>
            <w:tcW w:type="dxa" w:w="2268"/>
            <w:shd w:fill="F4F7FA"/>
          </w:tcPr>
          <w:p>
            <w:pPr>
              <w:spacing w:after="40" w:before="40"/>
            </w:pPr>
            <w:r/>
            <w:r>
              <w:rPr>
                <w:rFonts w:ascii="Arial" w:hAnsi="Arial"/>
                <w:i w:val="0"/>
                <w:color w:val="202B38"/>
                <w:sz w:val="17"/>
              </w:rPr>
              <w:t>Utilisateur authentifié malveillant</w:t>
            </w:r>
          </w:p>
        </w:tc>
        <w:tc>
          <w:tcPr>
            <w:tcW w:type="dxa" w:w="2041"/>
            <w:shd w:fill="F4F7FA"/>
          </w:tcPr>
          <w:p>
            <w:pPr>
              <w:spacing w:after="40" w:before="40"/>
            </w:pPr>
            <w:r/>
            <w:r>
              <w:rPr>
                <w:rFonts w:ascii="Arial" w:hAnsi="Arial"/>
                <w:i w:val="0"/>
                <w:color w:val="202B38"/>
                <w:sz w:val="17"/>
              </w:rPr>
              <w:t>Curiosité, nuisance interne</w:t>
            </w:r>
          </w:p>
        </w:tc>
        <w:tc>
          <w:tcPr>
            <w:tcW w:type="dxa" w:w="1134"/>
            <w:shd w:fill="F4F7FA"/>
          </w:tcPr>
          <w:p>
            <w:pPr>
              <w:spacing w:after="40" w:before="40"/>
            </w:pPr>
            <w:r/>
            <w:r>
              <w:rPr>
                <w:rFonts w:ascii="Arial" w:hAnsi="Arial"/>
                <w:i w:val="0"/>
                <w:color w:val="202B38"/>
                <w:sz w:val="17"/>
              </w:rPr>
              <w:t>Élevée</w:t>
            </w:r>
          </w:p>
        </w:tc>
        <w:tc>
          <w:tcPr>
            <w:tcW w:type="dxa" w:w="4195"/>
            <w:shd w:fill="F4F7FA"/>
          </w:tcPr>
          <w:p>
            <w:pPr>
              <w:spacing w:after="40" w:before="40"/>
            </w:pPr>
            <w:r/>
            <w:r>
              <w:rPr>
                <w:rFonts w:ascii="Arial" w:hAnsi="Arial"/>
                <w:i w:val="0"/>
                <w:color w:val="202B38"/>
                <w:sz w:val="17"/>
              </w:rPr>
              <w:t>Tentative d'élévation de privilège ou d'accès à des anomalies hors de son périmètre</w:t>
            </w:r>
          </w:p>
        </w:tc>
      </w:tr>
      <w:tr>
        <w:trPr>
          <w:cantSplit/>
        </w:trPr>
        <w:tc>
          <w:tcPr>
            <w:tcW w:type="dxa" w:w="2268"/>
          </w:tcPr>
          <w:p>
            <w:pPr>
              <w:spacing w:after="40" w:before="40"/>
            </w:pPr>
            <w:r/>
            <w:r>
              <w:rPr>
                <w:rFonts w:ascii="Arial" w:hAnsi="Arial"/>
                <w:i w:val="0"/>
                <w:color w:val="202B38"/>
                <w:sz w:val="17"/>
              </w:rPr>
              <w:t>Organisation cliente concurrente</w:t>
            </w:r>
          </w:p>
        </w:tc>
        <w:tc>
          <w:tcPr>
            <w:tcW w:type="dxa" w:w="2041"/>
          </w:tcPr>
          <w:p>
            <w:pPr>
              <w:spacing w:after="40" w:before="40"/>
            </w:pPr>
            <w:r/>
            <w:r>
              <w:rPr>
                <w:rFonts w:ascii="Arial" w:hAnsi="Arial"/>
                <w:i w:val="0"/>
                <w:color w:val="202B38"/>
                <w:sz w:val="17"/>
              </w:rPr>
              <w:t>Espionnage économique</w:t>
            </w:r>
          </w:p>
        </w:tc>
        <w:tc>
          <w:tcPr>
            <w:tcW w:type="dxa" w:w="1134"/>
          </w:tcPr>
          <w:p>
            <w:pPr>
              <w:spacing w:after="40" w:before="40"/>
            </w:pPr>
            <w:r/>
            <w:r>
              <w:rPr>
                <w:rFonts w:ascii="Arial" w:hAnsi="Arial"/>
                <w:i w:val="0"/>
                <w:color w:val="202B38"/>
                <w:sz w:val="17"/>
              </w:rPr>
              <w:t>Moyenne</w:t>
            </w:r>
          </w:p>
        </w:tc>
        <w:tc>
          <w:tcPr>
            <w:tcW w:type="dxa" w:w="4195"/>
          </w:tcPr>
          <w:p>
            <w:pPr>
              <w:spacing w:after="40" w:before="40"/>
            </w:pPr>
            <w:r/>
            <w:r>
              <w:rPr>
                <w:rFonts w:ascii="Arial" w:hAnsi="Arial"/>
                <w:i w:val="0"/>
                <w:color w:val="202B38"/>
                <w:sz w:val="17"/>
              </w:rPr>
              <w:t>Tentative d'accès transversal aux données d'une autre organisation</w:t>
            </w:r>
          </w:p>
        </w:tc>
      </w:tr>
      <w:tr>
        <w:trPr>
          <w:cantSplit/>
        </w:trPr>
        <w:tc>
          <w:tcPr>
            <w:tcW w:type="dxa" w:w="2268"/>
            <w:shd w:fill="F4F7FA"/>
          </w:tcPr>
          <w:p>
            <w:pPr>
              <w:spacing w:after="40" w:before="40"/>
            </w:pPr>
            <w:r/>
            <w:r>
              <w:rPr>
                <w:rFonts w:ascii="Arial" w:hAnsi="Arial"/>
                <w:i w:val="0"/>
                <w:color w:val="202B38"/>
                <w:sz w:val="17"/>
              </w:rPr>
              <w:t>Administrateur imprudent</w:t>
            </w:r>
          </w:p>
        </w:tc>
        <w:tc>
          <w:tcPr>
            <w:tcW w:type="dxa" w:w="2041"/>
            <w:shd w:fill="F4F7FA"/>
          </w:tcPr>
          <w:p>
            <w:pPr>
              <w:spacing w:after="40" w:before="40"/>
            </w:pPr>
            <w:r/>
            <w:r>
              <w:rPr>
                <w:rFonts w:ascii="Arial" w:hAnsi="Arial"/>
                <w:i w:val="0"/>
                <w:color w:val="202B38"/>
                <w:sz w:val="17"/>
              </w:rPr>
              <w:t>Erreur involontaire</w:t>
            </w:r>
          </w:p>
        </w:tc>
        <w:tc>
          <w:tcPr>
            <w:tcW w:type="dxa" w:w="1134"/>
            <w:shd w:fill="F4F7FA"/>
          </w:tcPr>
          <w:p>
            <w:pPr>
              <w:spacing w:after="40" w:before="40"/>
            </w:pPr>
            <w:r/>
            <w:r>
              <w:rPr>
                <w:rFonts w:ascii="Arial" w:hAnsi="Arial"/>
                <w:i w:val="0"/>
                <w:color w:val="202B38"/>
                <w:sz w:val="17"/>
              </w:rPr>
              <w:t>Élevée</w:t>
            </w:r>
          </w:p>
        </w:tc>
        <w:tc>
          <w:tcPr>
            <w:tcW w:type="dxa" w:w="4195"/>
            <w:shd w:fill="F4F7FA"/>
          </w:tcPr>
          <w:p>
            <w:pPr>
              <w:spacing w:after="40" w:before="40"/>
            </w:pPr>
            <w:r/>
            <w:r>
              <w:rPr>
                <w:rFonts w:ascii="Arial" w:hAnsi="Arial"/>
                <w:i w:val="0"/>
                <w:color w:val="202B38"/>
                <w:sz w:val="17"/>
              </w:rPr>
              <w:t>Suppression de données, attribution d'un rôle excessif, fuite d'un secret</w:t>
            </w:r>
          </w:p>
        </w:tc>
      </w:tr>
      <w:tr>
        <w:trPr>
          <w:cantSplit/>
        </w:trPr>
        <w:tc>
          <w:tcPr>
            <w:tcW w:type="dxa" w:w="2268"/>
          </w:tcPr>
          <w:p>
            <w:pPr>
              <w:spacing w:after="40" w:before="40"/>
            </w:pPr>
            <w:r/>
            <w:r>
              <w:rPr>
                <w:rFonts w:ascii="Arial" w:hAnsi="Arial"/>
                <w:i w:val="0"/>
                <w:color w:val="202B38"/>
                <w:sz w:val="17"/>
              </w:rPr>
              <w:t>Poste client compromis</w:t>
            </w:r>
          </w:p>
        </w:tc>
        <w:tc>
          <w:tcPr>
            <w:tcW w:type="dxa" w:w="2041"/>
          </w:tcPr>
          <w:p>
            <w:pPr>
              <w:spacing w:after="40" w:before="40"/>
            </w:pPr>
            <w:r/>
            <w:r>
              <w:rPr>
                <w:rFonts w:ascii="Arial" w:hAnsi="Arial"/>
                <w:i w:val="0"/>
                <w:color w:val="202B38"/>
                <w:sz w:val="17"/>
              </w:rPr>
              <w:t>Vol de session</w:t>
            </w:r>
          </w:p>
        </w:tc>
        <w:tc>
          <w:tcPr>
            <w:tcW w:type="dxa" w:w="1134"/>
          </w:tcPr>
          <w:p>
            <w:pPr>
              <w:spacing w:after="40" w:before="40"/>
            </w:pPr>
            <w:r/>
            <w:r>
              <w:rPr>
                <w:rFonts w:ascii="Arial" w:hAnsi="Arial"/>
                <w:i w:val="0"/>
                <w:color w:val="202B38"/>
                <w:sz w:val="17"/>
              </w:rPr>
              <w:t>Moyenne</w:t>
            </w:r>
          </w:p>
        </w:tc>
        <w:tc>
          <w:tcPr>
            <w:tcW w:type="dxa" w:w="4195"/>
          </w:tcPr>
          <w:p>
            <w:pPr>
              <w:spacing w:after="40" w:before="40"/>
            </w:pPr>
            <w:r/>
            <w:r>
              <w:rPr>
                <w:rFonts w:ascii="Arial" w:hAnsi="Arial"/>
                <w:i w:val="0"/>
                <w:color w:val="202B38"/>
                <w:sz w:val="17"/>
              </w:rPr>
              <w:t>Récupération du jeton stocké dans le navigateur de la victime</w:t>
            </w:r>
          </w:p>
        </w:tc>
      </w:tr>
    </w:tbl>
    <w:p>
      <w:pPr>
        <w:spacing w:after="0"/>
      </w:pPr>
    </w:p>
    <w:p>
      <w:pPr>
        <w:keepNext/>
        <w:spacing w:before="180" w:after="60"/>
      </w:pPr>
      <w:r>
        <w:rPr>
          <w:rFonts w:ascii="Arial" w:hAnsi="Arial"/>
          <w:b/>
          <w:color w:val="163658"/>
          <w:sz w:val="25"/>
        </w:rPr>
        <w:t>2.3 Matrice des risques</w:t>
      </w:r>
    </w:p>
    <w:p>
      <w:pPr>
        <w:spacing w:after="80"/>
        <w:jc w:val="both"/>
      </w:pPr>
      <w:r>
        <w:rPr>
          <w:rFonts w:ascii="Arial" w:hAnsi="Arial"/>
          <w:i w:val="0"/>
          <w:color w:val="202B38"/>
          <w:sz w:val="21"/>
        </w:rPr>
        <w:t xml:space="preserve">La vraisemblance est évaluée </w:t>
      </w:r>
      <w:r>
        <w:rPr>
          <w:rFonts w:ascii="Arial" w:hAnsi="Arial"/>
          <w:b/>
          <w:i w:val="0"/>
          <w:color w:val="202B38"/>
          <w:sz w:val="21"/>
        </w:rPr>
        <w:t>en tenant compte des mesures déjà implémentées</w:t>
      </w:r>
      <w:r>
        <w:rPr>
          <w:rFonts w:ascii="Arial" w:hAnsi="Arial"/>
          <w:i w:val="0"/>
          <w:color w:val="202B38"/>
          <w:sz w:val="21"/>
        </w:rPr>
        <w:t>. C'est pourquoi des risques intrinsèquement graves, comme l'injection SQL, ressortent en niveau faible : le mécanisme d'accès aux données les neutralise par construction.</w:t>
      </w:r>
    </w:p>
    <w:tbl>
      <w:tblPr>
        <w:tblStyle w:val="TableGrid"/>
        <w:tblW w:type="auto" w:w="0"/>
        <w:jc w:val="center"/>
        <w:tblLayout w:type="fixed"/>
        <w:tblLook w:firstColumn="1" w:firstRow="1" w:lastColumn="0" w:lastRow="0" w:noHBand="0" w:noVBand="1" w:val="04A0"/>
        <w:tblLayout w:type="fixed"/>
      </w:tblPr>
      <w:tblGrid>
        <w:gridCol w:w="680"/>
        <w:gridCol w:w="3628"/>
        <w:gridCol w:w="1077"/>
        <w:gridCol w:w="1474"/>
        <w:gridCol w:w="1020"/>
        <w:gridCol w:w="1757"/>
      </w:tblGrid>
      <w:tr>
        <w:trPr>
          <w:tblHeader w:val="true"/>
          <w:cantSplit/>
        </w:trPr>
        <w:tc>
          <w:tcPr>
            <w:tcW w:type="dxa" w:w="680"/>
            <w:shd w:fill="163658"/>
          </w:tcPr>
          <w:p>
            <w:pPr>
              <w:spacing w:after="40" w:before="40"/>
            </w:pPr>
            <w:r/>
            <w:r>
              <w:rPr>
                <w:rFonts w:ascii="Arial" w:hAnsi="Arial"/>
                <w:b/>
                <w:color w:val="FFFFFF"/>
                <w:sz w:val="17"/>
              </w:rPr>
              <w:t>Réf.</w:t>
            </w:r>
          </w:p>
        </w:tc>
        <w:tc>
          <w:tcPr>
            <w:tcW w:type="dxa" w:w="3628"/>
            <w:shd w:fill="163658"/>
          </w:tcPr>
          <w:p>
            <w:pPr>
              <w:spacing w:after="40" w:before="40"/>
            </w:pPr>
            <w:r/>
            <w:r>
              <w:rPr>
                <w:rFonts w:ascii="Arial" w:hAnsi="Arial"/>
                <w:b/>
                <w:color w:val="FFFFFF"/>
                <w:sz w:val="17"/>
              </w:rPr>
              <w:t>Risque</w:t>
            </w:r>
          </w:p>
        </w:tc>
        <w:tc>
          <w:tcPr>
            <w:tcW w:type="dxa" w:w="1077"/>
            <w:shd w:fill="163658"/>
          </w:tcPr>
          <w:p>
            <w:pPr>
              <w:spacing w:after="40" w:before="40"/>
            </w:pPr>
            <w:r/>
            <w:r>
              <w:rPr>
                <w:rFonts w:ascii="Arial" w:hAnsi="Arial"/>
                <w:b/>
                <w:color w:val="FFFFFF"/>
                <w:sz w:val="17"/>
              </w:rPr>
              <w:t>Impact</w:t>
            </w:r>
          </w:p>
        </w:tc>
        <w:tc>
          <w:tcPr>
            <w:tcW w:type="dxa" w:w="1474"/>
            <w:shd w:fill="163658"/>
          </w:tcPr>
          <w:p>
            <w:pPr>
              <w:spacing w:after="40" w:before="40"/>
            </w:pPr>
            <w:r/>
            <w:r>
              <w:rPr>
                <w:rFonts w:ascii="Arial" w:hAnsi="Arial"/>
                <w:b/>
                <w:color w:val="FFFFFF"/>
                <w:sz w:val="17"/>
              </w:rPr>
              <w:t>Vraisemblance</w:t>
            </w:r>
          </w:p>
        </w:tc>
        <w:tc>
          <w:tcPr>
            <w:tcW w:type="dxa" w:w="1020"/>
            <w:shd w:fill="163658"/>
          </w:tcPr>
          <w:p>
            <w:pPr>
              <w:spacing w:after="40" w:before="40"/>
            </w:pPr>
            <w:r/>
            <w:r>
              <w:rPr>
                <w:rFonts w:ascii="Arial" w:hAnsi="Arial"/>
                <w:b/>
                <w:color w:val="FFFFFF"/>
                <w:sz w:val="17"/>
              </w:rPr>
              <w:t>Niveau</w:t>
            </w:r>
          </w:p>
        </w:tc>
        <w:tc>
          <w:tcPr>
            <w:tcW w:type="dxa" w:w="1757"/>
            <w:shd w:fill="163658"/>
          </w:tcPr>
          <w:p>
            <w:pPr>
              <w:spacing w:after="40" w:before="40"/>
            </w:pPr>
            <w:r/>
            <w:r>
              <w:rPr>
                <w:rFonts w:ascii="Arial" w:hAnsi="Arial"/>
                <w:b/>
                <w:color w:val="FFFFFF"/>
                <w:sz w:val="17"/>
              </w:rPr>
              <w:t>Traitement</w:t>
            </w:r>
          </w:p>
        </w:tc>
      </w:tr>
      <w:tr>
        <w:trPr>
          <w:cantSplit/>
        </w:trPr>
        <w:tc>
          <w:tcPr>
            <w:tcW w:type="dxa" w:w="680"/>
          </w:tcPr>
          <w:p>
            <w:pPr>
              <w:spacing w:after="40" w:before="40"/>
            </w:pPr>
            <w:r/>
            <w:r>
              <w:rPr>
                <w:rFonts w:ascii="Arial" w:hAnsi="Arial"/>
                <w:i w:val="0"/>
                <w:color w:val="202B38"/>
                <w:sz w:val="17"/>
              </w:rPr>
              <w:t>R1</w:t>
            </w:r>
          </w:p>
        </w:tc>
        <w:tc>
          <w:tcPr>
            <w:tcW w:type="dxa" w:w="3628"/>
          </w:tcPr>
          <w:p>
            <w:pPr>
              <w:spacing w:after="40" w:before="40"/>
            </w:pPr>
            <w:r/>
            <w:r>
              <w:rPr>
                <w:rFonts w:ascii="Arial" w:hAnsi="Arial"/>
                <w:i w:val="0"/>
                <w:color w:val="202B38"/>
                <w:sz w:val="17"/>
              </w:rPr>
              <w:t>Vol d'identifiants par force brute</w:t>
            </w:r>
          </w:p>
        </w:tc>
        <w:tc>
          <w:tcPr>
            <w:tcW w:type="dxa" w:w="1077"/>
          </w:tcPr>
          <w:p>
            <w:pPr>
              <w:spacing w:after="40" w:before="40"/>
            </w:pPr>
            <w:r>
              <w:rPr>
                <w:b/>
              </w:rPr>
            </w:r>
            <w:r>
              <w:rPr>
                <w:rFonts w:ascii="Arial" w:hAnsi="Arial"/>
                <w:b/>
                <w:i w:val="0"/>
                <w:color w:val="B42332"/>
                <w:sz w:val="17"/>
              </w:rPr>
              <w:t>Critique</w:t>
            </w:r>
          </w:p>
        </w:tc>
        <w:tc>
          <w:tcPr>
            <w:tcW w:type="dxa" w:w="1474"/>
          </w:tcPr>
          <w:p>
            <w:pPr>
              <w:spacing w:after="40" w:before="40"/>
            </w:pPr>
            <w:r/>
            <w:r>
              <w:rPr>
                <w:rFonts w:ascii="Arial" w:hAnsi="Arial"/>
                <w:i w:val="0"/>
                <w:color w:val="202B38"/>
                <w:sz w:val="17"/>
              </w:rPr>
              <w:t>Élevée</w:t>
            </w:r>
          </w:p>
        </w:tc>
        <w:tc>
          <w:tcPr>
            <w:tcW w:type="dxa" w:w="1020"/>
          </w:tcPr>
          <w:p>
            <w:pPr>
              <w:spacing w:after="40" w:before="40"/>
            </w:pPr>
            <w:r>
              <w:rPr>
                <w:b/>
              </w:rPr>
            </w:r>
            <w:r>
              <w:rPr>
                <w:rFonts w:ascii="Arial" w:hAnsi="Arial"/>
                <w:b/>
                <w:i w:val="0"/>
                <w:color w:val="B42332"/>
                <w:sz w:val="17"/>
              </w:rPr>
              <w:t>Élevé</w:t>
            </w:r>
          </w:p>
        </w:tc>
        <w:tc>
          <w:tcPr>
            <w:tcW w:type="dxa" w:w="1757"/>
          </w:tcPr>
          <w:p>
            <w:pPr>
              <w:spacing w:after="40" w:before="40"/>
            </w:pPr>
            <w:r>
              <w:rPr>
                <w:b/>
              </w:rPr>
            </w:r>
            <w:r>
              <w:rPr>
                <w:rFonts w:ascii="Arial" w:hAnsi="Arial"/>
                <w:b/>
                <w:i w:val="0"/>
                <w:color w:val="B42332"/>
                <w:sz w:val="17"/>
              </w:rPr>
              <w:t>À traiter</w:t>
            </w:r>
          </w:p>
        </w:tc>
      </w:tr>
      <w:tr>
        <w:trPr>
          <w:cantSplit/>
        </w:trPr>
        <w:tc>
          <w:tcPr>
            <w:tcW w:type="dxa" w:w="680"/>
            <w:shd w:fill="F4F7FA"/>
          </w:tcPr>
          <w:p>
            <w:pPr>
              <w:spacing w:after="40" w:before="40"/>
            </w:pPr>
            <w:r/>
            <w:r>
              <w:rPr>
                <w:rFonts w:ascii="Arial" w:hAnsi="Arial"/>
                <w:i w:val="0"/>
                <w:color w:val="202B38"/>
                <w:sz w:val="17"/>
              </w:rPr>
              <w:t>R2</w:t>
            </w:r>
          </w:p>
        </w:tc>
        <w:tc>
          <w:tcPr>
            <w:tcW w:type="dxa" w:w="3628"/>
            <w:shd w:fill="F4F7FA"/>
          </w:tcPr>
          <w:p>
            <w:pPr>
              <w:spacing w:after="40" w:before="40"/>
            </w:pPr>
            <w:r/>
            <w:r>
              <w:rPr>
                <w:rFonts w:ascii="Arial" w:hAnsi="Arial"/>
                <w:i w:val="0"/>
                <w:color w:val="202B38"/>
                <w:sz w:val="17"/>
              </w:rPr>
              <w:t>Interception du jeton en transit</w:t>
            </w:r>
          </w:p>
        </w:tc>
        <w:tc>
          <w:tcPr>
            <w:tcW w:type="dxa" w:w="1077"/>
            <w:shd w:fill="F4F7FA"/>
          </w:tcPr>
          <w:p>
            <w:pPr>
              <w:spacing w:after="40" w:before="40"/>
            </w:pPr>
            <w:r>
              <w:rPr>
                <w:b/>
              </w:rPr>
            </w:r>
            <w:r>
              <w:rPr>
                <w:rFonts w:ascii="Arial" w:hAnsi="Arial"/>
                <w:b/>
                <w:i w:val="0"/>
                <w:color w:val="B42332"/>
                <w:sz w:val="17"/>
              </w:rPr>
              <w:t>Critique</w:t>
            </w:r>
          </w:p>
        </w:tc>
        <w:tc>
          <w:tcPr>
            <w:tcW w:type="dxa" w:w="1474"/>
            <w:shd w:fill="F4F7FA"/>
          </w:tcPr>
          <w:p>
            <w:pPr>
              <w:spacing w:after="40" w:before="40"/>
            </w:pPr>
            <w:r/>
            <w:r>
              <w:rPr>
                <w:rFonts w:ascii="Arial" w:hAnsi="Arial"/>
                <w:i w:val="0"/>
                <w:color w:val="202B38"/>
                <w:sz w:val="17"/>
              </w:rPr>
              <w:t>Élevée hors TLS</w:t>
            </w:r>
          </w:p>
        </w:tc>
        <w:tc>
          <w:tcPr>
            <w:tcW w:type="dxa" w:w="1020"/>
            <w:shd w:fill="F4F7FA"/>
          </w:tcPr>
          <w:p>
            <w:pPr>
              <w:spacing w:after="40" w:before="40"/>
            </w:pPr>
            <w:r>
              <w:rPr>
                <w:b/>
              </w:rPr>
            </w:r>
            <w:r>
              <w:rPr>
                <w:rFonts w:ascii="Arial" w:hAnsi="Arial"/>
                <w:b/>
                <w:i w:val="0"/>
                <w:color w:val="B42332"/>
                <w:sz w:val="17"/>
              </w:rPr>
              <w:t>Élevé</w:t>
            </w:r>
          </w:p>
        </w:tc>
        <w:tc>
          <w:tcPr>
            <w:tcW w:type="dxa" w:w="1757"/>
            <w:shd w:fill="F4F7FA"/>
          </w:tcPr>
          <w:p>
            <w:pPr>
              <w:spacing w:after="40" w:before="40"/>
            </w:pPr>
            <w:r>
              <w:rPr>
                <w:b/>
              </w:rPr>
            </w:r>
            <w:r>
              <w:rPr>
                <w:rFonts w:ascii="Arial" w:hAnsi="Arial"/>
                <w:b/>
                <w:i w:val="0"/>
                <w:color w:val="B42332"/>
                <w:sz w:val="17"/>
              </w:rPr>
              <w:t>À traiter</w:t>
            </w:r>
          </w:p>
        </w:tc>
      </w:tr>
      <w:tr>
        <w:trPr>
          <w:cantSplit/>
        </w:trPr>
        <w:tc>
          <w:tcPr>
            <w:tcW w:type="dxa" w:w="680"/>
          </w:tcPr>
          <w:p>
            <w:pPr>
              <w:spacing w:after="40" w:before="40"/>
            </w:pPr>
            <w:r/>
            <w:r>
              <w:rPr>
                <w:rFonts w:ascii="Arial" w:hAnsi="Arial"/>
                <w:i w:val="0"/>
                <w:color w:val="202B38"/>
                <w:sz w:val="17"/>
              </w:rPr>
              <w:t>R3</w:t>
            </w:r>
          </w:p>
        </w:tc>
        <w:tc>
          <w:tcPr>
            <w:tcW w:type="dxa" w:w="3628"/>
          </w:tcPr>
          <w:p>
            <w:pPr>
              <w:spacing w:after="40" w:before="40"/>
            </w:pPr>
            <w:r/>
            <w:r>
              <w:rPr>
                <w:rFonts w:ascii="Arial" w:hAnsi="Arial"/>
                <w:i w:val="0"/>
                <w:color w:val="202B38"/>
                <w:sz w:val="17"/>
              </w:rPr>
              <w:t>Perte de données sans possibilité de reprise</w:t>
            </w:r>
          </w:p>
        </w:tc>
        <w:tc>
          <w:tcPr>
            <w:tcW w:type="dxa" w:w="1077"/>
          </w:tcPr>
          <w:p>
            <w:pPr>
              <w:spacing w:after="40" w:before="40"/>
            </w:pPr>
            <w:r>
              <w:rPr>
                <w:b/>
              </w:rPr>
            </w:r>
            <w:r>
              <w:rPr>
                <w:rFonts w:ascii="Arial" w:hAnsi="Arial"/>
                <w:b/>
                <w:i w:val="0"/>
                <w:color w:val="B42332"/>
                <w:sz w:val="17"/>
              </w:rPr>
              <w:t>Critique</w:t>
            </w:r>
          </w:p>
        </w:tc>
        <w:tc>
          <w:tcPr>
            <w:tcW w:type="dxa" w:w="1474"/>
          </w:tcPr>
          <w:p>
            <w:pPr>
              <w:spacing w:after="40" w:before="40"/>
            </w:pPr>
            <w:r/>
            <w:r>
              <w:rPr>
                <w:rFonts w:ascii="Arial" w:hAnsi="Arial"/>
                <w:i w:val="0"/>
                <w:color w:val="202B38"/>
                <w:sz w:val="17"/>
              </w:rPr>
              <w:t>Moyenne</w:t>
            </w:r>
          </w:p>
        </w:tc>
        <w:tc>
          <w:tcPr>
            <w:tcW w:type="dxa" w:w="1020"/>
          </w:tcPr>
          <w:p>
            <w:pPr>
              <w:spacing w:after="40" w:before="40"/>
            </w:pPr>
            <w:r>
              <w:rPr>
                <w:b/>
              </w:rPr>
            </w:r>
            <w:r>
              <w:rPr>
                <w:rFonts w:ascii="Arial" w:hAnsi="Arial"/>
                <w:b/>
                <w:i w:val="0"/>
                <w:color w:val="B42332"/>
                <w:sz w:val="17"/>
              </w:rPr>
              <w:t>Élevé</w:t>
            </w:r>
          </w:p>
        </w:tc>
        <w:tc>
          <w:tcPr>
            <w:tcW w:type="dxa" w:w="1757"/>
          </w:tcPr>
          <w:p>
            <w:pPr>
              <w:spacing w:after="40" w:before="40"/>
            </w:pPr>
            <w:r>
              <w:rPr>
                <w:b/>
              </w:rPr>
            </w:r>
            <w:r>
              <w:rPr>
                <w:rFonts w:ascii="Arial" w:hAnsi="Arial"/>
                <w:b/>
                <w:i w:val="0"/>
                <w:color w:val="B42332"/>
                <w:sz w:val="17"/>
              </w:rPr>
              <w:t>À traiter</w:t>
            </w:r>
          </w:p>
        </w:tc>
      </w:tr>
      <w:tr>
        <w:trPr>
          <w:cantSplit/>
        </w:trPr>
        <w:tc>
          <w:tcPr>
            <w:tcW w:type="dxa" w:w="680"/>
            <w:shd w:fill="F4F7FA"/>
          </w:tcPr>
          <w:p>
            <w:pPr>
              <w:spacing w:after="40" w:before="40"/>
            </w:pPr>
            <w:r/>
            <w:r>
              <w:rPr>
                <w:rFonts w:ascii="Arial" w:hAnsi="Arial"/>
                <w:i w:val="0"/>
                <w:color w:val="202B38"/>
                <w:sz w:val="17"/>
              </w:rPr>
              <w:t>R4</w:t>
            </w:r>
          </w:p>
        </w:tc>
        <w:tc>
          <w:tcPr>
            <w:tcW w:type="dxa" w:w="3628"/>
            <w:shd w:fill="F4F7FA"/>
          </w:tcPr>
          <w:p>
            <w:pPr>
              <w:spacing w:after="40" w:before="40"/>
            </w:pPr>
            <w:r/>
            <w:r>
              <w:rPr>
                <w:rFonts w:ascii="Arial" w:hAnsi="Arial"/>
                <w:i w:val="0"/>
                <w:color w:val="202B38"/>
                <w:sz w:val="17"/>
              </w:rPr>
              <w:t>Intrusion non détectée</w:t>
            </w:r>
          </w:p>
        </w:tc>
        <w:tc>
          <w:tcPr>
            <w:tcW w:type="dxa" w:w="1077"/>
            <w:shd w:fill="F4F7FA"/>
          </w:tcPr>
          <w:p>
            <w:pPr>
              <w:spacing w:after="40" w:before="40"/>
            </w:pPr>
            <w:r>
              <w:rPr>
                <w:b/>
              </w:rPr>
            </w:r>
            <w:r>
              <w:rPr>
                <w:rFonts w:ascii="Arial" w:hAnsi="Arial"/>
                <w:b/>
                <w:i w:val="0"/>
                <w:color w:val="B42332"/>
                <w:sz w:val="17"/>
              </w:rPr>
              <w:t>Élevé</w:t>
            </w:r>
          </w:p>
        </w:tc>
        <w:tc>
          <w:tcPr>
            <w:tcW w:type="dxa" w:w="1474"/>
            <w:shd w:fill="F4F7FA"/>
          </w:tcPr>
          <w:p>
            <w:pPr>
              <w:spacing w:after="40" w:before="40"/>
            </w:pPr>
            <w:r/>
            <w:r>
              <w:rPr>
                <w:rFonts w:ascii="Arial" w:hAnsi="Arial"/>
                <w:i w:val="0"/>
                <w:color w:val="202B38"/>
                <w:sz w:val="17"/>
              </w:rPr>
              <w:t>Élevée</w:t>
            </w:r>
          </w:p>
        </w:tc>
        <w:tc>
          <w:tcPr>
            <w:tcW w:type="dxa" w:w="1020"/>
            <w:shd w:fill="F4F7FA"/>
          </w:tcPr>
          <w:p>
            <w:pPr>
              <w:spacing w:after="40" w:before="40"/>
            </w:pPr>
            <w:r>
              <w:rPr>
                <w:b/>
              </w:rPr>
            </w:r>
            <w:r>
              <w:rPr>
                <w:rFonts w:ascii="Arial" w:hAnsi="Arial"/>
                <w:b/>
                <w:i w:val="0"/>
                <w:color w:val="B42332"/>
                <w:sz w:val="17"/>
              </w:rPr>
              <w:t>Élevé</w:t>
            </w:r>
          </w:p>
        </w:tc>
        <w:tc>
          <w:tcPr>
            <w:tcW w:type="dxa" w:w="1757"/>
            <w:shd w:fill="F4F7FA"/>
          </w:tcPr>
          <w:p>
            <w:pPr>
              <w:spacing w:after="40" w:before="40"/>
            </w:pPr>
            <w:r>
              <w:rPr>
                <w:b/>
              </w:rPr>
            </w:r>
            <w:r>
              <w:rPr>
                <w:rFonts w:ascii="Arial" w:hAnsi="Arial"/>
                <w:b/>
                <w:i w:val="0"/>
                <w:color w:val="B42332"/>
                <w:sz w:val="17"/>
              </w:rPr>
              <w:t>À traiter</w:t>
            </w:r>
          </w:p>
        </w:tc>
      </w:tr>
      <w:tr>
        <w:trPr>
          <w:cantSplit/>
        </w:trPr>
        <w:tc>
          <w:tcPr>
            <w:tcW w:type="dxa" w:w="680"/>
          </w:tcPr>
          <w:p>
            <w:pPr>
              <w:spacing w:after="40" w:before="40"/>
            </w:pPr>
            <w:r/>
            <w:r>
              <w:rPr>
                <w:rFonts w:ascii="Arial" w:hAnsi="Arial"/>
                <w:i w:val="0"/>
                <w:color w:val="202B38"/>
                <w:sz w:val="17"/>
              </w:rPr>
              <w:t>R5</w:t>
            </w:r>
          </w:p>
        </w:tc>
        <w:tc>
          <w:tcPr>
            <w:tcW w:type="dxa" w:w="3628"/>
          </w:tcPr>
          <w:p>
            <w:pPr>
              <w:spacing w:after="40" w:before="40"/>
            </w:pPr>
            <w:r/>
            <w:r>
              <w:rPr>
                <w:rFonts w:ascii="Arial" w:hAnsi="Arial"/>
                <w:i w:val="0"/>
                <w:color w:val="202B38"/>
                <w:sz w:val="17"/>
              </w:rPr>
              <w:t>Indisponibilité du compte faute de réinitialisation</w:t>
            </w:r>
          </w:p>
        </w:tc>
        <w:tc>
          <w:tcPr>
            <w:tcW w:type="dxa" w:w="1077"/>
          </w:tcPr>
          <w:p>
            <w:pPr>
              <w:spacing w:after="40" w:before="40"/>
            </w:pPr>
            <w:r>
              <w:rPr>
                <w:b/>
              </w:rPr>
            </w:r>
            <w:r>
              <w:rPr>
                <w:rFonts w:ascii="Arial" w:hAnsi="Arial"/>
                <w:b/>
                <w:i w:val="0"/>
                <w:color w:val="A65A12"/>
                <w:sz w:val="17"/>
              </w:rPr>
              <w:t>Moyen</w:t>
            </w:r>
          </w:p>
        </w:tc>
        <w:tc>
          <w:tcPr>
            <w:tcW w:type="dxa" w:w="1474"/>
          </w:tcPr>
          <w:p>
            <w:pPr>
              <w:spacing w:after="40" w:before="40"/>
            </w:pPr>
            <w:r/>
            <w:r>
              <w:rPr>
                <w:rFonts w:ascii="Arial" w:hAnsi="Arial"/>
                <w:i w:val="0"/>
                <w:color w:val="202B38"/>
                <w:sz w:val="17"/>
              </w:rPr>
              <w:t>Certaine</w:t>
            </w:r>
          </w:p>
        </w:tc>
        <w:tc>
          <w:tcPr>
            <w:tcW w:type="dxa" w:w="1020"/>
          </w:tcPr>
          <w:p>
            <w:pPr>
              <w:spacing w:after="40" w:before="40"/>
            </w:pPr>
            <w:r>
              <w:rPr>
                <w:b/>
              </w:rPr>
            </w:r>
            <w:r>
              <w:rPr>
                <w:rFonts w:ascii="Arial" w:hAnsi="Arial"/>
                <w:b/>
                <w:i w:val="0"/>
                <w:color w:val="A65A12"/>
                <w:sz w:val="17"/>
              </w:rPr>
              <w:t>Moyen</w:t>
            </w:r>
          </w:p>
        </w:tc>
        <w:tc>
          <w:tcPr>
            <w:tcW w:type="dxa" w:w="1757"/>
          </w:tcPr>
          <w:p>
            <w:pPr>
              <w:spacing w:after="40" w:before="40"/>
            </w:pPr>
            <w:r>
              <w:rPr>
                <w:b/>
              </w:rPr>
            </w:r>
            <w:r>
              <w:rPr>
                <w:rFonts w:ascii="Arial" w:hAnsi="Arial"/>
                <w:b/>
                <w:i w:val="0"/>
                <w:color w:val="B42332"/>
                <w:sz w:val="17"/>
              </w:rPr>
              <w:t>À traiter</w:t>
            </w:r>
          </w:p>
        </w:tc>
      </w:tr>
      <w:tr>
        <w:trPr>
          <w:cantSplit/>
        </w:trPr>
        <w:tc>
          <w:tcPr>
            <w:tcW w:type="dxa" w:w="680"/>
            <w:shd w:fill="F4F7FA"/>
          </w:tcPr>
          <w:p>
            <w:pPr>
              <w:spacing w:after="40" w:before="40"/>
            </w:pPr>
            <w:r/>
            <w:r>
              <w:rPr>
                <w:rFonts w:ascii="Arial" w:hAnsi="Arial"/>
                <w:i w:val="0"/>
                <w:color w:val="202B38"/>
                <w:sz w:val="17"/>
              </w:rPr>
              <w:t>R6</w:t>
            </w:r>
          </w:p>
        </w:tc>
        <w:tc>
          <w:tcPr>
            <w:tcW w:type="dxa" w:w="3628"/>
            <w:shd w:fill="F4F7FA"/>
          </w:tcPr>
          <w:p>
            <w:pPr>
              <w:spacing w:after="40" w:before="40"/>
            </w:pPr>
            <w:r/>
            <w:r>
              <w:rPr>
                <w:rFonts w:ascii="Arial" w:hAnsi="Arial"/>
                <w:i w:val="0"/>
                <w:color w:val="202B38"/>
                <w:sz w:val="17"/>
              </w:rPr>
              <w:t>Dépôt d'un fichier malveillant</w:t>
            </w:r>
          </w:p>
        </w:tc>
        <w:tc>
          <w:tcPr>
            <w:tcW w:type="dxa" w:w="1077"/>
            <w:shd w:fill="F4F7FA"/>
          </w:tcPr>
          <w:p>
            <w:pPr>
              <w:spacing w:after="40" w:before="40"/>
            </w:pPr>
            <w:r>
              <w:rPr>
                <w:b/>
              </w:rPr>
            </w:r>
            <w:r>
              <w:rPr>
                <w:rFonts w:ascii="Arial" w:hAnsi="Arial"/>
                <w:b/>
                <w:i w:val="0"/>
                <w:color w:val="A65A12"/>
                <w:sz w:val="17"/>
              </w:rPr>
              <w:t>Moyen</w:t>
            </w:r>
          </w:p>
        </w:tc>
        <w:tc>
          <w:tcPr>
            <w:tcW w:type="dxa" w:w="1474"/>
            <w:shd w:fill="F4F7FA"/>
          </w:tcPr>
          <w:p>
            <w:pPr>
              <w:spacing w:after="40" w:before="40"/>
            </w:pPr>
            <w:r/>
            <w:r>
              <w:rPr>
                <w:rFonts w:ascii="Arial" w:hAnsi="Arial"/>
                <w:i w:val="0"/>
                <w:color w:val="202B38"/>
                <w:sz w:val="17"/>
              </w:rPr>
              <w:t>Moyenne</w:t>
            </w:r>
          </w:p>
        </w:tc>
        <w:tc>
          <w:tcPr>
            <w:tcW w:type="dxa" w:w="1020"/>
            <w:shd w:fill="F4F7FA"/>
          </w:tcPr>
          <w:p>
            <w:pPr>
              <w:spacing w:after="40" w:before="40"/>
            </w:pPr>
            <w:r>
              <w:rPr>
                <w:b/>
              </w:rPr>
            </w:r>
            <w:r>
              <w:rPr>
                <w:rFonts w:ascii="Arial" w:hAnsi="Arial"/>
                <w:b/>
                <w:i w:val="0"/>
                <w:color w:val="A65A12"/>
                <w:sz w:val="17"/>
              </w:rPr>
              <w:t>Moyen</w:t>
            </w:r>
          </w:p>
        </w:tc>
        <w:tc>
          <w:tcPr>
            <w:tcW w:type="dxa" w:w="1757"/>
            <w:shd w:fill="F4F7FA"/>
          </w:tcPr>
          <w:p>
            <w:pPr>
              <w:spacing w:after="40" w:before="40"/>
            </w:pPr>
            <w:r>
              <w:rPr>
                <w:b/>
              </w:rPr>
            </w:r>
            <w:r>
              <w:rPr>
                <w:rFonts w:ascii="Arial" w:hAnsi="Arial"/>
                <w:b/>
                <w:i w:val="0"/>
                <w:color w:val="A65A12"/>
                <w:sz w:val="17"/>
              </w:rPr>
              <w:t>Partiel</w:t>
            </w:r>
          </w:p>
        </w:tc>
      </w:tr>
      <w:tr>
        <w:trPr>
          <w:cantSplit/>
        </w:trPr>
        <w:tc>
          <w:tcPr>
            <w:tcW w:type="dxa" w:w="680"/>
          </w:tcPr>
          <w:p>
            <w:pPr>
              <w:spacing w:after="40" w:before="40"/>
            </w:pPr>
            <w:r/>
            <w:r>
              <w:rPr>
                <w:rFonts w:ascii="Arial" w:hAnsi="Arial"/>
                <w:i w:val="0"/>
                <w:color w:val="202B38"/>
                <w:sz w:val="17"/>
              </w:rPr>
              <w:t>R7</w:t>
            </w:r>
          </w:p>
        </w:tc>
        <w:tc>
          <w:tcPr>
            <w:tcW w:type="dxa" w:w="3628"/>
          </w:tcPr>
          <w:p>
            <w:pPr>
              <w:spacing w:after="40" w:before="40"/>
            </w:pPr>
            <w:r/>
            <w:r>
              <w:rPr>
                <w:rFonts w:ascii="Arial" w:hAnsi="Arial"/>
                <w:i w:val="0"/>
                <w:color w:val="202B38"/>
                <w:sz w:val="17"/>
              </w:rPr>
              <w:t>Fuite transversale entre organisations</w:t>
            </w:r>
          </w:p>
        </w:tc>
        <w:tc>
          <w:tcPr>
            <w:tcW w:type="dxa" w:w="1077"/>
          </w:tcPr>
          <w:p>
            <w:pPr>
              <w:spacing w:after="40" w:before="40"/>
            </w:pPr>
            <w:r>
              <w:rPr>
                <w:b/>
              </w:rPr>
            </w:r>
            <w:r>
              <w:rPr>
                <w:rFonts w:ascii="Arial" w:hAnsi="Arial"/>
                <w:b/>
                <w:i w:val="0"/>
                <w:color w:val="B42332"/>
                <w:sz w:val="17"/>
              </w:rPr>
              <w:t>Critique</w:t>
            </w:r>
          </w:p>
        </w:tc>
        <w:tc>
          <w:tcPr>
            <w:tcW w:type="dxa" w:w="1474"/>
          </w:tcPr>
          <w:p>
            <w:pPr>
              <w:spacing w:after="40" w:before="40"/>
            </w:pPr>
            <w:r/>
            <w:r>
              <w:rPr>
                <w:rFonts w:ascii="Arial" w:hAnsi="Arial"/>
                <w:i w:val="0"/>
                <w:color w:val="202B38"/>
                <w:sz w:val="17"/>
              </w:rPr>
              <w:t>Faible</w:t>
            </w:r>
          </w:p>
        </w:tc>
        <w:tc>
          <w:tcPr>
            <w:tcW w:type="dxa" w:w="1020"/>
          </w:tcPr>
          <w:p>
            <w:pPr>
              <w:spacing w:after="40" w:before="40"/>
            </w:pPr>
            <w:r>
              <w:rPr>
                <w:b/>
              </w:rPr>
            </w:r>
            <w:r>
              <w:rPr>
                <w:rFonts w:ascii="Arial" w:hAnsi="Arial"/>
                <w:b/>
                <w:i w:val="0"/>
                <w:color w:val="A65A12"/>
                <w:sz w:val="17"/>
              </w:rPr>
              <w:t>Moyen</w:t>
            </w:r>
          </w:p>
        </w:tc>
        <w:tc>
          <w:tcPr>
            <w:tcW w:type="dxa" w:w="1757"/>
          </w:tcPr>
          <w:p>
            <w:pPr>
              <w:spacing w:after="40" w:before="40"/>
            </w:pPr>
            <w:r>
              <w:rPr>
                <w:b/>
              </w:rPr>
            </w:r>
            <w:r>
              <w:rPr>
                <w:rFonts w:ascii="Arial" w:hAnsi="Arial"/>
                <w:b/>
                <w:i w:val="0"/>
                <w:color w:val="237A53"/>
                <w:sz w:val="17"/>
              </w:rPr>
              <w:t>Maîtrisé</w:t>
            </w:r>
          </w:p>
        </w:tc>
      </w:tr>
      <w:tr>
        <w:trPr>
          <w:cantSplit/>
        </w:trPr>
        <w:tc>
          <w:tcPr>
            <w:tcW w:type="dxa" w:w="680"/>
            <w:shd w:fill="F4F7FA"/>
          </w:tcPr>
          <w:p>
            <w:pPr>
              <w:spacing w:after="40" w:before="40"/>
            </w:pPr>
            <w:r/>
            <w:r>
              <w:rPr>
                <w:rFonts w:ascii="Arial" w:hAnsi="Arial"/>
                <w:i w:val="0"/>
                <w:color w:val="202B38"/>
                <w:sz w:val="17"/>
              </w:rPr>
              <w:t>R8</w:t>
            </w:r>
          </w:p>
        </w:tc>
        <w:tc>
          <w:tcPr>
            <w:tcW w:type="dxa" w:w="3628"/>
            <w:shd w:fill="F4F7FA"/>
          </w:tcPr>
          <w:p>
            <w:pPr>
              <w:spacing w:after="40" w:before="40"/>
            </w:pPr>
            <w:r/>
            <w:r>
              <w:rPr>
                <w:rFonts w:ascii="Arial" w:hAnsi="Arial"/>
                <w:i w:val="0"/>
                <w:color w:val="202B38"/>
                <w:sz w:val="17"/>
              </w:rPr>
              <w:t>Élévation de privilège</w:t>
            </w:r>
          </w:p>
        </w:tc>
        <w:tc>
          <w:tcPr>
            <w:tcW w:type="dxa" w:w="1077"/>
            <w:shd w:fill="F4F7FA"/>
          </w:tcPr>
          <w:p>
            <w:pPr>
              <w:spacing w:after="40" w:before="40"/>
            </w:pPr>
            <w:r>
              <w:rPr>
                <w:b/>
              </w:rPr>
            </w:r>
            <w:r>
              <w:rPr>
                <w:rFonts w:ascii="Arial" w:hAnsi="Arial"/>
                <w:b/>
                <w:i w:val="0"/>
                <w:color w:val="B42332"/>
                <w:sz w:val="17"/>
              </w:rPr>
              <w:t>Élevé</w:t>
            </w:r>
          </w:p>
        </w:tc>
        <w:tc>
          <w:tcPr>
            <w:tcW w:type="dxa" w:w="1474"/>
            <w:shd w:fill="F4F7FA"/>
          </w:tcPr>
          <w:p>
            <w:pPr>
              <w:spacing w:after="40" w:before="40"/>
            </w:pPr>
            <w:r/>
            <w:r>
              <w:rPr>
                <w:rFonts w:ascii="Arial" w:hAnsi="Arial"/>
                <w:i w:val="0"/>
                <w:color w:val="202B38"/>
                <w:sz w:val="17"/>
              </w:rPr>
              <w:t>Faible</w:t>
            </w:r>
          </w:p>
        </w:tc>
        <w:tc>
          <w:tcPr>
            <w:tcW w:type="dxa" w:w="1020"/>
            <w:shd w:fill="F4F7FA"/>
          </w:tcPr>
          <w:p>
            <w:pPr>
              <w:spacing w:after="40" w:before="40"/>
            </w:pPr>
            <w:r>
              <w:rPr>
                <w:b/>
              </w:rPr>
            </w:r>
            <w:r>
              <w:rPr>
                <w:rFonts w:ascii="Arial" w:hAnsi="Arial"/>
                <w:b/>
                <w:i w:val="0"/>
                <w:color w:val="237A53"/>
                <w:sz w:val="17"/>
              </w:rPr>
              <w:t>Faible</w:t>
            </w:r>
          </w:p>
        </w:tc>
        <w:tc>
          <w:tcPr>
            <w:tcW w:type="dxa" w:w="1757"/>
            <w:shd w:fill="F4F7FA"/>
          </w:tcPr>
          <w:p>
            <w:pPr>
              <w:spacing w:after="40" w:before="40"/>
            </w:pPr>
            <w:r>
              <w:rPr>
                <w:b/>
              </w:rPr>
            </w:r>
            <w:r>
              <w:rPr>
                <w:rFonts w:ascii="Arial" w:hAnsi="Arial"/>
                <w:b/>
                <w:i w:val="0"/>
                <w:color w:val="237A53"/>
                <w:sz w:val="17"/>
              </w:rPr>
              <w:t>Maîtrisé</w:t>
            </w:r>
          </w:p>
        </w:tc>
      </w:tr>
      <w:tr>
        <w:trPr>
          <w:cantSplit/>
        </w:trPr>
        <w:tc>
          <w:tcPr>
            <w:tcW w:type="dxa" w:w="680"/>
          </w:tcPr>
          <w:p>
            <w:pPr>
              <w:spacing w:after="40" w:before="40"/>
            </w:pPr>
            <w:r/>
            <w:r>
              <w:rPr>
                <w:rFonts w:ascii="Arial" w:hAnsi="Arial"/>
                <w:i w:val="0"/>
                <w:color w:val="202B38"/>
                <w:sz w:val="17"/>
              </w:rPr>
              <w:t>R9</w:t>
            </w:r>
          </w:p>
        </w:tc>
        <w:tc>
          <w:tcPr>
            <w:tcW w:type="dxa" w:w="3628"/>
          </w:tcPr>
          <w:p>
            <w:pPr>
              <w:spacing w:after="40" w:before="40"/>
            </w:pPr>
            <w:r/>
            <w:r>
              <w:rPr>
                <w:rFonts w:ascii="Arial" w:hAnsi="Arial"/>
                <w:i w:val="0"/>
                <w:color w:val="202B38"/>
                <w:sz w:val="17"/>
              </w:rPr>
              <w:t>Injection SQL</w:t>
            </w:r>
          </w:p>
        </w:tc>
        <w:tc>
          <w:tcPr>
            <w:tcW w:type="dxa" w:w="1077"/>
          </w:tcPr>
          <w:p>
            <w:pPr>
              <w:spacing w:after="40" w:before="40"/>
            </w:pPr>
            <w:r>
              <w:rPr>
                <w:b/>
              </w:rPr>
            </w:r>
            <w:r>
              <w:rPr>
                <w:rFonts w:ascii="Arial" w:hAnsi="Arial"/>
                <w:b/>
                <w:i w:val="0"/>
                <w:color w:val="B42332"/>
                <w:sz w:val="17"/>
              </w:rPr>
              <w:t>Critique</w:t>
            </w:r>
          </w:p>
        </w:tc>
        <w:tc>
          <w:tcPr>
            <w:tcW w:type="dxa" w:w="1474"/>
          </w:tcPr>
          <w:p>
            <w:pPr>
              <w:spacing w:after="40" w:before="40"/>
            </w:pPr>
            <w:r/>
            <w:r>
              <w:rPr>
                <w:rFonts w:ascii="Arial" w:hAnsi="Arial"/>
                <w:i w:val="0"/>
                <w:color w:val="202B38"/>
                <w:sz w:val="17"/>
              </w:rPr>
              <w:t>Très faible</w:t>
            </w:r>
          </w:p>
        </w:tc>
        <w:tc>
          <w:tcPr>
            <w:tcW w:type="dxa" w:w="1020"/>
          </w:tcPr>
          <w:p>
            <w:pPr>
              <w:spacing w:after="40" w:before="40"/>
            </w:pPr>
            <w:r>
              <w:rPr>
                <w:b/>
              </w:rPr>
            </w:r>
            <w:r>
              <w:rPr>
                <w:rFonts w:ascii="Arial" w:hAnsi="Arial"/>
                <w:b/>
                <w:i w:val="0"/>
                <w:color w:val="237A53"/>
                <w:sz w:val="17"/>
              </w:rPr>
              <w:t>Faible</w:t>
            </w:r>
          </w:p>
        </w:tc>
        <w:tc>
          <w:tcPr>
            <w:tcW w:type="dxa" w:w="1757"/>
          </w:tcPr>
          <w:p>
            <w:pPr>
              <w:spacing w:after="40" w:before="40"/>
            </w:pPr>
            <w:r>
              <w:rPr>
                <w:b/>
              </w:rPr>
            </w:r>
            <w:r>
              <w:rPr>
                <w:rFonts w:ascii="Arial" w:hAnsi="Arial"/>
                <w:b/>
                <w:i w:val="0"/>
                <w:color w:val="237A53"/>
                <w:sz w:val="17"/>
              </w:rPr>
              <w:t>Maîtrisé</w:t>
            </w:r>
          </w:p>
        </w:tc>
      </w:tr>
      <w:tr>
        <w:trPr>
          <w:cantSplit/>
        </w:trPr>
        <w:tc>
          <w:tcPr>
            <w:tcW w:type="dxa" w:w="680"/>
            <w:shd w:fill="F4F7FA"/>
          </w:tcPr>
          <w:p>
            <w:pPr>
              <w:spacing w:after="40" w:before="40"/>
            </w:pPr>
            <w:r/>
            <w:r>
              <w:rPr>
                <w:rFonts w:ascii="Arial" w:hAnsi="Arial"/>
                <w:i w:val="0"/>
                <w:color w:val="202B38"/>
                <w:sz w:val="17"/>
              </w:rPr>
              <w:t>R10</w:t>
            </w:r>
          </w:p>
        </w:tc>
        <w:tc>
          <w:tcPr>
            <w:tcW w:type="dxa" w:w="3628"/>
            <w:shd w:fill="F4F7FA"/>
          </w:tcPr>
          <w:p>
            <w:pPr>
              <w:spacing w:after="40" w:before="40"/>
            </w:pPr>
            <w:r/>
            <w:r>
              <w:rPr>
                <w:rFonts w:ascii="Arial" w:hAnsi="Arial"/>
                <w:i w:val="0"/>
                <w:color w:val="202B38"/>
                <w:sz w:val="17"/>
              </w:rPr>
              <w:t>Vol de jeton par injection de script (XSS)</w:t>
            </w:r>
          </w:p>
        </w:tc>
        <w:tc>
          <w:tcPr>
            <w:tcW w:type="dxa" w:w="1077"/>
            <w:shd w:fill="F4F7FA"/>
          </w:tcPr>
          <w:p>
            <w:pPr>
              <w:spacing w:after="40" w:before="40"/>
            </w:pPr>
            <w:r>
              <w:rPr>
                <w:b/>
              </w:rPr>
            </w:r>
            <w:r>
              <w:rPr>
                <w:rFonts w:ascii="Arial" w:hAnsi="Arial"/>
                <w:b/>
                <w:i w:val="0"/>
                <w:color w:val="B42332"/>
                <w:sz w:val="17"/>
              </w:rPr>
              <w:t>Élevé</w:t>
            </w:r>
          </w:p>
        </w:tc>
        <w:tc>
          <w:tcPr>
            <w:tcW w:type="dxa" w:w="1474"/>
            <w:shd w:fill="F4F7FA"/>
          </w:tcPr>
          <w:p>
            <w:pPr>
              <w:spacing w:after="40" w:before="40"/>
            </w:pPr>
            <w:r/>
            <w:r>
              <w:rPr>
                <w:rFonts w:ascii="Arial" w:hAnsi="Arial"/>
                <w:i w:val="0"/>
                <w:color w:val="202B38"/>
                <w:sz w:val="17"/>
              </w:rPr>
              <w:t>Faible</w:t>
            </w:r>
          </w:p>
        </w:tc>
        <w:tc>
          <w:tcPr>
            <w:tcW w:type="dxa" w:w="1020"/>
            <w:shd w:fill="F4F7FA"/>
          </w:tcPr>
          <w:p>
            <w:pPr>
              <w:spacing w:after="40" w:before="40"/>
            </w:pPr>
            <w:r>
              <w:rPr>
                <w:b/>
              </w:rPr>
            </w:r>
            <w:r>
              <w:rPr>
                <w:rFonts w:ascii="Arial" w:hAnsi="Arial"/>
                <w:b/>
                <w:i w:val="0"/>
                <w:color w:val="237A53"/>
                <w:sz w:val="17"/>
              </w:rPr>
              <w:t>Faible</w:t>
            </w:r>
          </w:p>
        </w:tc>
        <w:tc>
          <w:tcPr>
            <w:tcW w:type="dxa" w:w="1757"/>
            <w:shd w:fill="F4F7FA"/>
          </w:tcPr>
          <w:p>
            <w:pPr>
              <w:spacing w:after="40" w:before="40"/>
            </w:pPr>
            <w:r>
              <w:rPr>
                <w:b/>
              </w:rPr>
            </w:r>
            <w:r>
              <w:rPr>
                <w:rFonts w:ascii="Arial" w:hAnsi="Arial"/>
                <w:b/>
                <w:i w:val="0"/>
                <w:color w:val="237A53"/>
                <w:sz w:val="17"/>
              </w:rPr>
              <w:t>Maîtrisé</w:t>
            </w:r>
          </w:p>
        </w:tc>
      </w:tr>
    </w:tbl>
    <w:p>
      <w:pPr>
        <w:spacing w:after="0"/>
      </w:pPr>
    </w:p>
    <w:p>
      <w:pPr>
        <w:keepNext/>
        <w:spacing w:before="300" w:after="100"/>
        <w:pBdr>
          <w:bottom w:val="single" w:sz="4" w:space="3" w:color="C8D4E2"/>
        </w:pBdr>
      </w:pPr>
      <w:r>
        <w:rPr>
          <w:rFonts w:ascii="Arial" w:hAnsi="Arial"/>
          <w:b/>
          <w:color w:val="163658"/>
          <w:sz w:val="32"/>
        </w:rPr>
        <w:t>3. Principes de Security by Design appliqués</w:t>
      </w:r>
    </w:p>
    <w:p>
      <w:pPr>
        <w:spacing w:after="80"/>
        <w:jc w:val="both"/>
      </w:pPr>
      <w:r>
        <w:rPr>
          <w:rFonts w:ascii="Arial" w:hAnsi="Arial"/>
          <w:i w:val="0"/>
          <w:color w:val="202B38"/>
          <w:sz w:val="21"/>
        </w:rPr>
        <w:t>Le Security by Design consiste à intégrer la sécurité dès la conception plutôt qu'à l'ajouter après coup. Le tableau ci-dessous confronte chaque principe à sa traduction concrète dans TrackIT — ou à son absence.</w:t>
      </w:r>
    </w:p>
    <w:tbl>
      <w:tblPr>
        <w:tblStyle w:val="TableGrid"/>
        <w:tblW w:type="auto" w:w="0"/>
        <w:jc w:val="center"/>
        <w:tblLayout w:type="fixed"/>
        <w:tblLook w:firstColumn="1" w:firstRow="1" w:lastColumn="0" w:lastRow="0" w:noHBand="0" w:noVBand="1" w:val="04A0"/>
        <w:tblLayout w:type="fixed"/>
      </w:tblPr>
      <w:tblGrid>
        <w:gridCol w:w="2154"/>
        <w:gridCol w:w="6236"/>
        <w:gridCol w:w="1247"/>
      </w:tblGrid>
      <w:tr>
        <w:trPr>
          <w:tblHeader w:val="true"/>
          <w:cantSplit/>
        </w:trPr>
        <w:tc>
          <w:tcPr>
            <w:tcW w:type="dxa" w:w="2154"/>
            <w:shd w:fill="163658"/>
          </w:tcPr>
          <w:p>
            <w:pPr>
              <w:spacing w:after="40" w:before="40"/>
            </w:pPr>
            <w:r/>
            <w:r>
              <w:rPr>
                <w:rFonts w:ascii="Arial" w:hAnsi="Arial"/>
                <w:b/>
                <w:color w:val="FFFFFF"/>
                <w:sz w:val="17"/>
              </w:rPr>
              <w:t>Principe</w:t>
            </w:r>
          </w:p>
        </w:tc>
        <w:tc>
          <w:tcPr>
            <w:tcW w:type="dxa" w:w="6236"/>
            <w:shd w:fill="163658"/>
          </w:tcPr>
          <w:p>
            <w:pPr>
              <w:spacing w:after="40" w:before="40"/>
            </w:pPr>
            <w:r/>
            <w:r>
              <w:rPr>
                <w:rFonts w:ascii="Arial" w:hAnsi="Arial"/>
                <w:b/>
                <w:color w:val="FFFFFF"/>
                <w:sz w:val="17"/>
              </w:rPr>
              <w:t>Traduction dans TrackIT</w:t>
            </w:r>
          </w:p>
        </w:tc>
        <w:tc>
          <w:tcPr>
            <w:tcW w:type="dxa" w:w="1247"/>
            <w:shd w:fill="163658"/>
          </w:tcPr>
          <w:p>
            <w:pPr>
              <w:spacing w:after="40" w:before="40"/>
            </w:pPr>
            <w:r/>
            <w:r>
              <w:rPr>
                <w:rFonts w:ascii="Arial" w:hAnsi="Arial"/>
                <w:b/>
                <w:color w:val="FFFFFF"/>
                <w:sz w:val="17"/>
              </w:rPr>
              <w:t>État</w:t>
            </w:r>
          </w:p>
        </w:tc>
      </w:tr>
      <w:tr>
        <w:trPr>
          <w:cantSplit/>
        </w:trPr>
        <w:tc>
          <w:tcPr>
            <w:tcW w:type="dxa" w:w="2154"/>
          </w:tcPr>
          <w:p>
            <w:pPr>
              <w:spacing w:after="40" w:before="40"/>
            </w:pPr>
            <w:r/>
            <w:r>
              <w:rPr>
                <w:rFonts w:ascii="Arial" w:hAnsi="Arial"/>
                <w:i w:val="0"/>
                <w:color w:val="202B38"/>
                <w:sz w:val="17"/>
              </w:rPr>
              <w:t>Défense en profondeur</w:t>
            </w:r>
          </w:p>
        </w:tc>
        <w:tc>
          <w:tcPr>
            <w:tcW w:type="dxa" w:w="6236"/>
          </w:tcPr>
          <w:p>
            <w:pPr>
              <w:spacing w:after="40" w:before="40"/>
            </w:pPr>
            <w:r/>
            <w:r>
              <w:rPr>
                <w:rFonts w:ascii="Arial" w:hAnsi="Arial"/>
                <w:i w:val="0"/>
                <w:color w:val="202B38"/>
                <w:sz w:val="17"/>
              </w:rPr>
              <w:t>Trois barrières indépendantes : contrôle du rôle par annotation, règles métier dans la couche service, filtrage par organisation dans la requête SQL</w:t>
            </w:r>
          </w:p>
        </w:tc>
        <w:tc>
          <w:tcPr>
            <w:tcW w:type="dxa" w:w="1247"/>
          </w:tcPr>
          <w:p>
            <w:pPr>
              <w:spacing w:after="40" w:before="40"/>
            </w:pPr>
            <w:r>
              <w:rPr>
                <w:b/>
              </w:rPr>
            </w:r>
            <w:r>
              <w:rPr>
                <w:rFonts w:ascii="Arial" w:hAnsi="Arial"/>
                <w:b/>
                <w:i w:val="0"/>
                <w:color w:val="237A53"/>
                <w:sz w:val="17"/>
              </w:rPr>
              <w:t>En place</w:t>
            </w:r>
          </w:p>
        </w:tc>
      </w:tr>
      <w:tr>
        <w:trPr>
          <w:cantSplit/>
        </w:trPr>
        <w:tc>
          <w:tcPr>
            <w:tcW w:type="dxa" w:w="2154"/>
            <w:shd w:fill="F4F7FA"/>
          </w:tcPr>
          <w:p>
            <w:pPr>
              <w:spacing w:after="40" w:before="40"/>
            </w:pPr>
            <w:r/>
            <w:r>
              <w:rPr>
                <w:rFonts w:ascii="Arial" w:hAnsi="Arial"/>
                <w:i w:val="0"/>
                <w:color w:val="202B38"/>
                <w:sz w:val="17"/>
              </w:rPr>
              <w:t>Moindre privilège</w:t>
            </w:r>
          </w:p>
        </w:tc>
        <w:tc>
          <w:tcPr>
            <w:tcW w:type="dxa" w:w="6236"/>
            <w:shd w:fill="F4F7FA"/>
          </w:tcPr>
          <w:p>
            <w:pPr>
              <w:spacing w:after="40" w:before="40"/>
            </w:pPr>
            <w:r/>
            <w:r>
              <w:rPr>
                <w:rFonts w:ascii="Arial" w:hAnsi="Arial"/>
                <w:i w:val="0"/>
                <w:color w:val="202B38"/>
                <w:sz w:val="17"/>
              </w:rPr>
              <w:t>Cinq rôles distincts ; sur 61 opérations, un Utilisateur n'en atteint que 26 et un Opérateur 34</w:t>
            </w:r>
          </w:p>
        </w:tc>
        <w:tc>
          <w:tcPr>
            <w:tcW w:type="dxa" w:w="1247"/>
            <w:shd w:fill="F4F7FA"/>
          </w:tcPr>
          <w:p>
            <w:pPr>
              <w:spacing w:after="40" w:before="40"/>
            </w:pPr>
            <w:r>
              <w:rPr>
                <w:b/>
              </w:rPr>
            </w:r>
            <w:r>
              <w:rPr>
                <w:rFonts w:ascii="Arial" w:hAnsi="Arial"/>
                <w:b/>
                <w:i w:val="0"/>
                <w:color w:val="237A53"/>
                <w:sz w:val="17"/>
              </w:rPr>
              <w:t>En place</w:t>
            </w:r>
          </w:p>
        </w:tc>
      </w:tr>
      <w:tr>
        <w:trPr>
          <w:cantSplit/>
        </w:trPr>
        <w:tc>
          <w:tcPr>
            <w:tcW w:type="dxa" w:w="2154"/>
          </w:tcPr>
          <w:p>
            <w:pPr>
              <w:spacing w:after="40" w:before="40"/>
            </w:pPr>
            <w:r/>
            <w:r>
              <w:rPr>
                <w:rFonts w:ascii="Arial" w:hAnsi="Arial"/>
                <w:i w:val="0"/>
                <w:color w:val="202B38"/>
                <w:sz w:val="17"/>
              </w:rPr>
              <w:t>Sécurité par défaut</w:t>
            </w:r>
          </w:p>
        </w:tc>
        <w:tc>
          <w:tcPr>
            <w:tcW w:type="dxa" w:w="6236"/>
          </w:tcPr>
          <w:p>
            <w:pPr>
              <w:spacing w:after="40" w:before="40"/>
            </w:pPr>
            <w:r/>
            <w:r>
              <w:rPr>
                <w:rFonts w:ascii="Courier New" w:hAnsi="Courier New"/>
                <w:color w:val="1769AA"/>
                <w:sz w:val="14"/>
              </w:rPr>
              <w:t>anyRequest().authenticated()</w:t>
            </w:r>
            <w:r>
              <w:rPr>
                <w:rFonts w:ascii="Arial" w:hAnsi="Arial"/>
                <w:i w:val="0"/>
                <w:color w:val="202B38"/>
                <w:sz w:val="17"/>
              </w:rPr>
              <w:t xml:space="preserve"> : toute route non déclarée publique est protégée. Huit routes publiques seulement, listées explicitement</w:t>
            </w:r>
          </w:p>
        </w:tc>
        <w:tc>
          <w:tcPr>
            <w:tcW w:type="dxa" w:w="1247"/>
          </w:tcPr>
          <w:p>
            <w:pPr>
              <w:spacing w:after="40" w:before="40"/>
            </w:pPr>
            <w:r>
              <w:rPr>
                <w:b/>
              </w:rPr>
            </w:r>
            <w:r>
              <w:rPr>
                <w:rFonts w:ascii="Arial" w:hAnsi="Arial"/>
                <w:b/>
                <w:i w:val="0"/>
                <w:color w:val="237A53"/>
                <w:sz w:val="17"/>
              </w:rPr>
              <w:t>En place</w:t>
            </w:r>
          </w:p>
        </w:tc>
      </w:tr>
      <w:tr>
        <w:trPr>
          <w:cantSplit/>
        </w:trPr>
        <w:tc>
          <w:tcPr>
            <w:tcW w:type="dxa" w:w="2154"/>
            <w:shd w:fill="F4F7FA"/>
          </w:tcPr>
          <w:p>
            <w:pPr>
              <w:spacing w:after="40" w:before="40"/>
            </w:pPr>
            <w:r/>
            <w:r>
              <w:rPr>
                <w:rFonts w:ascii="Arial" w:hAnsi="Arial"/>
                <w:i w:val="0"/>
                <w:color w:val="202B38"/>
                <w:sz w:val="17"/>
              </w:rPr>
              <w:t>Échec sécurisé</w:t>
            </w:r>
          </w:p>
        </w:tc>
        <w:tc>
          <w:tcPr>
            <w:tcW w:type="dxa" w:w="6236"/>
            <w:shd w:fill="F4F7FA"/>
          </w:tcPr>
          <w:p>
            <w:pPr>
              <w:spacing w:after="40" w:before="40"/>
            </w:pPr>
            <w:r/>
            <w:r>
              <w:rPr>
                <w:rFonts w:ascii="Arial" w:hAnsi="Arial"/>
                <w:i w:val="0"/>
                <w:color w:val="202B38"/>
                <w:sz w:val="17"/>
              </w:rPr>
              <w:t>Un jeton illisible n'authentifie pas : la requête poursuit en anonyme et se solde par un 401. Le secret JWT est validé au démarrage : sans lui, l'application refuse de démarrer</w:t>
            </w:r>
          </w:p>
        </w:tc>
        <w:tc>
          <w:tcPr>
            <w:tcW w:type="dxa" w:w="1247"/>
            <w:shd w:fill="F4F7FA"/>
          </w:tcPr>
          <w:p>
            <w:pPr>
              <w:spacing w:after="40" w:before="40"/>
            </w:pPr>
            <w:r>
              <w:rPr>
                <w:b/>
              </w:rPr>
            </w:r>
            <w:r>
              <w:rPr>
                <w:rFonts w:ascii="Arial" w:hAnsi="Arial"/>
                <w:b/>
                <w:i w:val="0"/>
                <w:color w:val="237A53"/>
                <w:sz w:val="17"/>
              </w:rPr>
              <w:t>En place</w:t>
            </w:r>
          </w:p>
        </w:tc>
      </w:tr>
      <w:tr>
        <w:trPr>
          <w:cantSplit/>
        </w:trPr>
        <w:tc>
          <w:tcPr>
            <w:tcW w:type="dxa" w:w="2154"/>
          </w:tcPr>
          <w:p>
            <w:pPr>
              <w:spacing w:after="40" w:before="40"/>
            </w:pPr>
            <w:r/>
            <w:r>
              <w:rPr>
                <w:rFonts w:ascii="Arial" w:hAnsi="Arial"/>
                <w:i w:val="0"/>
                <w:color w:val="202B38"/>
                <w:sz w:val="17"/>
              </w:rPr>
              <w:t>Surface d'attaque minimale</w:t>
            </w:r>
          </w:p>
        </w:tc>
        <w:tc>
          <w:tcPr>
            <w:tcW w:type="dxa" w:w="6236"/>
          </w:tcPr>
          <w:p>
            <w:pPr>
              <w:spacing w:after="40" w:before="40"/>
            </w:pPr>
            <w:r/>
            <w:r>
              <w:rPr>
                <w:rFonts w:ascii="Arial" w:hAnsi="Arial"/>
                <w:i w:val="0"/>
                <w:color w:val="202B38"/>
                <w:sz w:val="17"/>
              </w:rPr>
              <w:t>API sans état : ni session serveur, ni cookie d'authentification. Origines autorisées déclarées une à une</w:t>
            </w:r>
          </w:p>
        </w:tc>
        <w:tc>
          <w:tcPr>
            <w:tcW w:type="dxa" w:w="1247"/>
          </w:tcPr>
          <w:p>
            <w:pPr>
              <w:spacing w:after="40" w:before="40"/>
            </w:pPr>
            <w:r>
              <w:rPr>
                <w:b/>
              </w:rPr>
            </w:r>
            <w:r>
              <w:rPr>
                <w:rFonts w:ascii="Arial" w:hAnsi="Arial"/>
                <w:b/>
                <w:i w:val="0"/>
                <w:color w:val="237A53"/>
                <w:sz w:val="17"/>
              </w:rPr>
              <w:t>En place</w:t>
            </w:r>
          </w:p>
        </w:tc>
      </w:tr>
      <w:tr>
        <w:trPr>
          <w:cantSplit/>
        </w:trPr>
        <w:tc>
          <w:tcPr>
            <w:tcW w:type="dxa" w:w="2154"/>
            <w:shd w:fill="F4F7FA"/>
          </w:tcPr>
          <w:p>
            <w:pPr>
              <w:spacing w:after="40" w:before="40"/>
            </w:pPr>
            <w:r/>
            <w:r>
              <w:rPr>
                <w:rFonts w:ascii="Arial" w:hAnsi="Arial"/>
                <w:i w:val="0"/>
                <w:color w:val="202B38"/>
                <w:sz w:val="17"/>
              </w:rPr>
              <w:t>Non-divulgation d'information</w:t>
            </w:r>
          </w:p>
        </w:tc>
        <w:tc>
          <w:tcPr>
            <w:tcW w:type="dxa" w:w="6236"/>
            <w:shd w:fill="F4F7FA"/>
          </w:tcPr>
          <w:p>
            <w:pPr>
              <w:spacing w:after="40" w:before="40"/>
            </w:pPr>
            <w:r/>
            <w:r>
              <w:rPr>
                <w:rFonts w:ascii="Arial" w:hAnsi="Arial"/>
                <w:i w:val="0"/>
                <w:color w:val="202B38"/>
                <w:sz w:val="17"/>
              </w:rPr>
              <w:t>Une ressource appartenant à une autre organisation renvoie 404 et non 403, pour ne pas révéler son existence. Le message d'échec de connexion est identique que l'adresse existe ou non</w:t>
            </w:r>
          </w:p>
        </w:tc>
        <w:tc>
          <w:tcPr>
            <w:tcW w:type="dxa" w:w="1247"/>
            <w:shd w:fill="F4F7FA"/>
          </w:tcPr>
          <w:p>
            <w:pPr>
              <w:spacing w:after="40" w:before="40"/>
            </w:pPr>
            <w:r>
              <w:rPr>
                <w:b/>
              </w:rPr>
            </w:r>
            <w:r>
              <w:rPr>
                <w:rFonts w:ascii="Arial" w:hAnsi="Arial"/>
                <w:b/>
                <w:i w:val="0"/>
                <w:color w:val="237A53"/>
                <w:sz w:val="17"/>
              </w:rPr>
              <w:t>En place</w:t>
            </w:r>
          </w:p>
        </w:tc>
      </w:tr>
      <w:tr>
        <w:trPr>
          <w:cantSplit/>
        </w:trPr>
        <w:tc>
          <w:tcPr>
            <w:tcW w:type="dxa" w:w="2154"/>
          </w:tcPr>
          <w:p>
            <w:pPr>
              <w:spacing w:after="40" w:before="40"/>
            </w:pPr>
            <w:r/>
            <w:r>
              <w:rPr>
                <w:rFonts w:ascii="Arial" w:hAnsi="Arial"/>
                <w:i w:val="0"/>
                <w:color w:val="202B38"/>
                <w:sz w:val="17"/>
              </w:rPr>
              <w:t>Médiation complète</w:t>
            </w:r>
          </w:p>
        </w:tc>
        <w:tc>
          <w:tcPr>
            <w:tcW w:type="dxa" w:w="6236"/>
          </w:tcPr>
          <w:p>
            <w:pPr>
              <w:spacing w:after="40" w:before="40"/>
            </w:pPr>
            <w:r/>
            <w:r>
              <w:rPr>
                <w:rFonts w:ascii="Arial" w:hAnsi="Arial"/>
                <w:i w:val="0"/>
                <w:color w:val="202B38"/>
                <w:sz w:val="17"/>
              </w:rPr>
              <w:t xml:space="preserve">Chaque requête revalide la signature du jeton </w:t>
            </w:r>
            <w:r>
              <w:rPr>
                <w:rFonts w:ascii="Arial" w:hAnsi="Arial"/>
                <w:b/>
                <w:i w:val="0"/>
                <w:color w:val="202B38"/>
                <w:sz w:val="17"/>
              </w:rPr>
              <w:t>et</w:t>
            </w:r>
            <w:r>
              <w:rPr>
                <w:rFonts w:ascii="Arial" w:hAnsi="Arial"/>
                <w:i w:val="0"/>
                <w:color w:val="202B38"/>
                <w:sz w:val="17"/>
              </w:rPr>
              <w:t xml:space="preserve"> recharge l'utilisateur en base : un compte désactivé perd l'accès immédiatement, sans attendre l'expiration du jeton</w:t>
            </w:r>
          </w:p>
        </w:tc>
        <w:tc>
          <w:tcPr>
            <w:tcW w:type="dxa" w:w="1247"/>
          </w:tcPr>
          <w:p>
            <w:pPr>
              <w:spacing w:after="40" w:before="40"/>
            </w:pPr>
            <w:r>
              <w:rPr>
                <w:b/>
              </w:rPr>
            </w:r>
            <w:r>
              <w:rPr>
                <w:rFonts w:ascii="Arial" w:hAnsi="Arial"/>
                <w:b/>
                <w:i w:val="0"/>
                <w:color w:val="237A53"/>
                <w:sz w:val="17"/>
              </w:rPr>
              <w:t>En place</w:t>
            </w:r>
          </w:p>
        </w:tc>
      </w:tr>
      <w:tr>
        <w:trPr>
          <w:cantSplit/>
        </w:trPr>
        <w:tc>
          <w:tcPr>
            <w:tcW w:type="dxa" w:w="2154"/>
            <w:shd w:fill="F4F7FA"/>
          </w:tcPr>
          <w:p>
            <w:pPr>
              <w:spacing w:after="40" w:before="40"/>
            </w:pPr>
            <w:r/>
            <w:r>
              <w:rPr>
                <w:rFonts w:ascii="Arial" w:hAnsi="Arial"/>
                <w:i w:val="0"/>
                <w:color w:val="202B38"/>
                <w:sz w:val="17"/>
              </w:rPr>
              <w:t>Séparation des secrets</w:t>
            </w:r>
          </w:p>
        </w:tc>
        <w:tc>
          <w:tcPr>
            <w:tcW w:type="dxa" w:w="6236"/>
            <w:shd w:fill="F4F7FA"/>
          </w:tcPr>
          <w:p>
            <w:pPr>
              <w:spacing w:after="40" w:before="40"/>
            </w:pPr>
            <w:r/>
            <w:r>
              <w:rPr>
                <w:rFonts w:ascii="Arial" w:hAnsi="Arial"/>
                <w:i w:val="0"/>
                <w:color w:val="202B38"/>
                <w:sz w:val="17"/>
              </w:rPr>
              <w:t xml:space="preserve">Aucun secret dans le code : variables d'environnement, fichier </w:t>
            </w:r>
            <w:r>
              <w:rPr>
                <w:rFonts w:ascii="Courier New" w:hAnsi="Courier New"/>
                <w:color w:val="1769AA"/>
                <w:sz w:val="14"/>
              </w:rPr>
              <w:t>.env</w:t>
            </w:r>
            <w:r>
              <w:rPr>
                <w:rFonts w:ascii="Arial" w:hAnsi="Arial"/>
                <w:i w:val="0"/>
                <w:color w:val="202B38"/>
                <w:sz w:val="17"/>
              </w:rPr>
              <w:t xml:space="preserve"> exclu du dépôt, </w:t>
            </w:r>
            <w:r>
              <w:rPr>
                <w:rFonts w:ascii="Courier New" w:hAnsi="Courier New"/>
                <w:color w:val="1769AA"/>
                <w:sz w:val="14"/>
              </w:rPr>
              <w:t>.env.example</w:t>
            </w:r>
            <w:r>
              <w:rPr>
                <w:rFonts w:ascii="Arial" w:hAnsi="Arial"/>
                <w:i w:val="0"/>
                <w:color w:val="202B38"/>
                <w:sz w:val="17"/>
              </w:rPr>
              <w:t xml:space="preserve"> ne contenant que des valeurs factices</w:t>
            </w:r>
          </w:p>
        </w:tc>
        <w:tc>
          <w:tcPr>
            <w:tcW w:type="dxa" w:w="1247"/>
            <w:shd w:fill="F4F7FA"/>
          </w:tcPr>
          <w:p>
            <w:pPr>
              <w:spacing w:after="40" w:before="40"/>
            </w:pPr>
            <w:r>
              <w:rPr>
                <w:b/>
              </w:rPr>
            </w:r>
            <w:r>
              <w:rPr>
                <w:rFonts w:ascii="Arial" w:hAnsi="Arial"/>
                <w:b/>
                <w:i w:val="0"/>
                <w:color w:val="237A53"/>
                <w:sz w:val="17"/>
              </w:rPr>
              <w:t>En place</w:t>
            </w:r>
          </w:p>
        </w:tc>
      </w:tr>
      <w:tr>
        <w:trPr>
          <w:cantSplit/>
        </w:trPr>
        <w:tc>
          <w:tcPr>
            <w:tcW w:type="dxa" w:w="2154"/>
          </w:tcPr>
          <w:p>
            <w:pPr>
              <w:spacing w:after="40" w:before="40"/>
            </w:pPr>
            <w:r/>
            <w:r>
              <w:rPr>
                <w:rFonts w:ascii="Arial" w:hAnsi="Arial"/>
                <w:i w:val="0"/>
                <w:color w:val="202B38"/>
                <w:sz w:val="17"/>
              </w:rPr>
              <w:t>Traçabilité</w:t>
            </w:r>
          </w:p>
        </w:tc>
        <w:tc>
          <w:tcPr>
            <w:tcW w:type="dxa" w:w="6236"/>
          </w:tcPr>
          <w:p>
            <w:pPr>
              <w:spacing w:after="40" w:before="40"/>
            </w:pPr>
            <w:r/>
            <w:r>
              <w:rPr>
                <w:rFonts w:ascii="Arial" w:hAnsi="Arial"/>
                <w:i w:val="0"/>
                <w:color w:val="202B38"/>
                <w:sz w:val="17"/>
              </w:rPr>
              <w:t>Historique fonctionnel horodaté et nominatif sur les anomalies ; en revanche aucun journal dédié aux événements de sécurité</w:t>
            </w:r>
          </w:p>
        </w:tc>
        <w:tc>
          <w:tcPr>
            <w:tcW w:type="dxa" w:w="1247"/>
          </w:tcPr>
          <w:p>
            <w:pPr>
              <w:spacing w:after="40" w:before="40"/>
            </w:pPr>
            <w:r>
              <w:rPr>
                <w:b/>
              </w:rPr>
            </w:r>
            <w:r>
              <w:rPr>
                <w:rFonts w:ascii="Arial" w:hAnsi="Arial"/>
                <w:b/>
                <w:i w:val="0"/>
                <w:color w:val="A65A12"/>
                <w:sz w:val="17"/>
              </w:rPr>
              <w:t>Partiel</w:t>
            </w:r>
          </w:p>
        </w:tc>
      </w:tr>
      <w:tr>
        <w:trPr>
          <w:cantSplit/>
        </w:trPr>
        <w:tc>
          <w:tcPr>
            <w:tcW w:type="dxa" w:w="2154"/>
            <w:shd w:fill="F4F7FA"/>
          </w:tcPr>
          <w:p>
            <w:pPr>
              <w:spacing w:after="40" w:before="40"/>
            </w:pPr>
            <w:r/>
            <w:r>
              <w:rPr>
                <w:rFonts w:ascii="Arial" w:hAnsi="Arial"/>
                <w:i w:val="0"/>
                <w:color w:val="202B38"/>
                <w:sz w:val="17"/>
              </w:rPr>
              <w:t>Limitation du débit</w:t>
            </w:r>
          </w:p>
        </w:tc>
        <w:tc>
          <w:tcPr>
            <w:tcW w:type="dxa" w:w="6236"/>
            <w:shd w:fill="F4F7FA"/>
          </w:tcPr>
          <w:p>
            <w:pPr>
              <w:spacing w:after="40" w:before="40"/>
            </w:pPr>
            <w:r/>
            <w:r>
              <w:rPr>
                <w:rFonts w:ascii="Arial" w:hAnsi="Arial"/>
                <w:i w:val="0"/>
                <w:color w:val="202B38"/>
                <w:sz w:val="17"/>
              </w:rPr>
              <w:t>Aucun mécanisme de limitation du nombre de tentatives ou d'appels</w:t>
            </w:r>
          </w:p>
        </w:tc>
        <w:tc>
          <w:tcPr>
            <w:tcW w:type="dxa" w:w="1247"/>
            <w:shd w:fill="F4F7FA"/>
          </w:tcPr>
          <w:p>
            <w:pPr>
              <w:spacing w:after="40" w:before="40"/>
            </w:pPr>
            <w:r>
              <w:rPr>
                <w:b/>
              </w:rPr>
            </w:r>
            <w:r>
              <w:rPr>
                <w:rFonts w:ascii="Arial" w:hAnsi="Arial"/>
                <w:b/>
                <w:i w:val="0"/>
                <w:color w:val="B42332"/>
                <w:sz w:val="17"/>
              </w:rPr>
              <w:t>Absent</w:t>
            </w:r>
          </w:p>
        </w:tc>
      </w:tr>
    </w:tbl>
    <w:p>
      <w:pPr>
        <w:spacing w:after="0"/>
      </w:pPr>
    </w:p>
    <w:p>
      <w:pPr>
        <w:keepNext/>
        <w:spacing w:before="300" w:after="100"/>
        <w:pBdr>
          <w:bottom w:val="single" w:sz="4" w:space="3" w:color="C8D4E2"/>
        </w:pBdr>
      </w:pPr>
      <w:r>
        <w:rPr>
          <w:rFonts w:ascii="Arial" w:hAnsi="Arial"/>
          <w:b/>
          <w:color w:val="163658"/>
          <w:sz w:val="32"/>
        </w:rPr>
        <w:t>4. Authentification et récupération des identifiants</w:t>
      </w:r>
    </w:p>
    <w:p>
      <w:pPr>
        <w:keepNext/>
        <w:spacing w:before="180" w:after="60"/>
      </w:pPr>
      <w:r>
        <w:rPr>
          <w:rFonts w:ascii="Arial" w:hAnsi="Arial"/>
          <w:b/>
          <w:color w:val="163658"/>
          <w:sz w:val="25"/>
        </w:rPr>
        <w:t>4.1 Mécanisme retenu et justification</w:t>
      </w:r>
    </w:p>
    <w:p>
      <w:pPr>
        <w:spacing w:after="80"/>
        <w:jc w:val="both"/>
      </w:pPr>
      <w:r>
        <w:rPr>
          <w:rFonts w:ascii="Arial" w:hAnsi="Arial"/>
          <w:i w:val="0"/>
          <w:color w:val="202B38"/>
          <w:sz w:val="21"/>
        </w:rPr>
        <w:t xml:space="preserve">TrackIT authentifie ses utilisateurs par </w:t>
      </w:r>
      <w:r>
        <w:rPr>
          <w:rFonts w:ascii="Arial" w:hAnsi="Arial"/>
          <w:b/>
          <w:i w:val="0"/>
          <w:color w:val="202B38"/>
          <w:sz w:val="21"/>
        </w:rPr>
        <w:t>jeton JWT signé</w:t>
      </w:r>
      <w:r>
        <w:rPr>
          <w:rFonts w:ascii="Arial" w:hAnsi="Arial"/>
          <w:i w:val="0"/>
          <w:color w:val="202B38"/>
          <w:sz w:val="21"/>
        </w:rPr>
        <w:t xml:space="preserve">, et non par session serveur. Ce choix n'est pas gratuit : l'API est consommée par un client web séparé, potentiellement hébergé sur un autre domaine. Une session fondée sur un cookie aurait imposé une gestion du partage de cookies entre domaines et aurait exposé l'application aux attaques CSRF. Un jeton transmis dans l'en-tête </w:t>
      </w:r>
      <w:r>
        <w:rPr>
          <w:rFonts w:ascii="Courier New" w:hAnsi="Courier New"/>
          <w:color w:val="1769AA"/>
          <w:sz w:val="18"/>
        </w:rPr>
        <w:t>Authorization</w:t>
      </w:r>
      <w:r>
        <w:rPr>
          <w:rFonts w:ascii="Arial" w:hAnsi="Arial"/>
          <w:i w:val="0"/>
          <w:color w:val="202B38"/>
          <w:sz w:val="21"/>
        </w:rPr>
        <w:t xml:space="preserve"> n'est pas envoyé automatiquement par le navigateur : la falsification de requête inter-site devient sans objet.</w:t>
      </w:r>
    </w:p>
    <w:p>
      <w:pPr>
        <w:spacing w:after="80"/>
        <w:jc w:val="both"/>
      </w:pPr>
      <w:r>
        <w:rPr>
          <w:rFonts w:ascii="Arial" w:hAnsi="Arial"/>
          <w:i w:val="0"/>
          <w:color w:val="202B38"/>
          <w:sz w:val="21"/>
        </w:rPr>
        <w:t xml:space="preserve">La contrepartie est connue et doit être assumée : un jeton signé </w:t>
      </w:r>
      <w:r>
        <w:rPr>
          <w:rFonts w:ascii="Arial" w:hAnsi="Arial"/>
          <w:b/>
          <w:i w:val="0"/>
          <w:color w:val="202B38"/>
          <w:sz w:val="21"/>
        </w:rPr>
        <w:t>ne peut pas être révoqué</w:t>
      </w:r>
      <w:r>
        <w:rPr>
          <w:rFonts w:ascii="Arial" w:hAnsi="Arial"/>
          <w:i w:val="0"/>
          <w:color w:val="202B38"/>
          <w:sz w:val="21"/>
        </w:rPr>
        <w:t xml:space="preserve"> avant son expiration. TrackIT atténue cette faiblesse par une mesure spécifique décrite au point 4.2.</w:t>
      </w:r>
    </w:p>
    <w:tbl>
      <w:tblPr>
        <w:tblStyle w:val="TableGrid"/>
        <w:tblW w:type="auto" w:w="0"/>
        <w:jc w:val="center"/>
        <w:tblLayout w:type="fixed"/>
        <w:tblLook w:firstColumn="1" w:firstRow="1" w:lastColumn="0" w:lastRow="0" w:noHBand="0" w:noVBand="1" w:val="04A0"/>
        <w:tblLayout w:type="fixed"/>
      </w:tblPr>
      <w:tblGrid>
        <w:gridCol w:w="2268"/>
        <w:gridCol w:w="3969"/>
        <w:gridCol w:w="3402"/>
      </w:tblGrid>
      <w:tr>
        <w:trPr>
          <w:tblHeader w:val="true"/>
          <w:cantSplit/>
        </w:trPr>
        <w:tc>
          <w:tcPr>
            <w:tcW w:type="dxa" w:w="2268"/>
            <w:shd w:fill="163658"/>
          </w:tcPr>
          <w:p>
            <w:pPr>
              <w:spacing w:after="40" w:before="40"/>
            </w:pPr>
            <w:r/>
            <w:r>
              <w:rPr>
                <w:rFonts w:ascii="Arial" w:hAnsi="Arial"/>
                <w:b/>
                <w:color w:val="FFFFFF"/>
                <w:sz w:val="17"/>
              </w:rPr>
              <w:t>Élément</w:t>
            </w:r>
          </w:p>
        </w:tc>
        <w:tc>
          <w:tcPr>
            <w:tcW w:type="dxa" w:w="3969"/>
            <w:shd w:fill="163658"/>
          </w:tcPr>
          <w:p>
            <w:pPr>
              <w:spacing w:after="40" w:before="40"/>
            </w:pPr>
            <w:r/>
            <w:r>
              <w:rPr>
                <w:rFonts w:ascii="Arial" w:hAnsi="Arial"/>
                <w:b/>
                <w:color w:val="FFFFFF"/>
                <w:sz w:val="17"/>
              </w:rPr>
              <w:t>Valeur implémentée</w:t>
            </w:r>
          </w:p>
        </w:tc>
        <w:tc>
          <w:tcPr>
            <w:tcW w:type="dxa" w:w="3402"/>
            <w:shd w:fill="163658"/>
          </w:tcPr>
          <w:p>
            <w:pPr>
              <w:spacing w:after="40" w:before="40"/>
            </w:pPr>
            <w:r/>
            <w:r>
              <w:rPr>
                <w:rFonts w:ascii="Arial" w:hAnsi="Arial"/>
                <w:b/>
                <w:color w:val="FFFFFF"/>
                <w:sz w:val="17"/>
              </w:rPr>
              <w:t>Appréciation</w:t>
            </w:r>
          </w:p>
        </w:tc>
      </w:tr>
      <w:tr>
        <w:trPr>
          <w:cantSplit/>
        </w:trPr>
        <w:tc>
          <w:tcPr>
            <w:tcW w:type="dxa" w:w="2268"/>
          </w:tcPr>
          <w:p>
            <w:pPr>
              <w:spacing w:after="40" w:before="40"/>
            </w:pPr>
            <w:r/>
            <w:r>
              <w:rPr>
                <w:rFonts w:ascii="Arial" w:hAnsi="Arial"/>
                <w:i w:val="0"/>
                <w:color w:val="202B38"/>
                <w:sz w:val="17"/>
              </w:rPr>
              <w:t>Algorithme de signature</w:t>
            </w:r>
          </w:p>
        </w:tc>
        <w:tc>
          <w:tcPr>
            <w:tcW w:type="dxa" w:w="3969"/>
          </w:tcPr>
          <w:p>
            <w:pPr>
              <w:spacing w:after="40" w:before="40"/>
            </w:pPr>
            <w:r/>
            <w:r>
              <w:rPr>
                <w:rFonts w:ascii="Arial" w:hAnsi="Arial"/>
                <w:i w:val="0"/>
                <w:color w:val="202B38"/>
                <w:sz w:val="17"/>
              </w:rPr>
              <w:t>HMAC-SHA, clé de 512 bits</w:t>
            </w:r>
          </w:p>
        </w:tc>
        <w:tc>
          <w:tcPr>
            <w:tcW w:type="dxa" w:w="3402"/>
          </w:tcPr>
          <w:p>
            <w:pPr>
              <w:spacing w:after="40" w:before="40"/>
            </w:pPr>
            <w:r/>
            <w:r>
              <w:rPr>
                <w:rFonts w:ascii="Arial" w:hAnsi="Arial"/>
                <w:i w:val="0"/>
                <w:color w:val="202B38"/>
                <w:sz w:val="17"/>
              </w:rPr>
              <w:t>Conforme à l'état de l'art</w:t>
            </w:r>
          </w:p>
        </w:tc>
      </w:tr>
      <w:tr>
        <w:trPr>
          <w:cantSplit/>
        </w:trPr>
        <w:tc>
          <w:tcPr>
            <w:tcW w:type="dxa" w:w="2268"/>
            <w:shd w:fill="F4F7FA"/>
          </w:tcPr>
          <w:p>
            <w:pPr>
              <w:spacing w:after="40" w:before="40"/>
            </w:pPr>
            <w:r/>
            <w:r>
              <w:rPr>
                <w:rFonts w:ascii="Arial" w:hAnsi="Arial"/>
                <w:i w:val="0"/>
                <w:color w:val="202B38"/>
                <w:sz w:val="17"/>
              </w:rPr>
              <w:t>Longueur minimale de la clé</w:t>
            </w:r>
          </w:p>
        </w:tc>
        <w:tc>
          <w:tcPr>
            <w:tcW w:type="dxa" w:w="3969"/>
            <w:shd w:fill="F4F7FA"/>
          </w:tcPr>
          <w:p>
            <w:pPr>
              <w:spacing w:after="40" w:before="40"/>
            </w:pPr>
            <w:r/>
            <w:r>
              <w:rPr>
                <w:rFonts w:ascii="Arial" w:hAnsi="Arial"/>
                <w:i w:val="0"/>
                <w:color w:val="202B38"/>
                <w:sz w:val="17"/>
              </w:rPr>
              <w:t>32 caractères, contrôlée au démarrage</w:t>
            </w:r>
          </w:p>
        </w:tc>
        <w:tc>
          <w:tcPr>
            <w:tcW w:type="dxa" w:w="3402"/>
            <w:shd w:fill="F4F7FA"/>
          </w:tcPr>
          <w:p>
            <w:pPr>
              <w:spacing w:after="40" w:before="40"/>
            </w:pPr>
            <w:r/>
            <w:r>
              <w:rPr>
                <w:rFonts w:ascii="Arial" w:hAnsi="Arial"/>
                <w:i w:val="0"/>
                <w:color w:val="202B38"/>
                <w:sz w:val="17"/>
              </w:rPr>
              <w:t>Satisfaisant</w:t>
            </w:r>
          </w:p>
        </w:tc>
      </w:tr>
      <w:tr>
        <w:trPr>
          <w:cantSplit/>
        </w:trPr>
        <w:tc>
          <w:tcPr>
            <w:tcW w:type="dxa" w:w="2268"/>
          </w:tcPr>
          <w:p>
            <w:pPr>
              <w:spacing w:after="40" w:before="40"/>
            </w:pPr>
            <w:r/>
            <w:r>
              <w:rPr>
                <w:rFonts w:ascii="Arial" w:hAnsi="Arial"/>
                <w:i w:val="0"/>
                <w:color w:val="202B38"/>
                <w:sz w:val="17"/>
              </w:rPr>
              <w:t>Durée de validité</w:t>
            </w:r>
          </w:p>
        </w:tc>
        <w:tc>
          <w:tcPr>
            <w:tcW w:type="dxa" w:w="3969"/>
          </w:tcPr>
          <w:p>
            <w:pPr>
              <w:spacing w:after="40" w:before="40"/>
            </w:pPr>
            <w:r/>
            <w:r>
              <w:rPr>
                <w:rFonts w:ascii="Arial" w:hAnsi="Arial"/>
                <w:i w:val="0"/>
                <w:color w:val="202B38"/>
                <w:sz w:val="17"/>
              </w:rPr>
              <w:t>480 minutes (8 heures), paramétrable</w:t>
            </w:r>
          </w:p>
        </w:tc>
        <w:tc>
          <w:tcPr>
            <w:tcW w:type="dxa" w:w="3402"/>
          </w:tcPr>
          <w:p>
            <w:pPr>
              <w:spacing w:after="40" w:before="40"/>
            </w:pPr>
            <w:r/>
            <w:r>
              <w:rPr>
                <w:rFonts w:ascii="Arial" w:hAnsi="Arial"/>
                <w:i w:val="0"/>
                <w:color w:val="202B38"/>
                <w:sz w:val="17"/>
              </w:rPr>
              <w:t>Longue ; voir 4.2</w:t>
            </w:r>
          </w:p>
        </w:tc>
      </w:tr>
      <w:tr>
        <w:trPr>
          <w:cantSplit/>
        </w:trPr>
        <w:tc>
          <w:tcPr>
            <w:tcW w:type="dxa" w:w="2268"/>
            <w:shd w:fill="F4F7FA"/>
          </w:tcPr>
          <w:p>
            <w:pPr>
              <w:spacing w:after="40" w:before="40"/>
            </w:pPr>
            <w:r/>
            <w:r>
              <w:rPr>
                <w:rFonts w:ascii="Arial" w:hAnsi="Arial"/>
                <w:i w:val="0"/>
                <w:color w:val="202B38"/>
                <w:sz w:val="17"/>
              </w:rPr>
              <w:t>Contenu du jeton</w:t>
            </w:r>
          </w:p>
        </w:tc>
        <w:tc>
          <w:tcPr>
            <w:tcW w:type="dxa" w:w="3969"/>
            <w:shd w:fill="F4F7FA"/>
          </w:tcPr>
          <w:p>
            <w:pPr>
              <w:spacing w:after="40" w:before="40"/>
            </w:pPr>
            <w:r/>
            <w:r>
              <w:rPr>
                <w:rFonts w:ascii="Arial" w:hAnsi="Arial"/>
                <w:i w:val="0"/>
                <w:color w:val="202B38"/>
                <w:sz w:val="17"/>
              </w:rPr>
              <w:t>Identifiant, e-mail, rôle, organisation</w:t>
            </w:r>
          </w:p>
        </w:tc>
        <w:tc>
          <w:tcPr>
            <w:tcW w:type="dxa" w:w="3402"/>
            <w:shd w:fill="F4F7FA"/>
          </w:tcPr>
          <w:p>
            <w:pPr>
              <w:spacing w:after="40" w:before="40"/>
            </w:pPr>
            <w:r/>
            <w:r>
              <w:rPr>
                <w:rFonts w:ascii="Arial" w:hAnsi="Arial"/>
                <w:i w:val="0"/>
                <w:color w:val="202B38"/>
                <w:sz w:val="17"/>
              </w:rPr>
              <w:t>Aucune donnée secrète</w:t>
            </w:r>
          </w:p>
        </w:tc>
      </w:tr>
      <w:tr>
        <w:trPr>
          <w:cantSplit/>
        </w:trPr>
        <w:tc>
          <w:tcPr>
            <w:tcW w:type="dxa" w:w="2268"/>
          </w:tcPr>
          <w:p>
            <w:pPr>
              <w:spacing w:after="40" w:before="40"/>
            </w:pPr>
            <w:r/>
            <w:r>
              <w:rPr>
                <w:rFonts w:ascii="Arial" w:hAnsi="Arial"/>
                <w:i w:val="0"/>
                <w:color w:val="202B38"/>
                <w:sz w:val="17"/>
              </w:rPr>
              <w:t>Empreinte des mots de passe</w:t>
            </w:r>
          </w:p>
        </w:tc>
        <w:tc>
          <w:tcPr>
            <w:tcW w:type="dxa" w:w="3969"/>
          </w:tcPr>
          <w:p>
            <w:pPr>
              <w:spacing w:after="40" w:before="40"/>
            </w:pPr>
            <w:r/>
            <w:r>
              <w:rPr>
                <w:rFonts w:ascii="Arial" w:hAnsi="Arial"/>
                <w:i w:val="0"/>
                <w:color w:val="202B38"/>
                <w:sz w:val="17"/>
              </w:rPr>
              <w:t>BCrypt, facteur de coût 10</w:t>
            </w:r>
          </w:p>
        </w:tc>
        <w:tc>
          <w:tcPr>
            <w:tcW w:type="dxa" w:w="3402"/>
          </w:tcPr>
          <w:p>
            <w:pPr>
              <w:spacing w:after="40" w:before="40"/>
            </w:pPr>
            <w:r/>
            <w:r>
              <w:rPr>
                <w:rFonts w:ascii="Arial" w:hAnsi="Arial"/>
                <w:i w:val="0"/>
                <w:color w:val="202B38"/>
                <w:sz w:val="17"/>
              </w:rPr>
              <w:t>Conforme ; sel automatique</w:t>
            </w:r>
          </w:p>
        </w:tc>
      </w:tr>
      <w:tr>
        <w:trPr>
          <w:cantSplit/>
        </w:trPr>
        <w:tc>
          <w:tcPr>
            <w:tcW w:type="dxa" w:w="2268"/>
            <w:shd w:fill="F4F7FA"/>
          </w:tcPr>
          <w:p>
            <w:pPr>
              <w:spacing w:after="40" w:before="40"/>
            </w:pPr>
            <w:r/>
            <w:r>
              <w:rPr>
                <w:rFonts w:ascii="Arial" w:hAnsi="Arial"/>
                <w:i w:val="0"/>
                <w:color w:val="202B38"/>
                <w:sz w:val="17"/>
              </w:rPr>
              <w:t>Transport du jeton</w:t>
            </w:r>
          </w:p>
        </w:tc>
        <w:tc>
          <w:tcPr>
            <w:tcW w:type="dxa" w:w="3969"/>
            <w:shd w:fill="F4F7FA"/>
          </w:tcPr>
          <w:p>
            <w:pPr>
              <w:spacing w:after="40" w:before="40"/>
            </w:pPr>
            <w:r/>
            <w:r>
              <w:rPr>
                <w:rFonts w:ascii="Arial" w:hAnsi="Arial"/>
                <w:i w:val="0"/>
                <w:color w:val="202B38"/>
                <w:sz w:val="17"/>
              </w:rPr>
              <w:t xml:space="preserve">En-tête </w:t>
            </w:r>
            <w:r>
              <w:rPr>
                <w:rFonts w:ascii="Courier New" w:hAnsi="Courier New"/>
                <w:color w:val="1769AA"/>
                <w:sz w:val="14"/>
              </w:rPr>
              <w:t>Authorization: Bearer</w:t>
            </w:r>
          </w:p>
        </w:tc>
        <w:tc>
          <w:tcPr>
            <w:tcW w:type="dxa" w:w="3402"/>
            <w:shd w:fill="F4F7FA"/>
          </w:tcPr>
          <w:p>
            <w:pPr>
              <w:spacing w:after="40" w:before="40"/>
            </w:pPr>
            <w:r/>
            <w:r>
              <w:rPr>
                <w:rFonts w:ascii="Arial" w:hAnsi="Arial"/>
                <w:i w:val="0"/>
                <w:color w:val="202B38"/>
                <w:sz w:val="17"/>
              </w:rPr>
              <w:t>Conforme</w:t>
            </w:r>
          </w:p>
        </w:tc>
      </w:tr>
      <w:tr>
        <w:trPr>
          <w:cantSplit/>
        </w:trPr>
        <w:tc>
          <w:tcPr>
            <w:tcW w:type="dxa" w:w="2268"/>
          </w:tcPr>
          <w:p>
            <w:pPr>
              <w:spacing w:after="40" w:before="40"/>
            </w:pPr>
            <w:r/>
            <w:r>
              <w:rPr>
                <w:rFonts w:ascii="Arial" w:hAnsi="Arial"/>
                <w:i w:val="0"/>
                <w:color w:val="202B38"/>
                <w:sz w:val="17"/>
              </w:rPr>
              <w:t>Stockage côté client</w:t>
            </w:r>
          </w:p>
        </w:tc>
        <w:tc>
          <w:tcPr>
            <w:tcW w:type="dxa" w:w="3969"/>
          </w:tcPr>
          <w:p>
            <w:pPr>
              <w:spacing w:after="40" w:before="40"/>
            </w:pPr>
            <w:r/>
            <w:r>
              <w:rPr>
                <w:rFonts w:ascii="Courier New" w:hAnsi="Courier New"/>
                <w:color w:val="1769AA"/>
                <w:sz w:val="14"/>
              </w:rPr>
              <w:t>localStorage</w:t>
            </w:r>
            <w:r>
              <w:rPr>
                <w:rFonts w:ascii="Arial" w:hAnsi="Arial"/>
                <w:i w:val="0"/>
                <w:color w:val="202B38"/>
                <w:sz w:val="17"/>
              </w:rPr>
              <w:t xml:space="preserve"> ou </w:t>
            </w:r>
            <w:r>
              <w:rPr>
                <w:rFonts w:ascii="Courier New" w:hAnsi="Courier New"/>
                <w:color w:val="1769AA"/>
                <w:sz w:val="14"/>
              </w:rPr>
              <w:t>sessionStorage</w:t>
            </w:r>
            <w:r>
              <w:rPr>
                <w:rFonts w:ascii="Arial" w:hAnsi="Arial"/>
                <w:i w:val="0"/>
                <w:color w:val="202B38"/>
                <w:sz w:val="17"/>
              </w:rPr>
              <w:t xml:space="preserve"> selon « Se souvenir de moi »</w:t>
            </w:r>
          </w:p>
        </w:tc>
        <w:tc>
          <w:tcPr>
            <w:tcW w:type="dxa" w:w="3402"/>
          </w:tcPr>
          <w:p>
            <w:pPr>
              <w:spacing w:after="40" w:before="40"/>
            </w:pPr>
            <w:r/>
            <w:r>
              <w:rPr>
                <w:rFonts w:ascii="Arial" w:hAnsi="Arial"/>
                <w:i w:val="0"/>
                <w:color w:val="202B38"/>
                <w:sz w:val="17"/>
              </w:rPr>
              <w:t>Acceptable, mais voir 7.6</w:t>
            </w:r>
          </w:p>
        </w:tc>
      </w:tr>
    </w:tbl>
    <w:p>
      <w:pPr>
        <w:spacing w:after="0"/>
      </w:pPr>
    </w:p>
    <w:p>
      <w:pPr>
        <w:spacing w:after="80"/>
        <w:jc w:val="both"/>
      </w:pPr>
      <w:r>
        <w:rPr>
          <w:rFonts w:ascii="Arial" w:hAnsi="Arial"/>
          <w:i w:val="0"/>
          <w:color w:val="202B38"/>
          <w:sz w:val="21"/>
        </w:rPr>
        <w:t xml:space="preserve">Le choix de BCrypt mérite d'être souligné. Contrairement à une empreinte SHA-256, BCrypt est </w:t>
      </w:r>
      <w:r>
        <w:rPr>
          <w:rFonts w:ascii="Arial" w:hAnsi="Arial"/>
          <w:b/>
          <w:i w:val="0"/>
          <w:color w:val="202B38"/>
          <w:sz w:val="21"/>
        </w:rPr>
        <w:t>volontairement lent</w:t>
      </w:r>
      <w:r>
        <w:rPr>
          <w:rFonts w:ascii="Arial" w:hAnsi="Arial"/>
          <w:i w:val="0"/>
          <w:color w:val="202B38"/>
          <w:sz w:val="21"/>
        </w:rPr>
        <w:t xml:space="preserve"> et intègre un sel unique par mot de passe. Deux utilisateurs ayant choisi le même mot de passe obtiennent deux empreintes différentes, et une attaque par dictionnaire sur une base dérobée devient coûteuse.</w:t>
      </w:r>
    </w:p>
    <w:p>
      <w:pPr>
        <w:keepNext/>
        <w:spacing w:before="180" w:after="60"/>
      </w:pPr>
      <w:r>
        <w:rPr>
          <w:rFonts w:ascii="Arial" w:hAnsi="Arial"/>
          <w:b/>
          <w:color w:val="163658"/>
          <w:sz w:val="25"/>
        </w:rPr>
        <w:t>4.2 Cycle de vie du jeton et révocation</w:t>
      </w:r>
    </w:p>
    <w:p>
      <w:pPr>
        <w:spacing w:after="80"/>
        <w:jc w:val="both"/>
      </w:pPr>
      <w:r>
        <w:rPr>
          <w:rFonts w:ascii="Arial" w:hAnsi="Arial"/>
          <w:i w:val="0"/>
          <w:color w:val="202B38"/>
          <w:sz w:val="21"/>
        </w:rPr>
        <w:t xml:space="preserve">Le filtre d'authentification ne se contente pas de vérifier la signature du jeton. À chaque requête, il </w:t>
      </w:r>
      <w:r>
        <w:rPr>
          <w:rFonts w:ascii="Arial" w:hAnsi="Arial"/>
          <w:b/>
          <w:i w:val="0"/>
          <w:color w:val="202B38"/>
          <w:sz w:val="21"/>
        </w:rPr>
        <w:t>recharge l'utilisateur depuis la base</w:t>
      </w:r>
      <w:r>
        <w:rPr>
          <w:rFonts w:ascii="Arial" w:hAnsi="Arial"/>
          <w:i w:val="0"/>
          <w:color w:val="202B38"/>
          <w:sz w:val="21"/>
        </w:rPr>
        <w:t xml:space="preserve"> et vérifie que son compte est toujours actif. Cette décision a un coût — une lecture supplémentaire par appel — mais elle apporte deux garanties déterminantes :</w:t>
      </w:r>
    </w:p>
    <w:p>
      <w:pPr>
        <w:spacing w:after="40"/>
        <w:ind w:left="397" w:hanging="198"/>
      </w:pPr>
      <w:r>
        <w:rPr>
          <w:rFonts w:ascii="Arial" w:hAnsi="Arial"/>
          <w:i w:val="0"/>
          <w:color w:val="202B38"/>
          <w:sz w:val="21"/>
        </w:rPr>
        <w:t xml:space="preserve">•  la désactivation d'un compte par un administrateur prend effet </w:t>
      </w:r>
      <w:r>
        <w:rPr>
          <w:rFonts w:ascii="Arial" w:hAnsi="Arial"/>
          <w:b/>
          <w:i w:val="0"/>
          <w:color w:val="202B38"/>
          <w:sz w:val="21"/>
        </w:rPr>
        <w:t>immédiatement</w:t>
      </w:r>
      <w:r>
        <w:rPr>
          <w:rFonts w:ascii="Arial" w:hAnsi="Arial"/>
          <w:i w:val="0"/>
          <w:color w:val="202B38"/>
          <w:sz w:val="21"/>
        </w:rPr>
        <w:t>, sans attendre l'expiration du jeton ;</w:t>
      </w:r>
    </w:p>
    <w:p>
      <w:pPr>
        <w:spacing w:after="40"/>
        <w:ind w:left="397" w:hanging="198"/>
      </w:pPr>
      <w:r>
        <w:rPr>
          <w:rFonts w:ascii="Arial" w:hAnsi="Arial"/>
          <w:i w:val="0"/>
          <w:color w:val="202B38"/>
          <w:sz w:val="21"/>
        </w:rPr>
        <w:t>•  un changement de rôle est pris en compte à la requête suivante, car les habilitations sont relues en base et non extraites du jeton.</w:t>
      </w:r>
    </w:p>
    <w:p>
      <w:pPr>
        <w:spacing w:after="80"/>
        <w:jc w:val="both"/>
      </w:pPr>
      <w:r>
        <w:rPr>
          <w:rFonts w:ascii="Arial" w:hAnsi="Arial"/>
          <w:i w:val="0"/>
          <w:color w:val="202B38"/>
          <w:sz w:val="21"/>
        </w:rPr>
        <w:t>C'est une application directe du principe de médiation complète : l'autorisation est réévaluée à chaque accès plutôt que figée au moment de la connexion.</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Limite résiduelle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Un jeton dérobé reste valable jusqu'à huit heures tant que le compte n'est pas désactivé. Il n'existe ni déconnexion côté serveur, ni liste de révocation, ni jeton de rafraîchissement de courte durée. Pour une mise en production, le schéma recommandé est un jeton d'accès de 15 minutes associé à un jeton de rafraîchissement révocable conservé en base.</w:t>
      </w:r>
    </w:p>
    <w:p>
      <w:pPr>
        <w:spacing w:after="0"/>
      </w:pPr>
    </w:p>
    <w:p>
      <w:pPr>
        <w:keepNext/>
        <w:spacing w:before="180" w:after="60"/>
      </w:pPr>
      <w:r>
        <w:rPr>
          <w:rFonts w:ascii="Arial" w:hAnsi="Arial"/>
          <w:b/>
          <w:color w:val="163658"/>
          <w:sz w:val="25"/>
        </w:rPr>
        <w:t>4.3 Politique de mot de passe</w:t>
      </w:r>
    </w:p>
    <w:p>
      <w:pPr>
        <w:spacing w:after="80"/>
        <w:jc w:val="both"/>
      </w:pPr>
      <w:r>
        <w:rPr>
          <w:rFonts w:ascii="Arial" w:hAnsi="Arial"/>
          <w:i w:val="0"/>
          <w:color w:val="202B38"/>
          <w:sz w:val="21"/>
        </w:rPr>
        <w:t>La politique actuelle impose une longueur comprise entre 8 et 72 caractères. La borne haute n'est pas arbitraire : au-delà de 72 octets, BCrypt tronque silencieusement l'entrée, et refuser explicitement ces mots de passe évite une fausse impression de robustesse.</w:t>
      </w:r>
    </w:p>
    <w:p>
      <w:pPr>
        <w:spacing w:after="80"/>
        <w:jc w:val="both"/>
      </w:pPr>
      <w:r>
        <w:rPr>
          <w:rFonts w:ascii="Arial" w:hAnsi="Arial"/>
          <w:i w:val="0"/>
          <w:color w:val="202B38"/>
          <w:sz w:val="21"/>
        </w:rPr>
        <w:t>Le changement de mot de passe par l'utilisateur est correctement protégé : l'ancien mot de passe est exigé et vérifié, et le nouveau doit être différent de l'actuel. Un attaquant qui disposerait momentanément d'une session ouverte ne peut donc pas verrouiller le compte sans connaître le mot de passe courant.</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politique trop permissive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Aucune exigence de composition, aucune vérification contre les mots de passe les plus courants, aucune détection de similarité avec l'adresse e-mail. Un mot de passe tel que « 12345678 » est accepté. </w:t>
      </w:r>
      <w:r>
        <w:rPr>
          <w:rFonts w:ascii="Arial" w:hAnsi="Arial"/>
          <w:b/>
          <w:i w:val="0"/>
          <w:color w:val="202B38"/>
          <w:sz w:val="19"/>
        </w:rPr>
        <w:t>Mesure proposée :</w:t>
      </w:r>
      <w:r>
        <w:rPr>
          <w:rFonts w:ascii="Arial" w:hAnsi="Arial"/>
          <w:i w:val="0"/>
          <w:color w:val="202B38"/>
          <w:sz w:val="19"/>
        </w:rPr>
        <w:t xml:space="preserve"> porter le minimum à 12 caractères, refuser une liste des mots de passe les plus répandus, et afficher un indicateur de robustesse côté client. L'approche par liste de refus est préférée aux règles de composition, qui produisent des mots de passe prévisibles.</w:t>
      </w:r>
    </w:p>
    <w:p>
      <w:pPr>
        <w:spacing w:after="0"/>
      </w:pPr>
    </w:p>
    <w:p>
      <w:pPr>
        <w:keepNext/>
        <w:spacing w:before="180" w:after="60"/>
      </w:pPr>
      <w:r>
        <w:rPr>
          <w:rFonts w:ascii="Arial" w:hAnsi="Arial"/>
          <w:b/>
          <w:color w:val="163658"/>
          <w:sz w:val="25"/>
        </w:rPr>
        <w:t>4.4 Récupération des identifiants</w:t>
      </w:r>
    </w:p>
    <w:p>
      <w:pPr>
        <w:spacing w:after="80"/>
        <w:jc w:val="both"/>
      </w:pPr>
      <w:r>
        <w:rPr>
          <w:rFonts w:ascii="Arial" w:hAnsi="Arial"/>
          <w:i w:val="0"/>
          <w:color w:val="202B38"/>
          <w:sz w:val="21"/>
        </w:rPr>
        <w:t>Le sujet est explicitement demandé par le cahier des charges, et c'est l'écart le plus visible de l'application.</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fonctionnalité absente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L'API n'expose aucune opération de réinitialisation de mot de passe : le groupe « Authentification » ne contient que la connexion et l'inscription. L'interface affiche pourtant un lien « Mot de passe oublié ? » sur l'écran de connexion. Un utilisateur ayant perdu son mot de passe dépend donc entièrement d'un administrateur de son organisation, qui peut le réinitialiser via l'API d'administration. Pour un administrateur unique ayant perdu son accès, il n'existe aucune issue applicative.</w:t>
      </w:r>
    </w:p>
    <w:p>
      <w:pPr>
        <w:spacing w:after="0"/>
      </w:pPr>
    </w:p>
    <w:p>
      <w:pPr>
        <w:spacing w:after="80"/>
        <w:jc w:val="both"/>
      </w:pPr>
      <w:r>
        <w:rPr>
          <w:rFonts w:ascii="Arial" w:hAnsi="Arial"/>
          <w:i w:val="0"/>
          <w:color w:val="202B38"/>
          <w:sz w:val="21"/>
        </w:rPr>
        <w:t>La conception proposée tient en deux opérations publiques et respecte les précautions d'usage :</w:t>
      </w:r>
    </w:p>
    <w:tbl>
      <w:tblPr>
        <w:tblStyle w:val="TableGrid"/>
        <w:tblW w:type="auto" w:w="0"/>
        <w:jc w:val="center"/>
        <w:tblLayout w:type="fixed"/>
        <w:tblLook w:firstColumn="1" w:firstRow="1" w:lastColumn="0" w:lastRow="0" w:noHBand="0" w:noVBand="1" w:val="04A0"/>
        <w:tblLayout w:type="fixed"/>
      </w:tblPr>
      <w:tblGrid>
        <w:gridCol w:w="1474"/>
        <w:gridCol w:w="3061"/>
        <w:gridCol w:w="5102"/>
      </w:tblGrid>
      <w:tr>
        <w:trPr>
          <w:tblHeader w:val="true"/>
          <w:cantSplit/>
        </w:trPr>
        <w:tc>
          <w:tcPr>
            <w:tcW w:type="dxa" w:w="1474"/>
            <w:shd w:fill="163658"/>
          </w:tcPr>
          <w:p>
            <w:pPr>
              <w:spacing w:after="40" w:before="40"/>
            </w:pPr>
            <w:r/>
            <w:r>
              <w:rPr>
                <w:rFonts w:ascii="Arial" w:hAnsi="Arial"/>
                <w:b/>
                <w:color w:val="FFFFFF"/>
                <w:sz w:val="17"/>
              </w:rPr>
              <w:t>Étape</w:t>
            </w:r>
          </w:p>
        </w:tc>
        <w:tc>
          <w:tcPr>
            <w:tcW w:type="dxa" w:w="3061"/>
            <w:shd w:fill="163658"/>
          </w:tcPr>
          <w:p>
            <w:pPr>
              <w:spacing w:after="40" w:before="40"/>
            </w:pPr>
            <w:r/>
            <w:r>
              <w:rPr>
                <w:rFonts w:ascii="Arial" w:hAnsi="Arial"/>
                <w:b/>
                <w:color w:val="FFFFFF"/>
                <w:sz w:val="17"/>
              </w:rPr>
              <w:t>Opération</w:t>
            </w:r>
          </w:p>
        </w:tc>
        <w:tc>
          <w:tcPr>
            <w:tcW w:type="dxa" w:w="5102"/>
            <w:shd w:fill="163658"/>
          </w:tcPr>
          <w:p>
            <w:pPr>
              <w:spacing w:after="40" w:before="40"/>
            </w:pPr>
            <w:r/>
            <w:r>
              <w:rPr>
                <w:rFonts w:ascii="Arial" w:hAnsi="Arial"/>
                <w:b/>
                <w:color w:val="FFFFFF"/>
                <w:sz w:val="17"/>
              </w:rPr>
              <w:t>Règles de sécurité</w:t>
            </w:r>
          </w:p>
        </w:tc>
      </w:tr>
      <w:tr>
        <w:trPr>
          <w:cantSplit/>
        </w:trPr>
        <w:tc>
          <w:tcPr>
            <w:tcW w:type="dxa" w:w="1474"/>
          </w:tcPr>
          <w:p>
            <w:pPr>
              <w:spacing w:after="40" w:before="40"/>
            </w:pPr>
            <w:r/>
            <w:r>
              <w:rPr>
                <w:rFonts w:ascii="Arial" w:hAnsi="Arial"/>
                <w:i w:val="0"/>
                <w:color w:val="202B38"/>
                <w:sz w:val="17"/>
              </w:rPr>
              <w:t>1. Demande</w:t>
            </w:r>
          </w:p>
        </w:tc>
        <w:tc>
          <w:tcPr>
            <w:tcW w:type="dxa" w:w="3061"/>
          </w:tcPr>
          <w:p>
            <w:pPr>
              <w:spacing w:after="40" w:before="40"/>
            </w:pPr>
            <w:r/>
            <w:r>
              <w:rPr>
                <w:rFonts w:ascii="Courier New" w:hAnsi="Courier New"/>
                <w:color w:val="1769AA"/>
                <w:sz w:val="14"/>
              </w:rPr>
              <w:t>POST /api/v1/auth/mot-de-passe-oublie</w:t>
            </w:r>
          </w:p>
        </w:tc>
        <w:tc>
          <w:tcPr>
            <w:tcW w:type="dxa" w:w="5102"/>
          </w:tcPr>
          <w:p>
            <w:pPr>
              <w:spacing w:after="40" w:before="40"/>
            </w:pPr>
            <w:r/>
            <w:r>
              <w:rPr>
                <w:rFonts w:ascii="Arial" w:hAnsi="Arial"/>
                <w:i w:val="0"/>
                <w:color w:val="202B38"/>
                <w:sz w:val="17"/>
              </w:rPr>
              <w:t xml:space="preserve">Réponse </w:t>
            </w:r>
            <w:r>
              <w:rPr>
                <w:rFonts w:ascii="Arial" w:hAnsi="Arial"/>
                <w:b/>
                <w:i w:val="0"/>
                <w:color w:val="202B38"/>
                <w:sz w:val="17"/>
              </w:rPr>
              <w:t>toujours identique</w:t>
            </w:r>
            <w:r>
              <w:rPr>
                <w:rFonts w:ascii="Arial" w:hAnsi="Arial"/>
                <w:i w:val="0"/>
                <w:color w:val="202B38"/>
                <w:sz w:val="17"/>
              </w:rPr>
              <w:t xml:space="preserve"> (202 Accepted), que l'adresse existe ou non, afin de ne pas révéler les comptes enregistrés. Limitation à trois demandes par heure et par adresse</w:t>
            </w:r>
          </w:p>
        </w:tc>
      </w:tr>
      <w:tr>
        <w:trPr>
          <w:cantSplit/>
        </w:trPr>
        <w:tc>
          <w:tcPr>
            <w:tcW w:type="dxa" w:w="1474"/>
            <w:shd w:fill="F4F7FA"/>
          </w:tcPr>
          <w:p>
            <w:pPr>
              <w:spacing w:after="40" w:before="40"/>
            </w:pPr>
            <w:r/>
            <w:r>
              <w:rPr>
                <w:rFonts w:ascii="Arial" w:hAnsi="Arial"/>
                <w:i w:val="0"/>
                <w:color w:val="202B38"/>
                <w:sz w:val="17"/>
              </w:rPr>
              <w:t>2. Envoi</w:t>
            </w:r>
          </w:p>
        </w:tc>
        <w:tc>
          <w:tcPr>
            <w:tcW w:type="dxa" w:w="3061"/>
            <w:shd w:fill="F4F7FA"/>
          </w:tcPr>
          <w:p>
            <w:pPr>
              <w:spacing w:after="40" w:before="40"/>
            </w:pPr>
            <w:r/>
            <w:r>
              <w:rPr>
                <w:rFonts w:ascii="Arial" w:hAnsi="Arial"/>
                <w:i w:val="0"/>
                <w:color w:val="202B38"/>
                <w:sz w:val="17"/>
              </w:rPr>
              <w:t>Courriel contenant un lien de réinitialisation</w:t>
            </w:r>
          </w:p>
        </w:tc>
        <w:tc>
          <w:tcPr>
            <w:tcW w:type="dxa" w:w="5102"/>
            <w:shd w:fill="F4F7FA"/>
          </w:tcPr>
          <w:p>
            <w:pPr>
              <w:spacing w:after="40" w:before="40"/>
            </w:pPr>
            <w:r/>
            <w:r>
              <w:rPr>
                <w:rFonts w:ascii="Arial" w:hAnsi="Arial"/>
                <w:i w:val="0"/>
                <w:color w:val="202B38"/>
                <w:sz w:val="17"/>
              </w:rPr>
              <w:t xml:space="preserve">Jeton aléatoire de 256 bits, stocké </w:t>
            </w:r>
            <w:r>
              <w:rPr>
                <w:rFonts w:ascii="Arial" w:hAnsi="Arial"/>
                <w:b/>
                <w:i w:val="0"/>
                <w:color w:val="202B38"/>
                <w:sz w:val="17"/>
              </w:rPr>
              <w:t>sous forme d'empreinte</w:t>
            </w:r>
            <w:r>
              <w:rPr>
                <w:rFonts w:ascii="Arial" w:hAnsi="Arial"/>
                <w:i w:val="0"/>
                <w:color w:val="202B38"/>
                <w:sz w:val="17"/>
              </w:rPr>
              <w:t xml:space="preserve"> en base, valable 30 minutes, utilisable une seule fois</w:t>
            </w:r>
          </w:p>
        </w:tc>
      </w:tr>
      <w:tr>
        <w:trPr>
          <w:cantSplit/>
        </w:trPr>
        <w:tc>
          <w:tcPr>
            <w:tcW w:type="dxa" w:w="1474"/>
          </w:tcPr>
          <w:p>
            <w:pPr>
              <w:spacing w:after="40" w:before="40"/>
            </w:pPr>
            <w:r/>
            <w:r>
              <w:rPr>
                <w:rFonts w:ascii="Arial" w:hAnsi="Arial"/>
                <w:i w:val="0"/>
                <w:color w:val="202B38"/>
                <w:sz w:val="17"/>
              </w:rPr>
              <w:t>3. Réinitialisation</w:t>
            </w:r>
          </w:p>
        </w:tc>
        <w:tc>
          <w:tcPr>
            <w:tcW w:type="dxa" w:w="3061"/>
          </w:tcPr>
          <w:p>
            <w:pPr>
              <w:spacing w:after="40" w:before="40"/>
            </w:pPr>
            <w:r/>
            <w:r>
              <w:rPr>
                <w:rFonts w:ascii="Courier New" w:hAnsi="Courier New"/>
                <w:color w:val="1769AA"/>
                <w:sz w:val="14"/>
              </w:rPr>
              <w:t>POST /api/v1/auth/reinitialisation</w:t>
            </w:r>
          </w:p>
        </w:tc>
        <w:tc>
          <w:tcPr>
            <w:tcW w:type="dxa" w:w="5102"/>
          </w:tcPr>
          <w:p>
            <w:pPr>
              <w:spacing w:after="40" w:before="40"/>
            </w:pPr>
            <w:r/>
            <w:r>
              <w:rPr>
                <w:rFonts w:ascii="Arial" w:hAnsi="Arial"/>
                <w:i w:val="0"/>
                <w:color w:val="202B38"/>
                <w:sz w:val="17"/>
              </w:rPr>
              <w:t>Vérification du jeton et de sa date, application de la politique de mot de passe, invalidation du jeton, journalisation de l'événement, notification à l'utilisateur</w:t>
            </w:r>
          </w:p>
        </w:tc>
      </w:tr>
    </w:tbl>
    <w:p>
      <w:pPr>
        <w:spacing w:after="0"/>
      </w:pPr>
    </w:p>
    <w:p>
      <w:pPr>
        <w:spacing w:after="80"/>
        <w:jc w:val="both"/>
      </w:pPr>
      <w:r>
        <w:rPr>
          <w:rFonts w:ascii="Arial" w:hAnsi="Arial"/>
          <w:i w:val="0"/>
          <w:color w:val="202B38"/>
          <w:sz w:val="21"/>
        </w:rPr>
        <w:t>Trois précautions méritent d'être explicitées, car elles sont régulièrement omises : la réponse uniforme à l'étape 1 évite de transformer la fonction en outil d'énumération des comptes ; le stockage de l'</w:t>
      </w:r>
      <w:r>
        <w:rPr>
          <w:rFonts w:ascii="Arial" w:hAnsi="Arial"/>
          <w:b/>
          <w:i w:val="0"/>
          <w:color w:val="202B38"/>
          <w:sz w:val="21"/>
        </w:rPr>
        <w:t>empreinte</w:t>
      </w:r>
      <w:r>
        <w:rPr>
          <w:rFonts w:ascii="Arial" w:hAnsi="Arial"/>
          <w:i w:val="0"/>
          <w:color w:val="202B38"/>
          <w:sz w:val="21"/>
        </w:rPr>
        <w:t xml:space="preserve"> du jeton empêche qu'une fuite de la base permette de réinitialiser les mots de passe ; l'usage unique bloque le rejeu d'un lien retrouvé dans l'historique d'une boîte de réception.</w:t>
      </w:r>
    </w:p>
    <w:p>
      <w:pPr>
        <w:keepNext/>
        <w:spacing w:before="180" w:after="60"/>
      </w:pPr>
      <w:r>
        <w:rPr>
          <w:rFonts w:ascii="Arial" w:hAnsi="Arial"/>
          <w:b/>
          <w:color w:val="163658"/>
          <w:sz w:val="25"/>
        </w:rPr>
        <w:t>4.5 Protection contre les attaques en force brute</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aucune limitation de débit</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L'opération de connexion peut être appelée sans aucune restriction de fréquence. Le coût de calcul de BCrypt ralentit l'attaquant mais ne le bloque pas, et il protège surtout contre une attaque hors ligne après vol de la base — pas contre une attaque en ligne. Rien n'empêche aujourd'hui des milliers de tentatives sur un même compte, ni la projection d'un mot de passe courant sur tous les comptes connus. Ce point constitue, avec l'absence de chiffrement du transport, le risque le plus élevé de l'application.</w:t>
      </w:r>
    </w:p>
    <w:p>
      <w:pPr>
        <w:spacing w:after="0"/>
      </w:pPr>
    </w:p>
    <w:p>
      <w:pPr>
        <w:spacing w:after="80"/>
        <w:jc w:val="both"/>
      </w:pPr>
      <w:r>
        <w:rPr>
          <w:rFonts w:ascii="Arial" w:hAnsi="Arial"/>
          <w:i w:val="0"/>
          <w:color w:val="202B38"/>
          <w:sz w:val="21"/>
        </w:rPr>
        <w:t>La réponse proposée combine trois mécanismes complémentaires :</w:t>
      </w:r>
    </w:p>
    <w:p>
      <w:pPr>
        <w:spacing w:after="40"/>
        <w:ind w:left="397" w:hanging="198"/>
      </w:pPr>
      <w:r>
        <w:rPr>
          <w:rFonts w:ascii="Arial" w:hAnsi="Arial"/>
          <w:i w:val="0"/>
          <w:color w:val="202B38"/>
          <w:sz w:val="21"/>
        </w:rPr>
        <w:t xml:space="preserve">•  </w:t>
      </w:r>
      <w:r>
        <w:rPr>
          <w:rFonts w:ascii="Arial" w:hAnsi="Arial"/>
          <w:b/>
          <w:i w:val="0"/>
          <w:color w:val="202B38"/>
          <w:sz w:val="21"/>
        </w:rPr>
        <w:t>verrouillage temporaire par compte</w:t>
      </w:r>
      <w:r>
        <w:rPr>
          <w:rFonts w:ascii="Arial" w:hAnsi="Arial"/>
          <w:i w:val="0"/>
          <w:color w:val="202B38"/>
          <w:sz w:val="21"/>
        </w:rPr>
        <w:t xml:space="preserve"> : après cinq échecs consécutifs, le compte est bloqué quinze minutes, le compteur étant remis à zéro par une connexion réussie ;</w:t>
      </w:r>
    </w:p>
    <w:p>
      <w:pPr>
        <w:spacing w:after="40"/>
        <w:ind w:left="397" w:hanging="198"/>
      </w:pPr>
      <w:r>
        <w:rPr>
          <w:rFonts w:ascii="Arial" w:hAnsi="Arial"/>
          <w:i w:val="0"/>
          <w:color w:val="202B38"/>
          <w:sz w:val="21"/>
        </w:rPr>
        <w:t xml:space="preserve">•  </w:t>
      </w:r>
      <w:r>
        <w:rPr>
          <w:rFonts w:ascii="Arial" w:hAnsi="Arial"/>
          <w:b/>
          <w:i w:val="0"/>
          <w:color w:val="202B38"/>
          <w:sz w:val="21"/>
        </w:rPr>
        <w:t>limitation par adresse IP</w:t>
      </w:r>
      <w:r>
        <w:rPr>
          <w:rFonts w:ascii="Arial" w:hAnsi="Arial"/>
          <w:i w:val="0"/>
          <w:color w:val="202B38"/>
          <w:sz w:val="21"/>
        </w:rPr>
        <w:t xml:space="preserve"> : au plus vingt tentatives par minute, afin de contenir la projection d'un même mot de passe sur de nombreux comptes ;</w:t>
      </w:r>
    </w:p>
    <w:p>
      <w:pPr>
        <w:spacing w:after="40"/>
        <w:ind w:left="397" w:hanging="198"/>
      </w:pPr>
      <w:r>
        <w:rPr>
          <w:rFonts w:ascii="Arial" w:hAnsi="Arial"/>
          <w:i w:val="0"/>
          <w:color w:val="202B38"/>
          <w:sz w:val="21"/>
        </w:rPr>
        <w:t xml:space="preserve">•  </w:t>
      </w:r>
      <w:r>
        <w:rPr>
          <w:rFonts w:ascii="Arial" w:hAnsi="Arial"/>
          <w:b/>
          <w:i w:val="0"/>
          <w:color w:val="202B38"/>
          <w:sz w:val="21"/>
        </w:rPr>
        <w:t>journalisation et alerte</w:t>
      </w:r>
      <w:r>
        <w:rPr>
          <w:rFonts w:ascii="Arial" w:hAnsi="Arial"/>
          <w:i w:val="0"/>
          <w:color w:val="202B38"/>
          <w:sz w:val="21"/>
        </w:rPr>
        <w:t xml:space="preserve"> : chaque échec alimente le journal de sécurité décrit au chapitre 9, ce qui permet de détecter une campagne en cours.</w:t>
      </w:r>
    </w:p>
    <w:p>
      <w:pPr>
        <w:spacing w:after="80"/>
        <w:jc w:val="both"/>
      </w:pPr>
      <w:r>
        <w:rPr>
          <w:rFonts w:ascii="Arial" w:hAnsi="Arial"/>
          <w:i w:val="0"/>
          <w:color w:val="202B38"/>
          <w:sz w:val="21"/>
        </w:rPr>
        <w:t>Le verrouillage par compte seul serait insuffisant : il ouvrirait une possibilité de déni de service en bloquant volontairement le compte d'autrui. C'est la combinaison des deux premiers mécanismes, et non l'un d'eux isolément, qui constitue la mesure.</w:t>
      </w:r>
    </w:p>
    <w:p>
      <w:pPr>
        <w:keepNext/>
        <w:spacing w:before="180" w:after="60"/>
      </w:pPr>
      <w:r>
        <w:rPr>
          <w:rFonts w:ascii="Arial" w:hAnsi="Arial"/>
          <w:b/>
          <w:color w:val="163658"/>
          <w:sz w:val="25"/>
        </w:rPr>
        <w:t>4.6 Authentification multifacteur</w:t>
      </w:r>
    </w:p>
    <w:p>
      <w:pPr>
        <w:spacing w:after="80"/>
        <w:jc w:val="both"/>
      </w:pPr>
      <w:r>
        <w:rPr>
          <w:rFonts w:ascii="Arial" w:hAnsi="Arial"/>
          <w:i w:val="0"/>
          <w:color w:val="202B38"/>
          <w:sz w:val="21"/>
        </w:rPr>
        <w:t xml:space="preserve">L'authentification à deux facteurs n'est pas implémentée et n'est pas proposée pour cette version. Ce choix doit être assumé plutôt que passé sous silence : TrackIT manipule des informations techniques sensibles, mais ni données bancaires ni données de santé. Le rapport entre le gain de sécurité et la complexité ajoutée — gestion des secrets TOTP, codes de secours, procédure de perte du second facteur — ne le justifie pas à ce stade. Il en irait autrement pour les comptes </w:t>
      </w:r>
      <w:r>
        <w:rPr>
          <w:rFonts w:ascii="Arial" w:hAnsi="Arial"/>
          <w:b/>
          <w:i w:val="0"/>
          <w:color w:val="202B38"/>
          <w:sz w:val="21"/>
        </w:rPr>
        <w:t>Administrateur</w:t>
      </w:r>
      <w:r>
        <w:rPr>
          <w:rFonts w:ascii="Arial" w:hAnsi="Arial"/>
          <w:i w:val="0"/>
          <w:color w:val="202B38"/>
          <w:sz w:val="21"/>
        </w:rPr>
        <w:t>, qui disposent des droits les plus étendus ; une seconde version pourrait réserver la double authentification à ce seul rôle, ce qui limiterait la charge tout en couvrant les comptes les plus exposés.</w:t>
      </w:r>
    </w:p>
    <w:p>
      <w:pPr>
        <w:keepNext/>
        <w:spacing w:before="300" w:after="100"/>
        <w:pBdr>
          <w:bottom w:val="single" w:sz="4" w:space="3" w:color="C8D4E2"/>
        </w:pBdr>
      </w:pPr>
      <w:r>
        <w:rPr>
          <w:rFonts w:ascii="Arial" w:hAnsi="Arial"/>
          <w:b/>
          <w:color w:val="163658"/>
          <w:sz w:val="32"/>
        </w:rPr>
        <w:t>5. Autorisation et accès aux ressources</w:t>
      </w:r>
    </w:p>
    <w:p>
      <w:pPr>
        <w:keepNext/>
        <w:spacing w:before="180" w:after="60"/>
      </w:pPr>
      <w:r>
        <w:rPr>
          <w:rFonts w:ascii="Arial" w:hAnsi="Arial"/>
          <w:b/>
          <w:color w:val="163658"/>
          <w:sz w:val="25"/>
        </w:rPr>
        <w:t>5.1 Modèle de rôles</w:t>
      </w:r>
    </w:p>
    <w:p>
      <w:pPr>
        <w:spacing w:after="80"/>
        <w:jc w:val="both"/>
      </w:pPr>
      <w:r>
        <w:rPr>
          <w:rFonts w:ascii="Arial" w:hAnsi="Arial"/>
          <w:i w:val="0"/>
          <w:color w:val="202B38"/>
          <w:sz w:val="21"/>
        </w:rPr>
        <w:t>Cinq rôles structurent le contrôle d'accès. Le nombre d'opérations atteignables par chacun, sur les 61 exposées, traduit directement le principe du moindre privilège.</w:t>
      </w:r>
    </w:p>
    <w:tbl>
      <w:tblPr>
        <w:tblStyle w:val="TableGrid"/>
        <w:tblW w:type="auto" w:w="0"/>
        <w:jc w:val="center"/>
        <w:tblLayout w:type="fixed"/>
        <w:tblLook w:firstColumn="1" w:firstRow="1" w:lastColumn="0" w:lastRow="0" w:noHBand="0" w:noVBand="1" w:val="04A0"/>
        <w:tblLayout w:type="fixed"/>
      </w:tblPr>
      <w:tblGrid>
        <w:gridCol w:w="1928"/>
        <w:gridCol w:w="5216"/>
        <w:gridCol w:w="2494"/>
      </w:tblGrid>
      <w:tr>
        <w:trPr>
          <w:tblHeader w:val="true"/>
          <w:cantSplit/>
        </w:trPr>
        <w:tc>
          <w:tcPr>
            <w:tcW w:type="dxa" w:w="1928"/>
            <w:shd w:fill="163658"/>
          </w:tcPr>
          <w:p>
            <w:pPr>
              <w:spacing w:after="40" w:before="40"/>
            </w:pPr>
            <w:r/>
            <w:r>
              <w:rPr>
                <w:rFonts w:ascii="Arial" w:hAnsi="Arial"/>
                <w:b/>
                <w:color w:val="FFFFFF"/>
                <w:sz w:val="17"/>
              </w:rPr>
              <w:t>Rôle</w:t>
            </w:r>
          </w:p>
        </w:tc>
        <w:tc>
          <w:tcPr>
            <w:tcW w:type="dxa" w:w="5216"/>
            <w:shd w:fill="163658"/>
          </w:tcPr>
          <w:p>
            <w:pPr>
              <w:spacing w:after="40" w:before="40"/>
            </w:pPr>
            <w:r/>
            <w:r>
              <w:rPr>
                <w:rFonts w:ascii="Arial" w:hAnsi="Arial"/>
                <w:b/>
                <w:color w:val="FFFFFF"/>
                <w:sz w:val="17"/>
              </w:rPr>
              <w:t>Vocation</w:t>
            </w:r>
          </w:p>
        </w:tc>
        <w:tc>
          <w:tcPr>
            <w:tcW w:type="dxa" w:w="2494"/>
            <w:shd w:fill="163658"/>
          </w:tcPr>
          <w:p>
            <w:pPr>
              <w:spacing w:after="40" w:before="40"/>
            </w:pPr>
            <w:r/>
            <w:r>
              <w:rPr>
                <w:rFonts w:ascii="Arial" w:hAnsi="Arial"/>
                <w:b/>
                <w:color w:val="FFFFFF"/>
                <w:sz w:val="17"/>
              </w:rPr>
              <w:t>Opérations accessibles</w:t>
            </w:r>
          </w:p>
        </w:tc>
      </w:tr>
      <w:tr>
        <w:trPr>
          <w:cantSplit/>
        </w:trPr>
        <w:tc>
          <w:tcPr>
            <w:tcW w:type="dxa" w:w="1928"/>
          </w:tcPr>
          <w:p>
            <w:pPr>
              <w:spacing w:after="40" w:before="40"/>
            </w:pPr>
            <w:r/>
            <w:r>
              <w:rPr>
                <w:rFonts w:ascii="Arial" w:hAnsi="Arial"/>
                <w:i w:val="0"/>
                <w:color w:val="202B38"/>
                <w:sz w:val="17"/>
              </w:rPr>
              <w:t>Utilisateur</w:t>
            </w:r>
          </w:p>
        </w:tc>
        <w:tc>
          <w:tcPr>
            <w:tcW w:type="dxa" w:w="5216"/>
          </w:tcPr>
          <w:p>
            <w:pPr>
              <w:spacing w:after="40" w:before="40"/>
            </w:pPr>
            <w:r/>
            <w:r>
              <w:rPr>
                <w:rFonts w:ascii="Arial" w:hAnsi="Arial"/>
                <w:i w:val="0"/>
                <w:color w:val="202B38"/>
                <w:sz w:val="17"/>
              </w:rPr>
              <w:t>Déclare et suit ses propres anomalies</w:t>
            </w:r>
          </w:p>
        </w:tc>
        <w:tc>
          <w:tcPr>
            <w:tcW w:type="dxa" w:w="2494"/>
          </w:tcPr>
          <w:p>
            <w:pPr>
              <w:spacing w:after="40" w:before="40"/>
            </w:pPr>
            <w:r/>
            <w:r>
              <w:rPr>
                <w:rFonts w:ascii="Arial" w:hAnsi="Arial"/>
                <w:i w:val="0"/>
                <w:color w:val="202B38"/>
                <w:sz w:val="17"/>
              </w:rPr>
              <w:t>26 / 61</w:t>
            </w:r>
          </w:p>
        </w:tc>
      </w:tr>
      <w:tr>
        <w:trPr>
          <w:cantSplit/>
        </w:trPr>
        <w:tc>
          <w:tcPr>
            <w:tcW w:type="dxa" w:w="1928"/>
            <w:shd w:fill="F4F7FA"/>
          </w:tcPr>
          <w:p>
            <w:pPr>
              <w:spacing w:after="40" w:before="40"/>
            </w:pPr>
            <w:r/>
            <w:r>
              <w:rPr>
                <w:rFonts w:ascii="Arial" w:hAnsi="Arial"/>
                <w:i w:val="0"/>
                <w:color w:val="202B38"/>
                <w:sz w:val="17"/>
              </w:rPr>
              <w:t>Opérateur</w:t>
            </w:r>
          </w:p>
        </w:tc>
        <w:tc>
          <w:tcPr>
            <w:tcW w:type="dxa" w:w="5216"/>
            <w:shd w:fill="F4F7FA"/>
          </w:tcPr>
          <w:p>
            <w:pPr>
              <w:spacing w:after="40" w:before="40"/>
            </w:pPr>
            <w:r/>
            <w:r>
              <w:rPr>
                <w:rFonts w:ascii="Arial" w:hAnsi="Arial"/>
                <w:i w:val="0"/>
                <w:color w:val="202B38"/>
                <w:sz w:val="17"/>
              </w:rPr>
              <w:t>Prend en charge et traite les anomalies affectées</w:t>
            </w:r>
          </w:p>
        </w:tc>
        <w:tc>
          <w:tcPr>
            <w:tcW w:type="dxa" w:w="2494"/>
            <w:shd w:fill="F4F7FA"/>
          </w:tcPr>
          <w:p>
            <w:pPr>
              <w:spacing w:after="40" w:before="40"/>
            </w:pPr>
            <w:r/>
            <w:r>
              <w:rPr>
                <w:rFonts w:ascii="Arial" w:hAnsi="Arial"/>
                <w:i w:val="0"/>
                <w:color w:val="202B38"/>
                <w:sz w:val="17"/>
              </w:rPr>
              <w:t>34 / 61</w:t>
            </w:r>
          </w:p>
        </w:tc>
      </w:tr>
      <w:tr>
        <w:trPr>
          <w:cantSplit/>
        </w:trPr>
        <w:tc>
          <w:tcPr>
            <w:tcW w:type="dxa" w:w="1928"/>
          </w:tcPr>
          <w:p>
            <w:pPr>
              <w:spacing w:after="40" w:before="40"/>
            </w:pPr>
            <w:r/>
            <w:r>
              <w:rPr>
                <w:rFonts w:ascii="Arial" w:hAnsi="Arial"/>
                <w:i w:val="0"/>
                <w:color w:val="202B38"/>
                <w:sz w:val="17"/>
              </w:rPr>
              <w:t>Responsable technique</w:t>
            </w:r>
          </w:p>
        </w:tc>
        <w:tc>
          <w:tcPr>
            <w:tcW w:type="dxa" w:w="5216"/>
          </w:tcPr>
          <w:p>
            <w:pPr>
              <w:spacing w:after="40" w:before="40"/>
            </w:pPr>
            <w:r/>
            <w:r>
              <w:rPr>
                <w:rFonts w:ascii="Arial" w:hAnsi="Arial"/>
                <w:i w:val="0"/>
                <w:color w:val="202B38"/>
                <w:sz w:val="17"/>
              </w:rPr>
              <w:t>Supervise la charge, affecte, arbitre les priorités</w:t>
            </w:r>
          </w:p>
        </w:tc>
        <w:tc>
          <w:tcPr>
            <w:tcW w:type="dxa" w:w="2494"/>
          </w:tcPr>
          <w:p>
            <w:pPr>
              <w:spacing w:after="40" w:before="40"/>
            </w:pPr>
            <w:r/>
            <w:r>
              <w:rPr>
                <w:rFonts w:ascii="Arial" w:hAnsi="Arial"/>
                <w:i w:val="0"/>
                <w:color w:val="202B38"/>
                <w:sz w:val="17"/>
              </w:rPr>
              <w:t>35 / 61</w:t>
            </w:r>
          </w:p>
        </w:tc>
      </w:tr>
      <w:tr>
        <w:trPr>
          <w:cantSplit/>
        </w:trPr>
        <w:tc>
          <w:tcPr>
            <w:tcW w:type="dxa" w:w="1928"/>
            <w:shd w:fill="F4F7FA"/>
          </w:tcPr>
          <w:p>
            <w:pPr>
              <w:spacing w:after="40" w:before="40"/>
            </w:pPr>
            <w:r/>
            <w:r>
              <w:rPr>
                <w:rFonts w:ascii="Arial" w:hAnsi="Arial"/>
                <w:i w:val="0"/>
                <w:color w:val="202B38"/>
                <w:sz w:val="17"/>
              </w:rPr>
              <w:t>Analyste</w:t>
            </w:r>
          </w:p>
        </w:tc>
        <w:tc>
          <w:tcPr>
            <w:tcW w:type="dxa" w:w="5216"/>
            <w:shd w:fill="F4F7FA"/>
          </w:tcPr>
          <w:p>
            <w:pPr>
              <w:spacing w:after="40" w:before="40"/>
            </w:pPr>
            <w:r/>
            <w:r>
              <w:rPr>
                <w:rFonts w:ascii="Arial" w:hAnsi="Arial"/>
                <w:i w:val="0"/>
                <w:color w:val="202B38"/>
                <w:sz w:val="17"/>
              </w:rPr>
              <w:t>Produit les statistiques et les rapports d'activité</w:t>
            </w:r>
          </w:p>
        </w:tc>
        <w:tc>
          <w:tcPr>
            <w:tcW w:type="dxa" w:w="2494"/>
            <w:shd w:fill="F4F7FA"/>
          </w:tcPr>
          <w:p>
            <w:pPr>
              <w:spacing w:after="40" w:before="40"/>
            </w:pPr>
            <w:r/>
            <w:r>
              <w:rPr>
                <w:rFonts w:ascii="Arial" w:hAnsi="Arial"/>
                <w:i w:val="0"/>
                <w:color w:val="202B38"/>
                <w:sz w:val="17"/>
              </w:rPr>
              <w:t>30 / 61</w:t>
            </w:r>
          </w:p>
        </w:tc>
      </w:tr>
      <w:tr>
        <w:trPr>
          <w:cantSplit/>
        </w:trPr>
        <w:tc>
          <w:tcPr>
            <w:tcW w:type="dxa" w:w="1928"/>
          </w:tcPr>
          <w:p>
            <w:pPr>
              <w:spacing w:after="40" w:before="40"/>
            </w:pPr>
            <w:r/>
            <w:r>
              <w:rPr>
                <w:rFonts w:ascii="Arial" w:hAnsi="Arial"/>
                <w:i w:val="0"/>
                <w:color w:val="202B38"/>
                <w:sz w:val="17"/>
              </w:rPr>
              <w:t>Administrateur</w:t>
            </w:r>
          </w:p>
        </w:tc>
        <w:tc>
          <w:tcPr>
            <w:tcW w:type="dxa" w:w="5216"/>
          </w:tcPr>
          <w:p>
            <w:pPr>
              <w:spacing w:after="40" w:before="40"/>
            </w:pPr>
            <w:r/>
            <w:r>
              <w:rPr>
                <w:rFonts w:ascii="Arial" w:hAnsi="Arial"/>
                <w:i w:val="0"/>
                <w:color w:val="202B38"/>
                <w:sz w:val="17"/>
              </w:rPr>
              <w:t>Gère les comptes, les référentiels et l'abonnement</w:t>
            </w:r>
          </w:p>
        </w:tc>
        <w:tc>
          <w:tcPr>
            <w:tcW w:type="dxa" w:w="2494"/>
          </w:tcPr>
          <w:p>
            <w:pPr>
              <w:spacing w:after="40" w:before="40"/>
            </w:pPr>
            <w:r/>
            <w:r>
              <w:rPr>
                <w:rFonts w:ascii="Arial" w:hAnsi="Arial"/>
                <w:i w:val="0"/>
                <w:color w:val="202B38"/>
                <w:sz w:val="17"/>
              </w:rPr>
              <w:t>49 / 61</w:t>
            </w:r>
          </w:p>
        </w:tc>
      </w:tr>
    </w:tbl>
    <w:p>
      <w:pPr>
        <w:spacing w:after="0"/>
      </w:pPr>
    </w:p>
    <w:p>
      <w:pPr>
        <w:spacing w:after="80"/>
        <w:jc w:val="both"/>
      </w:pPr>
      <w:r>
        <w:rPr>
          <w:rFonts w:ascii="Arial" w:hAnsi="Arial"/>
          <w:i w:val="0"/>
          <w:color w:val="202B38"/>
          <w:sz w:val="21"/>
        </w:rPr>
        <w:t>Aucun rôle n'accède à tout, pas même l'Administrateur : il gère les comptes et la configuration, mais ni les rapports ni la supervision — ce qui limite la portée d'une compromission du compte le plus privilégié.</w:t>
      </w:r>
    </w:p>
    <w:p>
      <w:pPr>
        <w:keepNext/>
        <w:spacing w:before="160" w:after="40"/>
        <w:shd w:val="clear" w:fill="EAF4EC"/>
        <w:pBdr>
          <w:top w:val="single" w:sz="6" w:space="6" w:color="237A53"/>
          <w:left w:val="single" w:sz="6" w:space="8" w:color="237A53"/>
          <w:bottom w:val="nil" w:sz="6" w:space="6" w:color="237A53"/>
          <w:right w:val="single" w:sz="6" w:space="8" w:color="237A53"/>
        </w:pBdr>
        <w:ind w:left="142" w:right="142"/>
      </w:pPr>
      <w:r>
        <w:rPr>
          <w:rFonts w:ascii="Arial" w:hAnsi="Arial"/>
          <w:b/>
          <w:color w:val="237A53"/>
          <w:sz w:val="20"/>
        </w:rPr>
        <w:t>Point fort</w:t>
      </w:r>
    </w:p>
    <w:p>
      <w:pPr>
        <w:spacing w:after="120"/>
        <w:ind w:left="142" w:right="142"/>
        <w:jc w:val="both"/>
        <w:shd w:val="clear" w:fill="EAF4EC"/>
        <w:pBdr>
          <w:top w:val="nil" w:sz="6" w:space="6" w:color="237A53"/>
          <w:left w:val="single" w:sz="6" w:space="8" w:color="237A53"/>
          <w:bottom w:val="single" w:sz="6" w:space="6" w:color="237A53"/>
          <w:right w:val="single" w:sz="6" w:space="8" w:color="237A53"/>
        </w:pBdr>
      </w:pPr>
      <w:r>
        <w:rPr>
          <w:rFonts w:ascii="Arial" w:hAnsi="Arial"/>
          <w:i w:val="0"/>
          <w:color w:val="202B38"/>
          <w:sz w:val="19"/>
        </w:rPr>
        <w:t>Seize tests d'autorisation automatisés vérifient ce cloisonnement et le respect des rôles à chaque exécution de la suite de tests. La sécurité n'est donc pas seulement documentée : elle est vérifiée de façon reproductible à chaque modification du code.</w:t>
      </w:r>
    </w:p>
    <w:p>
      <w:pPr>
        <w:spacing w:after="0"/>
      </w:pPr>
    </w:p>
    <w:p>
      <w:pPr>
        <w:keepNext/>
        <w:spacing w:before="180" w:after="60"/>
      </w:pPr>
      <w:r>
        <w:rPr>
          <w:rFonts w:ascii="Arial" w:hAnsi="Arial"/>
          <w:b/>
          <w:color w:val="163658"/>
          <w:sz w:val="25"/>
        </w:rPr>
        <w:t>5.2 Une double barrière de contrôle</w:t>
      </w:r>
    </w:p>
    <w:p>
      <w:pPr>
        <w:spacing w:after="80"/>
        <w:jc w:val="both"/>
      </w:pPr>
      <w:r>
        <w:rPr>
          <w:rFonts w:ascii="Arial" w:hAnsi="Arial"/>
          <w:i w:val="0"/>
          <w:color w:val="202B38"/>
          <w:sz w:val="21"/>
        </w:rPr>
        <w:t>Deux contrôles indépendants s'appliquent successivement, et c'est leur indépendance qui fait la solidité de l'ensemble.</w:t>
      </w:r>
    </w:p>
    <w:p>
      <w:pPr>
        <w:keepNext/>
        <w:spacing w:before="200" w:after="60"/>
      </w:pPr>
      <w:r>
        <w:rPr>
          <w:rFonts w:ascii="Arial" w:hAnsi="Arial"/>
          <w:b/>
          <w:color w:val="1769AA"/>
          <w:sz w:val="22"/>
        </w:rPr>
        <w:t>Première barrière : le rôle</w:t>
      </w:r>
    </w:p>
    <w:p>
      <w:pPr>
        <w:spacing w:after="80"/>
        <w:jc w:val="both"/>
      </w:pPr>
      <w:r>
        <w:rPr>
          <w:rFonts w:ascii="Arial" w:hAnsi="Arial"/>
          <w:i w:val="0"/>
          <w:color w:val="202B38"/>
          <w:sz w:val="21"/>
        </w:rPr>
        <w:t>Une annotation déclarative exige un rôle minimal, et s'exécute avant l'entrée dans la méthode : une requête mal habilitée n'atteint jamais la logique métier.</w:t>
      </w:r>
    </w:p>
    <w:p>
      <w:pPr>
        <w:spacing w:after="80"/>
      </w:pPr>
      <w:r>
        <w:rPr>
          <w:rFonts w:ascii="Arial" w:hAnsi="Arial"/>
          <w:i w:val="0"/>
          <w:color w:val="202B38"/>
          <w:sz w:val="21"/>
        </w:rPr>
        <w:t xml:space="preserve">Le changement de statut, par exemple, porte l'annotation </w:t>
      </w:r>
      <w:r>
        <w:rPr>
          <w:rFonts w:ascii="Courier New" w:hAnsi="Courier New"/>
          <w:color w:val="1769AA"/>
          <w:sz w:val="18"/>
        </w:rPr>
        <w:t>@PreAuthorize("hasAnyRole('OPERATEUR','RESPONSABLE_TECHNIQUE','ADMINISTRATEUR')")</w:t>
      </w:r>
      <w:r>
        <w:rPr>
          <w:rFonts w:ascii="Arial" w:hAnsi="Arial"/>
          <w:i w:val="0"/>
          <w:color w:val="202B38"/>
          <w:sz w:val="21"/>
        </w:rPr>
        <w:t xml:space="preserve"> : les deux autres rôles sont écartés avant toute exécution.</w:t>
      </w:r>
    </w:p>
    <w:p>
      <w:pPr>
        <w:keepNext/>
        <w:spacing w:before="200" w:after="60"/>
      </w:pPr>
      <w:r>
        <w:rPr>
          <w:rFonts w:ascii="Arial" w:hAnsi="Arial"/>
          <w:b/>
          <w:color w:val="1769AA"/>
          <w:sz w:val="22"/>
        </w:rPr>
        <w:t>Seconde barrière : la règle métier</w:t>
      </w:r>
    </w:p>
    <w:p>
      <w:pPr>
        <w:spacing w:after="80"/>
        <w:jc w:val="both"/>
      </w:pPr>
      <w:r>
        <w:rPr>
          <w:rFonts w:ascii="Arial" w:hAnsi="Arial"/>
          <w:i w:val="0"/>
          <w:color w:val="202B38"/>
          <w:sz w:val="21"/>
        </w:rPr>
        <w:t xml:space="preserve">Le rôle ne suffit pas : un Opérateur peut changer un statut </w:t>
      </w:r>
      <w:r>
        <w:rPr>
          <w:rFonts w:ascii="Arial" w:hAnsi="Arial"/>
          <w:b/>
          <w:i w:val="0"/>
          <w:color w:val="202B38"/>
          <w:sz w:val="21"/>
        </w:rPr>
        <w:t>en général</w:t>
      </w:r>
      <w:r>
        <w:rPr>
          <w:rFonts w:ascii="Arial" w:hAnsi="Arial"/>
          <w:i w:val="0"/>
          <w:color w:val="202B38"/>
          <w:sz w:val="21"/>
        </w:rPr>
        <w:t>, mais pas celui de n'importe quelle anomalie — encore faut-il qu'elle lui soit affectée et que la transition soit autorisée. Ces règles sont portées par un composant dédié de la couche service, distinct du contrôle de rôle.</w:t>
      </w:r>
    </w:p>
    <w:p>
      <w:pPr>
        <w:spacing w:after="80"/>
        <w:jc w:val="both"/>
      </w:pPr>
      <w:r>
        <w:rPr>
          <w:rFonts w:ascii="Arial" w:hAnsi="Arial"/>
          <w:i w:val="0"/>
          <w:color w:val="202B38"/>
          <w:sz w:val="21"/>
        </w:rPr>
        <w:t>Une erreur dans une annotation ne suffit donc pas à ouvrir un accès indu, et réciproquement.</w:t>
      </w:r>
    </w:p>
    <w:p>
      <w:pPr>
        <w:keepNext/>
        <w:spacing w:before="180" w:after="60"/>
      </w:pPr>
      <w:r>
        <w:rPr>
          <w:rFonts w:ascii="Arial" w:hAnsi="Arial"/>
          <w:b/>
          <w:color w:val="163658"/>
          <w:sz w:val="25"/>
        </w:rPr>
        <w:t>5.3 Cloisonnement entre organisations</w:t>
      </w:r>
    </w:p>
    <w:p>
      <w:pPr>
        <w:spacing w:after="80"/>
        <w:jc w:val="both"/>
      </w:pPr>
      <w:r>
        <w:rPr>
          <w:rFonts w:ascii="Arial" w:hAnsi="Arial"/>
          <w:i w:val="0"/>
          <w:color w:val="202B38"/>
          <w:sz w:val="21"/>
        </w:rPr>
        <w:t xml:space="preserve">Plusieurs organisations clientes partagent la même base. Le cloisonnement repose sur une règle appliquée sans exception : </w:t>
      </w:r>
      <w:r>
        <w:rPr>
          <w:rFonts w:ascii="Arial" w:hAnsi="Arial"/>
          <w:b/>
          <w:i w:val="0"/>
          <w:color w:val="202B38"/>
          <w:sz w:val="21"/>
        </w:rPr>
        <w:t>toute requête de lecture est filtrée par l'identifiant d'organisation issu du jeton</w:t>
      </w:r>
      <w:r>
        <w:rPr>
          <w:rFonts w:ascii="Arial" w:hAnsi="Arial"/>
          <w:i w:val="0"/>
          <w:color w:val="202B38"/>
          <w:sz w:val="21"/>
        </w:rPr>
        <w:t>, jamais par un paramètre fourni par le client.</w:t>
      </w:r>
    </w:p>
    <w:p>
      <w:pPr>
        <w:spacing w:after="80"/>
        <w:jc w:val="both"/>
      </w:pPr>
      <w:r>
        <w:rPr>
          <w:rFonts w:ascii="Arial" w:hAnsi="Arial"/>
          <w:i w:val="0"/>
          <w:color w:val="202B38"/>
          <w:sz w:val="21"/>
        </w:rPr>
        <w:t xml:space="preserve">Un détail mérite d'être relevé : une anomalie d'une autre organisation renvoie </w:t>
      </w:r>
      <w:r>
        <w:rPr>
          <w:rFonts w:ascii="Arial" w:hAnsi="Arial"/>
          <w:b/>
          <w:i w:val="0"/>
          <w:color w:val="202B38"/>
          <w:sz w:val="21"/>
        </w:rPr>
        <w:t>404 Introuvable</w:t>
      </w:r>
      <w:r>
        <w:rPr>
          <w:rFonts w:ascii="Arial" w:hAnsi="Arial"/>
          <w:i w:val="0"/>
          <w:color w:val="202B38"/>
          <w:sz w:val="21"/>
        </w:rPr>
        <w:t xml:space="preserve"> et non </w:t>
      </w:r>
      <w:r>
        <w:rPr>
          <w:rFonts w:ascii="Arial" w:hAnsi="Arial"/>
          <w:b/>
          <w:i w:val="0"/>
          <w:color w:val="202B38"/>
          <w:sz w:val="21"/>
        </w:rPr>
        <w:t>403 Interdit</w:t>
      </w:r>
      <w:r>
        <w:rPr>
          <w:rFonts w:ascii="Arial" w:hAnsi="Arial"/>
          <w:i w:val="0"/>
          <w:color w:val="202B38"/>
          <w:sz w:val="21"/>
        </w:rPr>
        <w:t>. Un 403 confirmerait son existence et permettrait de cartographier les données d'autrui par énumération ; le code le documente.</w:t>
      </w:r>
    </w:p>
    <w:p>
      <w:pPr>
        <w:keepNext/>
        <w:spacing w:before="300" w:after="100"/>
        <w:pBdr>
          <w:bottom w:val="single" w:sz="4" w:space="3" w:color="C8D4E2"/>
        </w:pBdr>
      </w:pPr>
      <w:r>
        <w:rPr>
          <w:rFonts w:ascii="Arial" w:hAnsi="Arial"/>
          <w:b/>
          <w:color w:val="163658"/>
          <w:sz w:val="32"/>
        </w:rPr>
        <w:t>6. Protection des données personnelles</w:t>
      </w:r>
    </w:p>
    <w:p>
      <w:pPr>
        <w:keepNext/>
        <w:spacing w:before="180" w:after="60"/>
      </w:pPr>
      <w:r>
        <w:rPr>
          <w:rFonts w:ascii="Arial" w:hAnsi="Arial"/>
          <w:b/>
          <w:color w:val="163658"/>
          <w:sz w:val="25"/>
        </w:rPr>
        <w:t>6.1 Données collectées et finalités</w:t>
      </w:r>
    </w:p>
    <w:p>
      <w:pPr>
        <w:spacing w:after="80"/>
        <w:jc w:val="both"/>
      </w:pPr>
      <w:r>
        <w:rPr>
          <w:rFonts w:ascii="Arial" w:hAnsi="Arial"/>
          <w:i w:val="0"/>
          <w:color w:val="202B38"/>
          <w:sz w:val="21"/>
        </w:rPr>
        <w:t>TrackIT traite des données à caractère personnel concernant les salariés de ses organisations clientes. Le registre ci-dessous recense ces données, leur finalité et la durée de conservation proposée.</w:t>
      </w:r>
    </w:p>
    <w:tbl>
      <w:tblPr>
        <w:tblStyle w:val="TableGrid"/>
        <w:tblW w:type="auto" w:w="0"/>
        <w:jc w:val="center"/>
        <w:tblLayout w:type="fixed"/>
        <w:tblLook w:firstColumn="1" w:firstRow="1" w:lastColumn="0" w:lastRow="0" w:noHBand="0" w:noVBand="1" w:val="04A0"/>
        <w:tblLayout w:type="fixed"/>
      </w:tblPr>
      <w:tblGrid>
        <w:gridCol w:w="1871"/>
        <w:gridCol w:w="3175"/>
        <w:gridCol w:w="1757"/>
        <w:gridCol w:w="2835"/>
      </w:tblGrid>
      <w:tr>
        <w:trPr>
          <w:tblHeader w:val="true"/>
          <w:cantSplit/>
        </w:trPr>
        <w:tc>
          <w:tcPr>
            <w:tcW w:type="dxa" w:w="1871"/>
            <w:shd w:fill="163658"/>
          </w:tcPr>
          <w:p>
            <w:pPr>
              <w:spacing w:after="40" w:before="40"/>
            </w:pPr>
            <w:r/>
            <w:r>
              <w:rPr>
                <w:rFonts w:ascii="Arial" w:hAnsi="Arial"/>
                <w:b/>
                <w:color w:val="FFFFFF"/>
                <w:sz w:val="17"/>
              </w:rPr>
              <w:t>Donnée</w:t>
            </w:r>
          </w:p>
        </w:tc>
        <w:tc>
          <w:tcPr>
            <w:tcW w:type="dxa" w:w="3175"/>
            <w:shd w:fill="163658"/>
          </w:tcPr>
          <w:p>
            <w:pPr>
              <w:spacing w:after="40" w:before="40"/>
            </w:pPr>
            <w:r/>
            <w:r>
              <w:rPr>
                <w:rFonts w:ascii="Arial" w:hAnsi="Arial"/>
                <w:b/>
                <w:color w:val="FFFFFF"/>
                <w:sz w:val="17"/>
              </w:rPr>
              <w:t>Finalité</w:t>
            </w:r>
          </w:p>
        </w:tc>
        <w:tc>
          <w:tcPr>
            <w:tcW w:type="dxa" w:w="1757"/>
            <w:shd w:fill="163658"/>
          </w:tcPr>
          <w:p>
            <w:pPr>
              <w:spacing w:after="40" w:before="40"/>
            </w:pPr>
            <w:r/>
            <w:r>
              <w:rPr>
                <w:rFonts w:ascii="Arial" w:hAnsi="Arial"/>
                <w:b/>
                <w:color w:val="FFFFFF"/>
                <w:sz w:val="17"/>
              </w:rPr>
              <w:t>Base légale</w:t>
            </w:r>
          </w:p>
        </w:tc>
        <w:tc>
          <w:tcPr>
            <w:tcW w:type="dxa" w:w="2835"/>
            <w:shd w:fill="163658"/>
          </w:tcPr>
          <w:p>
            <w:pPr>
              <w:spacing w:after="40" w:before="40"/>
            </w:pPr>
            <w:r/>
            <w:r>
              <w:rPr>
                <w:rFonts w:ascii="Arial" w:hAnsi="Arial"/>
                <w:b/>
                <w:color w:val="FFFFFF"/>
                <w:sz w:val="17"/>
              </w:rPr>
              <w:t>Conservation proposée</w:t>
            </w:r>
          </w:p>
        </w:tc>
      </w:tr>
      <w:tr>
        <w:trPr>
          <w:cantSplit/>
        </w:trPr>
        <w:tc>
          <w:tcPr>
            <w:tcW w:type="dxa" w:w="1871"/>
          </w:tcPr>
          <w:p>
            <w:pPr>
              <w:spacing w:after="40" w:before="40"/>
            </w:pPr>
            <w:r/>
            <w:r>
              <w:rPr>
                <w:rFonts w:ascii="Arial" w:hAnsi="Arial"/>
                <w:i w:val="0"/>
                <w:color w:val="202B38"/>
                <w:sz w:val="17"/>
              </w:rPr>
              <w:t>Nom, prénom</w:t>
            </w:r>
          </w:p>
        </w:tc>
        <w:tc>
          <w:tcPr>
            <w:tcW w:type="dxa" w:w="3175"/>
          </w:tcPr>
          <w:p>
            <w:pPr>
              <w:spacing w:after="40" w:before="40"/>
            </w:pPr>
            <w:r/>
            <w:r>
              <w:rPr>
                <w:rFonts w:ascii="Arial" w:hAnsi="Arial"/>
                <w:i w:val="0"/>
                <w:color w:val="202B38"/>
                <w:sz w:val="17"/>
              </w:rPr>
              <w:t>Identifier l'auteur d'une déclaration ou d'une action</w:t>
            </w:r>
          </w:p>
        </w:tc>
        <w:tc>
          <w:tcPr>
            <w:tcW w:type="dxa" w:w="1757"/>
          </w:tcPr>
          <w:p>
            <w:pPr>
              <w:spacing w:after="40" w:before="40"/>
            </w:pPr>
            <w:r/>
            <w:r>
              <w:rPr>
                <w:rFonts w:ascii="Arial" w:hAnsi="Arial"/>
                <w:i w:val="0"/>
                <w:color w:val="202B38"/>
                <w:sz w:val="17"/>
              </w:rPr>
              <w:t>Exécution du contrat</w:t>
            </w:r>
          </w:p>
        </w:tc>
        <w:tc>
          <w:tcPr>
            <w:tcW w:type="dxa" w:w="2835"/>
          </w:tcPr>
          <w:p>
            <w:pPr>
              <w:spacing w:after="40" w:before="40"/>
            </w:pPr>
            <w:r/>
            <w:r>
              <w:rPr>
                <w:rFonts w:ascii="Arial" w:hAnsi="Arial"/>
                <w:i w:val="0"/>
                <w:color w:val="202B38"/>
                <w:sz w:val="17"/>
              </w:rPr>
              <w:t>Durée du compte + 1 an</w:t>
            </w:r>
          </w:p>
        </w:tc>
      </w:tr>
      <w:tr>
        <w:trPr>
          <w:cantSplit/>
        </w:trPr>
        <w:tc>
          <w:tcPr>
            <w:tcW w:type="dxa" w:w="1871"/>
            <w:shd w:fill="F4F7FA"/>
          </w:tcPr>
          <w:p>
            <w:pPr>
              <w:spacing w:after="40" w:before="40"/>
            </w:pPr>
            <w:r/>
            <w:r>
              <w:rPr>
                <w:rFonts w:ascii="Arial" w:hAnsi="Arial"/>
                <w:i w:val="0"/>
                <w:color w:val="202B38"/>
                <w:sz w:val="17"/>
              </w:rPr>
              <w:t>Adresse e-mail</w:t>
            </w:r>
          </w:p>
        </w:tc>
        <w:tc>
          <w:tcPr>
            <w:tcW w:type="dxa" w:w="3175"/>
            <w:shd w:fill="F4F7FA"/>
          </w:tcPr>
          <w:p>
            <w:pPr>
              <w:spacing w:after="40" w:before="40"/>
            </w:pPr>
            <w:r/>
            <w:r>
              <w:rPr>
                <w:rFonts w:ascii="Arial" w:hAnsi="Arial"/>
                <w:i w:val="0"/>
                <w:color w:val="202B38"/>
                <w:sz w:val="17"/>
              </w:rPr>
              <w:t>Authentifier et notifier l'utilisateur</w:t>
            </w:r>
          </w:p>
        </w:tc>
        <w:tc>
          <w:tcPr>
            <w:tcW w:type="dxa" w:w="1757"/>
            <w:shd w:fill="F4F7FA"/>
          </w:tcPr>
          <w:p>
            <w:pPr>
              <w:spacing w:after="40" w:before="40"/>
            </w:pPr>
            <w:r/>
            <w:r>
              <w:rPr>
                <w:rFonts w:ascii="Arial" w:hAnsi="Arial"/>
                <w:i w:val="0"/>
                <w:color w:val="202B38"/>
                <w:sz w:val="17"/>
              </w:rPr>
              <w:t>Exécution du contrat</w:t>
            </w:r>
          </w:p>
        </w:tc>
        <w:tc>
          <w:tcPr>
            <w:tcW w:type="dxa" w:w="2835"/>
            <w:shd w:fill="F4F7FA"/>
          </w:tcPr>
          <w:p>
            <w:pPr>
              <w:spacing w:after="40" w:before="40"/>
            </w:pPr>
            <w:r/>
            <w:r>
              <w:rPr>
                <w:rFonts w:ascii="Arial" w:hAnsi="Arial"/>
                <w:i w:val="0"/>
                <w:color w:val="202B38"/>
                <w:sz w:val="17"/>
              </w:rPr>
              <w:t>Durée du compte + 1 an</w:t>
            </w:r>
          </w:p>
        </w:tc>
      </w:tr>
      <w:tr>
        <w:trPr>
          <w:cantSplit/>
        </w:trPr>
        <w:tc>
          <w:tcPr>
            <w:tcW w:type="dxa" w:w="1871"/>
          </w:tcPr>
          <w:p>
            <w:pPr>
              <w:spacing w:after="40" w:before="40"/>
            </w:pPr>
            <w:r/>
            <w:r>
              <w:rPr>
                <w:rFonts w:ascii="Arial" w:hAnsi="Arial"/>
                <w:i w:val="0"/>
                <w:color w:val="202B38"/>
                <w:sz w:val="17"/>
              </w:rPr>
              <w:t>Empreinte du mot de passe</w:t>
            </w:r>
          </w:p>
        </w:tc>
        <w:tc>
          <w:tcPr>
            <w:tcW w:type="dxa" w:w="3175"/>
          </w:tcPr>
          <w:p>
            <w:pPr>
              <w:spacing w:after="40" w:before="40"/>
            </w:pPr>
            <w:r/>
            <w:r>
              <w:rPr>
                <w:rFonts w:ascii="Arial" w:hAnsi="Arial"/>
                <w:i w:val="0"/>
                <w:color w:val="202B38"/>
                <w:sz w:val="17"/>
              </w:rPr>
              <w:t>Authentifier l'utilisateur</w:t>
            </w:r>
          </w:p>
        </w:tc>
        <w:tc>
          <w:tcPr>
            <w:tcW w:type="dxa" w:w="1757"/>
          </w:tcPr>
          <w:p>
            <w:pPr>
              <w:spacing w:after="40" w:before="40"/>
            </w:pPr>
            <w:r/>
            <w:r>
              <w:rPr>
                <w:rFonts w:ascii="Arial" w:hAnsi="Arial"/>
                <w:i w:val="0"/>
                <w:color w:val="202B38"/>
                <w:sz w:val="17"/>
              </w:rPr>
              <w:t>Exécution du contrat</w:t>
            </w:r>
          </w:p>
        </w:tc>
        <w:tc>
          <w:tcPr>
            <w:tcW w:type="dxa" w:w="2835"/>
          </w:tcPr>
          <w:p>
            <w:pPr>
              <w:spacing w:after="40" w:before="40"/>
            </w:pPr>
            <w:r/>
            <w:r>
              <w:rPr>
                <w:rFonts w:ascii="Arial" w:hAnsi="Arial"/>
                <w:i w:val="0"/>
                <w:color w:val="202B38"/>
                <w:sz w:val="17"/>
              </w:rPr>
              <w:t>Supprimée avec le compte</w:t>
            </w:r>
          </w:p>
        </w:tc>
      </w:tr>
      <w:tr>
        <w:trPr>
          <w:cantSplit/>
        </w:trPr>
        <w:tc>
          <w:tcPr>
            <w:tcW w:type="dxa" w:w="1871"/>
            <w:shd w:fill="F4F7FA"/>
          </w:tcPr>
          <w:p>
            <w:pPr>
              <w:spacing w:after="40" w:before="40"/>
            </w:pPr>
            <w:r/>
            <w:r>
              <w:rPr>
                <w:rFonts w:ascii="Arial" w:hAnsi="Arial"/>
                <w:i w:val="0"/>
                <w:color w:val="202B38"/>
                <w:sz w:val="17"/>
              </w:rPr>
              <w:t>Rôle et organisation</w:t>
            </w:r>
          </w:p>
        </w:tc>
        <w:tc>
          <w:tcPr>
            <w:tcW w:type="dxa" w:w="3175"/>
            <w:shd w:fill="F4F7FA"/>
          </w:tcPr>
          <w:p>
            <w:pPr>
              <w:spacing w:after="40" w:before="40"/>
            </w:pPr>
            <w:r/>
            <w:r>
              <w:rPr>
                <w:rFonts w:ascii="Arial" w:hAnsi="Arial"/>
                <w:i w:val="0"/>
                <w:color w:val="202B38"/>
                <w:sz w:val="17"/>
              </w:rPr>
              <w:t>Déterminer les droits d'accès</w:t>
            </w:r>
          </w:p>
        </w:tc>
        <w:tc>
          <w:tcPr>
            <w:tcW w:type="dxa" w:w="1757"/>
            <w:shd w:fill="F4F7FA"/>
          </w:tcPr>
          <w:p>
            <w:pPr>
              <w:spacing w:after="40" w:before="40"/>
            </w:pPr>
            <w:r/>
            <w:r>
              <w:rPr>
                <w:rFonts w:ascii="Arial" w:hAnsi="Arial"/>
                <w:i w:val="0"/>
                <w:color w:val="202B38"/>
                <w:sz w:val="17"/>
              </w:rPr>
              <w:t>Intérêt légitime</w:t>
            </w:r>
          </w:p>
        </w:tc>
        <w:tc>
          <w:tcPr>
            <w:tcW w:type="dxa" w:w="2835"/>
            <w:shd w:fill="F4F7FA"/>
          </w:tcPr>
          <w:p>
            <w:pPr>
              <w:spacing w:after="40" w:before="40"/>
            </w:pPr>
            <w:r/>
            <w:r>
              <w:rPr>
                <w:rFonts w:ascii="Arial" w:hAnsi="Arial"/>
                <w:i w:val="0"/>
                <w:color w:val="202B38"/>
                <w:sz w:val="17"/>
              </w:rPr>
              <w:t>Durée du compte</w:t>
            </w:r>
          </w:p>
        </w:tc>
      </w:tr>
      <w:tr>
        <w:trPr>
          <w:cantSplit/>
        </w:trPr>
        <w:tc>
          <w:tcPr>
            <w:tcW w:type="dxa" w:w="1871"/>
          </w:tcPr>
          <w:p>
            <w:pPr>
              <w:spacing w:after="40" w:before="40"/>
            </w:pPr>
            <w:r/>
            <w:r>
              <w:rPr>
                <w:rFonts w:ascii="Arial" w:hAnsi="Arial"/>
                <w:i w:val="0"/>
                <w:color w:val="202B38"/>
                <w:sz w:val="17"/>
              </w:rPr>
              <w:t>Historique des actions</w:t>
            </w:r>
          </w:p>
        </w:tc>
        <w:tc>
          <w:tcPr>
            <w:tcW w:type="dxa" w:w="3175"/>
          </w:tcPr>
          <w:p>
            <w:pPr>
              <w:spacing w:after="40" w:before="40"/>
            </w:pPr>
            <w:r/>
            <w:r>
              <w:rPr>
                <w:rFonts w:ascii="Arial" w:hAnsi="Arial"/>
                <w:i w:val="0"/>
                <w:color w:val="202B38"/>
                <w:sz w:val="17"/>
              </w:rPr>
              <w:t>Tracer les modifications, servir de preuve</w:t>
            </w:r>
          </w:p>
        </w:tc>
        <w:tc>
          <w:tcPr>
            <w:tcW w:type="dxa" w:w="1757"/>
          </w:tcPr>
          <w:p>
            <w:pPr>
              <w:spacing w:after="40" w:before="40"/>
            </w:pPr>
            <w:r/>
            <w:r>
              <w:rPr>
                <w:rFonts w:ascii="Arial" w:hAnsi="Arial"/>
                <w:i w:val="0"/>
                <w:color w:val="202B38"/>
                <w:sz w:val="17"/>
              </w:rPr>
              <w:t>Intérêt légitime</w:t>
            </w:r>
          </w:p>
        </w:tc>
        <w:tc>
          <w:tcPr>
            <w:tcW w:type="dxa" w:w="2835"/>
          </w:tcPr>
          <w:p>
            <w:pPr>
              <w:spacing w:after="40" w:before="40"/>
            </w:pPr>
            <w:r/>
            <w:r>
              <w:rPr>
                <w:rFonts w:ascii="Arial" w:hAnsi="Arial"/>
                <w:i w:val="0"/>
                <w:color w:val="202B38"/>
                <w:sz w:val="17"/>
              </w:rPr>
              <w:t>3 ans</w:t>
            </w:r>
          </w:p>
        </w:tc>
      </w:tr>
      <w:tr>
        <w:trPr>
          <w:cantSplit/>
        </w:trPr>
        <w:tc>
          <w:tcPr>
            <w:tcW w:type="dxa" w:w="1871"/>
            <w:shd w:fill="F4F7FA"/>
          </w:tcPr>
          <w:p>
            <w:pPr>
              <w:spacing w:after="40" w:before="40"/>
            </w:pPr>
            <w:r/>
            <w:r>
              <w:rPr>
                <w:rFonts w:ascii="Arial" w:hAnsi="Arial"/>
                <w:i w:val="0"/>
                <w:color w:val="202B38"/>
                <w:sz w:val="17"/>
              </w:rPr>
              <w:t>Contenu des anomalies</w:t>
            </w:r>
          </w:p>
        </w:tc>
        <w:tc>
          <w:tcPr>
            <w:tcW w:type="dxa" w:w="3175"/>
            <w:shd w:fill="F4F7FA"/>
          </w:tcPr>
          <w:p>
            <w:pPr>
              <w:spacing w:after="40" w:before="40"/>
            </w:pPr>
            <w:r/>
            <w:r>
              <w:rPr>
                <w:rFonts w:ascii="Arial" w:hAnsi="Arial"/>
                <w:i w:val="0"/>
                <w:color w:val="202B38"/>
                <w:sz w:val="17"/>
              </w:rPr>
              <w:t>Assurer le traitement de l'incident</w:t>
            </w:r>
          </w:p>
        </w:tc>
        <w:tc>
          <w:tcPr>
            <w:tcW w:type="dxa" w:w="1757"/>
            <w:shd w:fill="F4F7FA"/>
          </w:tcPr>
          <w:p>
            <w:pPr>
              <w:spacing w:after="40" w:before="40"/>
            </w:pPr>
            <w:r/>
            <w:r>
              <w:rPr>
                <w:rFonts w:ascii="Arial" w:hAnsi="Arial"/>
                <w:i w:val="0"/>
                <w:color w:val="202B38"/>
                <w:sz w:val="17"/>
              </w:rPr>
              <w:t>Exécution du contrat</w:t>
            </w:r>
          </w:p>
        </w:tc>
        <w:tc>
          <w:tcPr>
            <w:tcW w:type="dxa" w:w="2835"/>
            <w:shd w:fill="F4F7FA"/>
          </w:tcPr>
          <w:p>
            <w:pPr>
              <w:spacing w:after="40" w:before="40"/>
            </w:pPr>
            <w:r/>
            <w:r>
              <w:rPr>
                <w:rFonts w:ascii="Arial" w:hAnsi="Arial"/>
                <w:i w:val="0"/>
                <w:color w:val="202B38"/>
                <w:sz w:val="17"/>
              </w:rPr>
              <w:t>Clôture + 2 ans</w:t>
            </w:r>
          </w:p>
        </w:tc>
      </w:tr>
      <w:tr>
        <w:trPr>
          <w:cantSplit/>
        </w:trPr>
        <w:tc>
          <w:tcPr>
            <w:tcW w:type="dxa" w:w="1871"/>
          </w:tcPr>
          <w:p>
            <w:pPr>
              <w:spacing w:after="40" w:before="40"/>
            </w:pPr>
            <w:r/>
            <w:r>
              <w:rPr>
                <w:rFonts w:ascii="Arial" w:hAnsi="Arial"/>
                <w:i w:val="0"/>
                <w:color w:val="202B38"/>
                <w:sz w:val="17"/>
              </w:rPr>
              <w:t>Pièces jointes</w:t>
            </w:r>
          </w:p>
        </w:tc>
        <w:tc>
          <w:tcPr>
            <w:tcW w:type="dxa" w:w="3175"/>
          </w:tcPr>
          <w:p>
            <w:pPr>
              <w:spacing w:after="40" w:before="40"/>
            </w:pPr>
            <w:r/>
            <w:r>
              <w:rPr>
                <w:rFonts w:ascii="Arial" w:hAnsi="Arial"/>
                <w:i w:val="0"/>
                <w:color w:val="202B38"/>
                <w:sz w:val="17"/>
              </w:rPr>
              <w:t>Diagnostiquer l'incident</w:t>
            </w:r>
          </w:p>
        </w:tc>
        <w:tc>
          <w:tcPr>
            <w:tcW w:type="dxa" w:w="1757"/>
          </w:tcPr>
          <w:p>
            <w:pPr>
              <w:spacing w:after="40" w:before="40"/>
            </w:pPr>
            <w:r/>
            <w:r>
              <w:rPr>
                <w:rFonts w:ascii="Arial" w:hAnsi="Arial"/>
                <w:i w:val="0"/>
                <w:color w:val="202B38"/>
                <w:sz w:val="17"/>
              </w:rPr>
              <w:t>Exécution du contrat</w:t>
            </w:r>
          </w:p>
        </w:tc>
        <w:tc>
          <w:tcPr>
            <w:tcW w:type="dxa" w:w="2835"/>
          </w:tcPr>
          <w:p>
            <w:pPr>
              <w:spacing w:after="40" w:before="40"/>
            </w:pPr>
            <w:r/>
            <w:r>
              <w:rPr>
                <w:rFonts w:ascii="Arial" w:hAnsi="Arial"/>
                <w:i w:val="0"/>
                <w:color w:val="202B38"/>
                <w:sz w:val="17"/>
              </w:rPr>
              <w:t>Clôture + 2 ans</w:t>
            </w:r>
          </w:p>
        </w:tc>
      </w:tr>
    </w:tbl>
    <w:p>
      <w:pPr>
        <w:spacing w:after="0"/>
      </w:pPr>
    </w:p>
    <w:p>
      <w:pPr>
        <w:keepNext/>
        <w:spacing w:before="180" w:after="60"/>
      </w:pPr>
      <w:r>
        <w:rPr>
          <w:rFonts w:ascii="Arial" w:hAnsi="Arial"/>
          <w:b/>
          <w:color w:val="163658"/>
          <w:sz w:val="25"/>
        </w:rPr>
        <w:t>6.2 Mesures de protection en place</w:t>
      </w:r>
    </w:p>
    <w:p>
      <w:pPr>
        <w:spacing w:after="40"/>
        <w:ind w:left="397" w:hanging="198"/>
      </w:pPr>
      <w:r>
        <w:rPr>
          <w:rFonts w:ascii="Arial" w:hAnsi="Arial"/>
          <w:i w:val="0"/>
          <w:color w:val="202B38"/>
          <w:sz w:val="21"/>
        </w:rPr>
        <w:t xml:space="preserve">•  </w:t>
      </w:r>
      <w:r>
        <w:rPr>
          <w:rFonts w:ascii="Arial" w:hAnsi="Arial"/>
          <w:b/>
          <w:i w:val="0"/>
          <w:color w:val="202B38"/>
          <w:sz w:val="21"/>
        </w:rPr>
        <w:t>Minimisation</w:t>
      </w:r>
      <w:r>
        <w:rPr>
          <w:rFonts w:ascii="Arial" w:hAnsi="Arial"/>
          <w:i w:val="0"/>
          <w:color w:val="202B38"/>
          <w:sz w:val="21"/>
        </w:rPr>
        <w:t xml:space="preserve"> : aucune donnée non nécessaire n'est demandée — ni date de naissance, ni adresse postale, ni numéro de téléphone.</w:t>
      </w:r>
    </w:p>
    <w:p>
      <w:pPr>
        <w:spacing w:after="40"/>
        <w:ind w:left="397" w:hanging="198"/>
      </w:pPr>
      <w:r>
        <w:rPr>
          <w:rFonts w:ascii="Arial" w:hAnsi="Arial"/>
          <w:i w:val="0"/>
          <w:color w:val="202B38"/>
          <w:sz w:val="21"/>
        </w:rPr>
        <w:t xml:space="preserve">•  </w:t>
      </w:r>
      <w:r>
        <w:rPr>
          <w:rFonts w:ascii="Arial" w:hAnsi="Arial"/>
          <w:b/>
          <w:i w:val="0"/>
          <w:color w:val="202B38"/>
          <w:sz w:val="21"/>
        </w:rPr>
        <w:t>Confidentialité des secrets</w:t>
      </w:r>
      <w:r>
        <w:rPr>
          <w:rFonts w:ascii="Arial" w:hAnsi="Arial"/>
          <w:i w:val="0"/>
          <w:color w:val="202B38"/>
          <w:sz w:val="21"/>
        </w:rPr>
        <w:t xml:space="preserve"> : les mots de passe ne sont jamais stockés en clair ni renvoyés par l'API ; seule leur empreinte BCrypt est conservée.</w:t>
      </w:r>
    </w:p>
    <w:p>
      <w:pPr>
        <w:spacing w:after="40"/>
        <w:ind w:left="397" w:hanging="198"/>
      </w:pPr>
      <w:r>
        <w:rPr>
          <w:rFonts w:ascii="Arial" w:hAnsi="Arial"/>
          <w:i w:val="0"/>
          <w:color w:val="202B38"/>
          <w:sz w:val="21"/>
        </w:rPr>
        <w:t xml:space="preserve">•  </w:t>
      </w:r>
      <w:r>
        <w:rPr>
          <w:rFonts w:ascii="Arial" w:hAnsi="Arial"/>
          <w:b/>
          <w:i w:val="0"/>
          <w:color w:val="202B38"/>
          <w:sz w:val="21"/>
        </w:rPr>
        <w:t>Cloisonnement</w:t>
      </w:r>
      <w:r>
        <w:rPr>
          <w:rFonts w:ascii="Arial" w:hAnsi="Arial"/>
          <w:i w:val="0"/>
          <w:color w:val="202B38"/>
          <w:sz w:val="21"/>
        </w:rPr>
        <w:t xml:space="preserve"> : les données personnelles d'une organisation sont inaccessibles aux membres d'une autre, par construction.</w:t>
      </w:r>
    </w:p>
    <w:p>
      <w:pPr>
        <w:spacing w:after="40"/>
        <w:ind w:left="397" w:hanging="198"/>
      </w:pPr>
      <w:r>
        <w:rPr>
          <w:rFonts w:ascii="Arial" w:hAnsi="Arial"/>
          <w:i w:val="0"/>
          <w:color w:val="202B38"/>
          <w:sz w:val="21"/>
        </w:rPr>
        <w:t xml:space="preserve">•  </w:t>
      </w:r>
      <w:r>
        <w:rPr>
          <w:rFonts w:ascii="Arial" w:hAnsi="Arial"/>
          <w:b/>
          <w:i w:val="0"/>
          <w:color w:val="202B38"/>
          <w:sz w:val="21"/>
        </w:rPr>
        <w:t>Exactitude</w:t>
      </w:r>
      <w:r>
        <w:rPr>
          <w:rFonts w:ascii="Arial" w:hAnsi="Arial"/>
          <w:i w:val="0"/>
          <w:color w:val="202B38"/>
          <w:sz w:val="21"/>
        </w:rPr>
        <w:t xml:space="preserve"> : chaque utilisateur peut corriger lui-même son nom, son prénom et son adresse via son profil.</w:t>
      </w:r>
    </w:p>
    <w:p>
      <w:pPr>
        <w:spacing w:after="40"/>
        <w:ind w:left="397" w:hanging="198"/>
      </w:pPr>
      <w:r>
        <w:rPr>
          <w:rFonts w:ascii="Arial" w:hAnsi="Arial"/>
          <w:i w:val="0"/>
          <w:color w:val="202B38"/>
          <w:sz w:val="21"/>
        </w:rPr>
        <w:t xml:space="preserve">•  </w:t>
      </w:r>
      <w:r>
        <w:rPr>
          <w:rFonts w:ascii="Arial" w:hAnsi="Arial"/>
          <w:b/>
          <w:i w:val="0"/>
          <w:color w:val="202B38"/>
          <w:sz w:val="21"/>
        </w:rPr>
        <w:t>Traçabilité</w:t>
      </w:r>
      <w:r>
        <w:rPr>
          <w:rFonts w:ascii="Arial" w:hAnsi="Arial"/>
          <w:i w:val="0"/>
          <w:color w:val="202B38"/>
          <w:sz w:val="21"/>
        </w:rPr>
        <w:t xml:space="preserve"> : l'historique conserve l'auteur et la date de chaque modification, ce qui permet de répondre à une demande d'explication.</w:t>
      </w:r>
    </w:p>
    <w:p>
      <w:pPr>
        <w:keepNext/>
        <w:spacing w:before="180" w:after="60"/>
      </w:pPr>
      <w:r>
        <w:rPr>
          <w:rFonts w:ascii="Arial" w:hAnsi="Arial"/>
          <w:b/>
          <w:color w:val="163658"/>
          <w:sz w:val="25"/>
        </w:rPr>
        <w:t>6.3 Écarts de conformité</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droits des personnes non outillés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L'API n'expose aucune opération permettant à un utilisateur d'exporter ses données dans un format réutilisable (droit à la portabilité) ni d'en demander l'effacement (droit à l'oubli). La suppression d'un compte par un administrateur n'est pas documentée quant à son effet sur les anomalies déclarées. </w:t>
      </w:r>
      <w:r>
        <w:rPr>
          <w:rFonts w:ascii="Arial" w:hAnsi="Arial"/>
          <w:b/>
          <w:i w:val="0"/>
          <w:color w:val="202B38"/>
          <w:sz w:val="19"/>
        </w:rPr>
        <w:t>Mesure proposée :</w:t>
      </w:r>
      <w:r>
        <w:rPr>
          <w:rFonts w:ascii="Arial" w:hAnsi="Arial"/>
          <w:i w:val="0"/>
          <w:color w:val="202B38"/>
          <w:sz w:val="19"/>
        </w:rPr>
        <w:t xml:space="preserve"> une opération d'export au format JSON, et une procédure d'anonymisation — remplacement du nom et de l'adresse par une mention « utilisateur supprimé » — préférable à une suppression pure, qui ferait perdre la cohérence de l'historique.</w:t>
      </w:r>
    </w:p>
    <w:p>
      <w:pPr>
        <w:spacing w:after="0"/>
      </w:pP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durées de conservation non appliquées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Les durées figurant au tableau 6.1 sont des propositions : aucun mécanisme de purge automatique n'existe. Les données sont conservées sans limite. </w:t>
      </w:r>
      <w:r>
        <w:rPr>
          <w:rFonts w:ascii="Arial" w:hAnsi="Arial"/>
          <w:b/>
          <w:i w:val="0"/>
          <w:color w:val="202B38"/>
          <w:sz w:val="19"/>
        </w:rPr>
        <w:t>Mesure proposée :</w:t>
      </w:r>
      <w:r>
        <w:rPr>
          <w:rFonts w:ascii="Arial" w:hAnsi="Arial"/>
          <w:i w:val="0"/>
          <w:color w:val="202B38"/>
          <w:sz w:val="19"/>
        </w:rPr>
        <w:t xml:space="preserve"> une tâche planifiée mensuelle appliquant les durées retenues, assortie d'un journal des suppressions effectuées.</w:t>
      </w:r>
    </w:p>
    <w:p>
      <w:pPr>
        <w:spacing w:after="0"/>
      </w:pPr>
    </w:p>
    <w:p>
      <w:pPr>
        <w:spacing w:after="80"/>
        <w:jc w:val="both"/>
      </w:pPr>
      <w:r>
        <w:rPr>
          <w:rFonts w:ascii="Arial" w:hAnsi="Arial"/>
          <w:i w:val="0"/>
          <w:color w:val="202B38"/>
          <w:sz w:val="21"/>
        </w:rPr>
        <w:t>Un troisième point relève de l'organisation plus que de la technique : l'information des personnes. Une politique de confidentialité accessible depuis l'interface, précisant les finalités, les durées et les modalités d'exercice des droits, reste à rédiger.</w:t>
      </w:r>
    </w:p>
    <w:p>
      <w:pPr>
        <w:keepNext/>
        <w:spacing w:before="300" w:after="100"/>
        <w:pBdr>
          <w:bottom w:val="single" w:sz="4" w:space="3" w:color="C8D4E2"/>
        </w:pBdr>
      </w:pPr>
      <w:r>
        <w:rPr>
          <w:rFonts w:ascii="Arial" w:hAnsi="Arial"/>
          <w:b/>
          <w:color w:val="163658"/>
          <w:sz w:val="32"/>
        </w:rPr>
        <w:t>7. Sécurité des échanges et de la configuration</w:t>
      </w:r>
    </w:p>
    <w:p>
      <w:pPr>
        <w:keepNext/>
        <w:spacing w:before="180" w:after="60"/>
      </w:pPr>
      <w:r>
        <w:rPr>
          <w:rFonts w:ascii="Arial" w:hAnsi="Arial"/>
          <w:b/>
          <w:color w:val="163658"/>
          <w:sz w:val="25"/>
        </w:rPr>
        <w:t>7.1 Chiffrement du transport</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l'application n'impose pas HTTPS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La configuration du serveur n'active aucun certificat TLS : l'API est servie en HTTP. Or le jeton JWT circule dans chaque requête, et le mot de passe transite en clair lors de la connexion. Sur un réseau non maîtrisé, une écoute passive suffit à les capturer. C'est, avec l'absence de limitation du débit, le risque le plus élevé identifié.</w:t>
      </w:r>
    </w:p>
    <w:p>
      <w:pPr>
        <w:spacing w:after="0"/>
      </w:pPr>
    </w:p>
    <w:p>
      <w:pPr>
        <w:spacing w:after="80"/>
        <w:jc w:val="both"/>
      </w:pPr>
      <w:r>
        <w:rPr>
          <w:rFonts w:ascii="Arial" w:hAnsi="Arial"/>
          <w:i w:val="0"/>
          <w:color w:val="202B38"/>
          <w:sz w:val="21"/>
        </w:rPr>
        <w:t>La mesure n'est pas coûteuse et relève du déploiement plutôt que du code. Trois dispositions sont proposées :</w:t>
      </w:r>
    </w:p>
    <w:p>
      <w:pPr>
        <w:spacing w:after="40"/>
        <w:ind w:left="397" w:hanging="198"/>
      </w:pPr>
      <w:r>
        <w:rPr>
          <w:rFonts w:ascii="Arial" w:hAnsi="Arial"/>
          <w:i w:val="0"/>
          <w:color w:val="202B38"/>
          <w:sz w:val="21"/>
        </w:rPr>
        <w:t xml:space="preserve">•  placer l'application derrière un </w:t>
      </w:r>
      <w:r>
        <w:rPr>
          <w:rFonts w:ascii="Arial" w:hAnsi="Arial"/>
          <w:b/>
          <w:i w:val="0"/>
          <w:color w:val="202B38"/>
          <w:sz w:val="21"/>
        </w:rPr>
        <w:t>terminateur TLS</w:t>
      </w:r>
      <w:r>
        <w:rPr>
          <w:rFonts w:ascii="Arial" w:hAnsi="Arial"/>
          <w:i w:val="0"/>
          <w:color w:val="202B38"/>
          <w:sz w:val="21"/>
        </w:rPr>
        <w:t xml:space="preserve"> (Nginx ou Traefik) muni d'un certificat Let's Encrypt renouvelé automatiquement ;</w:t>
      </w:r>
    </w:p>
    <w:p>
      <w:pPr>
        <w:spacing w:after="40"/>
        <w:ind w:left="397" w:hanging="198"/>
      </w:pPr>
      <w:r>
        <w:rPr>
          <w:rFonts w:ascii="Arial" w:hAnsi="Arial"/>
          <w:i w:val="0"/>
          <w:color w:val="202B38"/>
          <w:sz w:val="21"/>
        </w:rPr>
        <w:t xml:space="preserve">•  </w:t>
      </w:r>
      <w:r>
        <w:rPr>
          <w:rFonts w:ascii="Arial" w:hAnsi="Arial"/>
          <w:b/>
          <w:i w:val="0"/>
          <w:color w:val="202B38"/>
          <w:sz w:val="21"/>
        </w:rPr>
        <w:t>rediriger systématiquement</w:t>
      </w:r>
      <w:r>
        <w:rPr>
          <w:rFonts w:ascii="Arial" w:hAnsi="Arial"/>
          <w:i w:val="0"/>
          <w:color w:val="202B38"/>
          <w:sz w:val="21"/>
        </w:rPr>
        <w:t xml:space="preserve"> le trafic HTTP vers HTTPS ;</w:t>
      </w:r>
    </w:p>
    <w:p>
      <w:pPr>
        <w:spacing w:after="40"/>
        <w:ind w:left="397" w:hanging="198"/>
      </w:pPr>
      <w:r>
        <w:rPr>
          <w:rFonts w:ascii="Arial" w:hAnsi="Arial"/>
          <w:i w:val="0"/>
          <w:color w:val="202B38"/>
          <w:sz w:val="21"/>
        </w:rPr>
        <w:t xml:space="preserve">•  activer l'en-tête </w:t>
      </w:r>
      <w:r>
        <w:rPr>
          <w:rFonts w:ascii="Arial" w:hAnsi="Arial"/>
          <w:b/>
          <w:i w:val="0"/>
          <w:color w:val="202B38"/>
          <w:sz w:val="21"/>
        </w:rPr>
        <w:t>HSTS</w:t>
      </w:r>
      <w:r>
        <w:rPr>
          <w:rFonts w:ascii="Arial" w:hAnsi="Arial"/>
          <w:i w:val="0"/>
          <w:color w:val="202B38"/>
          <w:sz w:val="21"/>
        </w:rPr>
        <w:t xml:space="preserve"> (</w:t>
      </w:r>
      <w:r>
        <w:rPr>
          <w:rFonts w:ascii="Courier New" w:hAnsi="Courier New"/>
          <w:color w:val="1769AA"/>
          <w:sz w:val="18"/>
        </w:rPr>
        <w:t>Strict-Transport-Security</w:t>
      </w:r>
      <w:r>
        <w:rPr>
          <w:rFonts w:ascii="Arial" w:hAnsi="Arial"/>
          <w:i w:val="0"/>
          <w:color w:val="202B38"/>
          <w:sz w:val="21"/>
        </w:rPr>
        <w:t>), qui interdit au navigateur de retenter une connexion non chiffrée pendant la durée indiquée.</w:t>
      </w:r>
    </w:p>
    <w:p>
      <w:pPr>
        <w:spacing w:after="80"/>
        <w:jc w:val="both"/>
      </w:pPr>
      <w:r>
        <w:rPr>
          <w:rFonts w:ascii="Arial" w:hAnsi="Arial"/>
          <w:i w:val="0"/>
          <w:color w:val="202B38"/>
          <w:sz w:val="21"/>
        </w:rPr>
        <w:t>Il faut noter que HSTS n'a de sens qu'une fois HTTPS opérationnel : activé seul, il rendrait l'application inaccessible. L'ordre des opérations fait ici partie de la mesure.</w:t>
      </w:r>
    </w:p>
    <w:p>
      <w:pPr>
        <w:keepNext/>
        <w:spacing w:before="180" w:after="60"/>
      </w:pPr>
      <w:r>
        <w:rPr>
          <w:rFonts w:ascii="Arial" w:hAnsi="Arial"/>
          <w:b/>
          <w:color w:val="163658"/>
          <w:sz w:val="25"/>
        </w:rPr>
        <w:t>7.2 Partage des ressources entre origines (CORS)</w:t>
      </w:r>
    </w:p>
    <w:p>
      <w:pPr>
        <w:spacing w:after="80"/>
        <w:jc w:val="both"/>
      </w:pPr>
      <w:r>
        <w:rPr>
          <w:rFonts w:ascii="Arial" w:hAnsi="Arial"/>
          <w:i w:val="0"/>
          <w:color w:val="202B38"/>
          <w:sz w:val="21"/>
        </w:rPr>
        <w:t xml:space="preserve">Le client web étant servi depuis une origine distincte de l'API, une politique CORS est nécessaire. Elle est volontairement restrictive : les origines autorisées sont déclarées une à une dans la configuration et lues depuis l'environnement, les méthodes HTTP sont énumérées explicitement, et seuls deux en-têtes sont acceptés en requête. Le caractère générique </w:t>
      </w:r>
      <w:r>
        <w:rPr>
          <w:rFonts w:ascii="Courier New" w:hAnsi="Courier New"/>
          <w:color w:val="1769AA"/>
          <w:sz w:val="18"/>
        </w:rPr>
        <w:t>*</w:t>
      </w:r>
      <w:r>
        <w:rPr>
          <w:rFonts w:ascii="Arial" w:hAnsi="Arial"/>
          <w:i w:val="0"/>
          <w:color w:val="202B38"/>
          <w:sz w:val="21"/>
        </w:rPr>
        <w:t>, qui autoriserait n'importe quel site à appeler l'API avec les droits de l'utilisateur, n'est utilisé nulle part.</w:t>
      </w:r>
    </w:p>
    <w:p>
      <w:pPr>
        <w:keepNext/>
        <w:spacing w:before="180" w:after="60"/>
      </w:pPr>
      <w:r>
        <w:rPr>
          <w:rFonts w:ascii="Arial" w:hAnsi="Arial"/>
          <w:b/>
          <w:color w:val="163658"/>
          <w:sz w:val="25"/>
        </w:rPr>
        <w:t>7.3 Falsification de requête inter-site (CSRF)</w:t>
      </w:r>
    </w:p>
    <w:p>
      <w:pPr>
        <w:spacing w:after="80"/>
        <w:jc w:val="both"/>
      </w:pPr>
      <w:r>
        <w:rPr>
          <w:rFonts w:ascii="Arial" w:hAnsi="Arial"/>
          <w:i w:val="0"/>
          <w:color w:val="202B38"/>
          <w:sz w:val="21"/>
        </w:rPr>
        <w:t>La protection CSRF de Spring Security est désactivée. Ce point attire généralement l'attention d'un auditeur, et il mérite une justification explicite plutôt qu'une mention en passant.</w:t>
      </w:r>
    </w:p>
    <w:p>
      <w:pPr>
        <w:spacing w:after="80"/>
        <w:jc w:val="both"/>
      </w:pPr>
      <w:r>
        <w:rPr>
          <w:rFonts w:ascii="Arial" w:hAnsi="Arial"/>
          <w:i w:val="0"/>
          <w:color w:val="202B38"/>
          <w:sz w:val="21"/>
        </w:rPr>
        <w:t xml:space="preserve">Une attaque CSRF repose sur le fait que le navigateur joint </w:t>
      </w:r>
      <w:r>
        <w:rPr>
          <w:rFonts w:ascii="Arial" w:hAnsi="Arial"/>
          <w:b/>
          <w:i w:val="0"/>
          <w:color w:val="202B38"/>
          <w:sz w:val="21"/>
        </w:rPr>
        <w:t>automatiquement</w:t>
      </w:r>
      <w:r>
        <w:rPr>
          <w:rFonts w:ascii="Arial" w:hAnsi="Arial"/>
          <w:i w:val="0"/>
          <w:color w:val="202B38"/>
          <w:sz w:val="21"/>
        </w:rPr>
        <w:t xml:space="preserve"> les identifiants de session à une requête vers un domaine donné — typiquement un cookie. TrackIT n'utilise ni cookie d'authentification ni session serveur : le jeton doit être ajouté explicitement par le code JavaScript dans l'en-tête </w:t>
      </w:r>
      <w:r>
        <w:rPr>
          <w:rFonts w:ascii="Courier New" w:hAnsi="Courier New"/>
          <w:color w:val="1769AA"/>
          <w:sz w:val="18"/>
        </w:rPr>
        <w:t>Authorization</w:t>
      </w:r>
      <w:r>
        <w:rPr>
          <w:rFonts w:ascii="Arial" w:hAnsi="Arial"/>
          <w:i w:val="0"/>
          <w:color w:val="202B38"/>
          <w:sz w:val="21"/>
        </w:rPr>
        <w:t>. Un site tiers ne peut pas provoquer cet ajout. La condition même de l'attaque est donc absente, et maintenir la protection CSRF n'apporterait aucune sécurité supplémentaire tout en compliquant l'usage de l'API.</w:t>
      </w:r>
    </w:p>
    <w:p>
      <w:pPr>
        <w:spacing w:after="80"/>
        <w:jc w:val="both"/>
      </w:pPr>
      <w:r>
        <w:rPr>
          <w:rFonts w:ascii="Arial" w:hAnsi="Arial"/>
          <w:i w:val="0"/>
          <w:color w:val="202B38"/>
          <w:sz w:val="21"/>
        </w:rPr>
        <w:t xml:space="preserve">Cette justification cesserait d'être valable si une future version stockait le jeton dans un cookie. La décision est donc </w:t>
      </w:r>
      <w:r>
        <w:rPr>
          <w:rFonts w:ascii="Arial" w:hAnsi="Arial"/>
          <w:b/>
          <w:i w:val="0"/>
          <w:color w:val="202B38"/>
          <w:sz w:val="21"/>
        </w:rPr>
        <w:t>conditionnelle au modèle d'authentification</w:t>
      </w:r>
      <w:r>
        <w:rPr>
          <w:rFonts w:ascii="Arial" w:hAnsi="Arial"/>
          <w:i w:val="0"/>
          <w:color w:val="202B38"/>
          <w:sz w:val="21"/>
        </w:rPr>
        <w:t xml:space="preserve"> et devra être réexaminée si celui-ci évolue.</w:t>
      </w:r>
    </w:p>
    <w:p>
      <w:pPr>
        <w:keepNext/>
        <w:spacing w:before="180" w:after="60"/>
      </w:pPr>
      <w:r>
        <w:rPr>
          <w:rFonts w:ascii="Arial" w:hAnsi="Arial"/>
          <w:b/>
          <w:color w:val="163658"/>
          <w:sz w:val="25"/>
        </w:rPr>
        <w:t>7.4 En-têtes de sécurité</w:t>
      </w:r>
    </w:p>
    <w:tbl>
      <w:tblPr>
        <w:tblStyle w:val="TableGrid"/>
        <w:tblW w:type="auto" w:w="0"/>
        <w:jc w:val="center"/>
        <w:tblLayout w:type="fixed"/>
        <w:tblLook w:firstColumn="1" w:firstRow="1" w:lastColumn="0" w:lastRow="0" w:noHBand="0" w:noVBand="1" w:val="04A0"/>
        <w:tblLayout w:type="fixed"/>
      </w:tblPr>
      <w:tblGrid>
        <w:gridCol w:w="2608"/>
        <w:gridCol w:w="1361"/>
        <w:gridCol w:w="4195"/>
        <w:gridCol w:w="1474"/>
      </w:tblGrid>
      <w:tr>
        <w:trPr>
          <w:tblHeader w:val="true"/>
          <w:cantSplit/>
        </w:trPr>
        <w:tc>
          <w:tcPr>
            <w:tcW w:type="dxa" w:w="2608"/>
            <w:shd w:fill="163658"/>
          </w:tcPr>
          <w:p>
            <w:pPr>
              <w:spacing w:after="40" w:before="40"/>
            </w:pPr>
            <w:r/>
            <w:r>
              <w:rPr>
                <w:rFonts w:ascii="Arial" w:hAnsi="Arial"/>
                <w:b/>
                <w:color w:val="FFFFFF"/>
                <w:sz w:val="17"/>
              </w:rPr>
              <w:t>En-tête</w:t>
            </w:r>
          </w:p>
        </w:tc>
        <w:tc>
          <w:tcPr>
            <w:tcW w:type="dxa" w:w="1361"/>
            <w:shd w:fill="163658"/>
          </w:tcPr>
          <w:p>
            <w:pPr>
              <w:spacing w:after="40" w:before="40"/>
            </w:pPr>
            <w:r/>
            <w:r>
              <w:rPr>
                <w:rFonts w:ascii="Arial" w:hAnsi="Arial"/>
                <w:b/>
                <w:color w:val="FFFFFF"/>
                <w:sz w:val="17"/>
              </w:rPr>
              <w:t>Valeur</w:t>
            </w:r>
          </w:p>
        </w:tc>
        <w:tc>
          <w:tcPr>
            <w:tcW w:type="dxa" w:w="4195"/>
            <w:shd w:fill="163658"/>
          </w:tcPr>
          <w:p>
            <w:pPr>
              <w:spacing w:after="40" w:before="40"/>
            </w:pPr>
            <w:r/>
            <w:r>
              <w:rPr>
                <w:rFonts w:ascii="Arial" w:hAnsi="Arial"/>
                <w:b/>
                <w:color w:val="FFFFFF"/>
                <w:sz w:val="17"/>
              </w:rPr>
              <w:t>Effet</w:t>
            </w:r>
          </w:p>
        </w:tc>
        <w:tc>
          <w:tcPr>
            <w:tcW w:type="dxa" w:w="1474"/>
            <w:shd w:fill="163658"/>
          </w:tcPr>
          <w:p>
            <w:pPr>
              <w:spacing w:after="40" w:before="40"/>
            </w:pPr>
            <w:r/>
            <w:r>
              <w:rPr>
                <w:rFonts w:ascii="Arial" w:hAnsi="Arial"/>
                <w:b/>
                <w:color w:val="FFFFFF"/>
                <w:sz w:val="17"/>
              </w:rPr>
              <w:t>État</w:t>
            </w:r>
          </w:p>
        </w:tc>
      </w:tr>
      <w:tr>
        <w:trPr>
          <w:cantSplit/>
        </w:trPr>
        <w:tc>
          <w:tcPr>
            <w:tcW w:type="dxa" w:w="2608"/>
          </w:tcPr>
          <w:p>
            <w:pPr>
              <w:spacing w:after="40" w:before="40"/>
            </w:pPr>
            <w:r/>
            <w:r>
              <w:rPr>
                <w:rFonts w:ascii="Courier New" w:hAnsi="Courier New"/>
                <w:color w:val="1769AA"/>
                <w:sz w:val="14"/>
              </w:rPr>
              <w:t>X-Frame-Options</w:t>
            </w:r>
          </w:p>
        </w:tc>
        <w:tc>
          <w:tcPr>
            <w:tcW w:type="dxa" w:w="1361"/>
          </w:tcPr>
          <w:p>
            <w:pPr>
              <w:spacing w:after="40" w:before="40"/>
            </w:pPr>
            <w:r/>
            <w:r>
              <w:rPr>
                <w:rFonts w:ascii="Arial" w:hAnsi="Arial"/>
                <w:i w:val="0"/>
                <w:color w:val="202B38"/>
                <w:sz w:val="17"/>
              </w:rPr>
              <w:t>DENY</w:t>
            </w:r>
          </w:p>
        </w:tc>
        <w:tc>
          <w:tcPr>
            <w:tcW w:type="dxa" w:w="4195"/>
          </w:tcPr>
          <w:p>
            <w:pPr>
              <w:spacing w:after="40" w:before="40"/>
            </w:pPr>
            <w:r/>
            <w:r>
              <w:rPr>
                <w:rFonts w:ascii="Arial" w:hAnsi="Arial"/>
                <w:i w:val="0"/>
                <w:color w:val="202B38"/>
                <w:sz w:val="17"/>
              </w:rPr>
              <w:t>Interdit l'inclusion dans une iframe (clickjacking)</w:t>
            </w:r>
          </w:p>
        </w:tc>
        <w:tc>
          <w:tcPr>
            <w:tcW w:type="dxa" w:w="1474"/>
          </w:tcPr>
          <w:p>
            <w:pPr>
              <w:spacing w:after="40" w:before="40"/>
            </w:pPr>
            <w:r>
              <w:rPr>
                <w:b/>
              </w:rPr>
            </w:r>
            <w:r>
              <w:rPr>
                <w:rFonts w:ascii="Arial" w:hAnsi="Arial"/>
                <w:b/>
                <w:i w:val="0"/>
                <w:color w:val="237A53"/>
                <w:sz w:val="17"/>
              </w:rPr>
              <w:t>En place</w:t>
            </w:r>
          </w:p>
        </w:tc>
      </w:tr>
      <w:tr>
        <w:trPr>
          <w:cantSplit/>
        </w:trPr>
        <w:tc>
          <w:tcPr>
            <w:tcW w:type="dxa" w:w="2608"/>
            <w:shd w:fill="F4F7FA"/>
          </w:tcPr>
          <w:p>
            <w:pPr>
              <w:spacing w:after="40" w:before="40"/>
            </w:pPr>
            <w:r/>
            <w:r>
              <w:rPr>
                <w:rFonts w:ascii="Courier New" w:hAnsi="Courier New"/>
                <w:color w:val="1769AA"/>
                <w:sz w:val="14"/>
              </w:rPr>
              <w:t>X-Content-Type-Options</w:t>
            </w:r>
          </w:p>
        </w:tc>
        <w:tc>
          <w:tcPr>
            <w:tcW w:type="dxa" w:w="1361"/>
            <w:shd w:fill="F4F7FA"/>
          </w:tcPr>
          <w:p>
            <w:pPr>
              <w:spacing w:after="40" w:before="40"/>
            </w:pPr>
            <w:r/>
            <w:r>
              <w:rPr>
                <w:rFonts w:ascii="Arial" w:hAnsi="Arial"/>
                <w:i w:val="0"/>
                <w:color w:val="202B38"/>
                <w:sz w:val="17"/>
              </w:rPr>
              <w:t>nosniff</w:t>
            </w:r>
          </w:p>
        </w:tc>
        <w:tc>
          <w:tcPr>
            <w:tcW w:type="dxa" w:w="4195"/>
            <w:shd w:fill="F4F7FA"/>
          </w:tcPr>
          <w:p>
            <w:pPr>
              <w:spacing w:after="40" w:before="40"/>
            </w:pPr>
            <w:r/>
            <w:r>
              <w:rPr>
                <w:rFonts w:ascii="Arial" w:hAnsi="Arial"/>
                <w:i w:val="0"/>
                <w:color w:val="202B38"/>
                <w:sz w:val="17"/>
              </w:rPr>
              <w:t>Empêche le navigateur de deviner le type de contenu</w:t>
            </w:r>
          </w:p>
        </w:tc>
        <w:tc>
          <w:tcPr>
            <w:tcW w:type="dxa" w:w="1474"/>
            <w:shd w:fill="F4F7FA"/>
          </w:tcPr>
          <w:p>
            <w:pPr>
              <w:spacing w:after="40" w:before="40"/>
            </w:pPr>
            <w:r>
              <w:rPr>
                <w:b/>
              </w:rPr>
            </w:r>
            <w:r>
              <w:rPr>
                <w:rFonts w:ascii="Arial" w:hAnsi="Arial"/>
                <w:b/>
                <w:i w:val="0"/>
                <w:color w:val="237A53"/>
                <w:sz w:val="17"/>
              </w:rPr>
              <w:t>En place</w:t>
            </w:r>
          </w:p>
        </w:tc>
      </w:tr>
      <w:tr>
        <w:trPr>
          <w:cantSplit/>
        </w:trPr>
        <w:tc>
          <w:tcPr>
            <w:tcW w:type="dxa" w:w="2608"/>
          </w:tcPr>
          <w:p>
            <w:pPr>
              <w:spacing w:after="40" w:before="40"/>
            </w:pPr>
            <w:r/>
            <w:r>
              <w:rPr>
                <w:rFonts w:ascii="Courier New" w:hAnsi="Courier New"/>
                <w:color w:val="1769AA"/>
                <w:sz w:val="14"/>
              </w:rPr>
              <w:t>Cache-Control</w:t>
            </w:r>
          </w:p>
        </w:tc>
        <w:tc>
          <w:tcPr>
            <w:tcW w:type="dxa" w:w="1361"/>
          </w:tcPr>
          <w:p>
            <w:pPr>
              <w:spacing w:after="40" w:before="40"/>
            </w:pPr>
            <w:r/>
            <w:r>
              <w:rPr>
                <w:rFonts w:ascii="Arial" w:hAnsi="Arial"/>
                <w:i w:val="0"/>
                <w:color w:val="202B38"/>
                <w:sz w:val="17"/>
              </w:rPr>
              <w:t>no-store</w:t>
            </w:r>
          </w:p>
        </w:tc>
        <w:tc>
          <w:tcPr>
            <w:tcW w:type="dxa" w:w="4195"/>
          </w:tcPr>
          <w:p>
            <w:pPr>
              <w:spacing w:after="40" w:before="40"/>
            </w:pPr>
            <w:r/>
            <w:r>
              <w:rPr>
                <w:rFonts w:ascii="Arial" w:hAnsi="Arial"/>
                <w:i w:val="0"/>
                <w:color w:val="202B38"/>
                <w:sz w:val="17"/>
              </w:rPr>
              <w:t>Évite la mise en cache des réponses authentifiées</w:t>
            </w:r>
          </w:p>
        </w:tc>
        <w:tc>
          <w:tcPr>
            <w:tcW w:type="dxa" w:w="1474"/>
          </w:tcPr>
          <w:p>
            <w:pPr>
              <w:spacing w:after="40" w:before="40"/>
            </w:pPr>
            <w:r>
              <w:rPr>
                <w:b/>
              </w:rPr>
            </w:r>
            <w:r>
              <w:rPr>
                <w:rFonts w:ascii="Arial" w:hAnsi="Arial"/>
                <w:b/>
                <w:i w:val="0"/>
                <w:color w:val="237A53"/>
                <w:sz w:val="17"/>
              </w:rPr>
              <w:t>En place</w:t>
            </w:r>
          </w:p>
        </w:tc>
      </w:tr>
      <w:tr>
        <w:trPr>
          <w:cantSplit/>
        </w:trPr>
        <w:tc>
          <w:tcPr>
            <w:tcW w:type="dxa" w:w="2608"/>
            <w:shd w:fill="F4F7FA"/>
          </w:tcPr>
          <w:p>
            <w:pPr>
              <w:spacing w:after="40" w:before="40"/>
            </w:pPr>
            <w:r/>
            <w:r>
              <w:rPr>
                <w:rFonts w:ascii="Courier New" w:hAnsi="Courier New"/>
                <w:color w:val="1769AA"/>
                <w:sz w:val="14"/>
              </w:rPr>
              <w:t>Strict-Transport-Security</w:t>
            </w:r>
          </w:p>
        </w:tc>
        <w:tc>
          <w:tcPr>
            <w:tcW w:type="dxa" w:w="1361"/>
            <w:shd w:fill="F4F7FA"/>
          </w:tcPr>
          <w:p>
            <w:pPr>
              <w:spacing w:after="40" w:before="40"/>
            </w:pPr>
            <w:r/>
            <w:r>
              <w:rPr>
                <w:rFonts w:ascii="Arial" w:hAnsi="Arial"/>
                <w:i w:val="0"/>
                <w:color w:val="202B38"/>
                <w:sz w:val="17"/>
              </w:rPr>
              <w:t>—</w:t>
            </w:r>
          </w:p>
        </w:tc>
        <w:tc>
          <w:tcPr>
            <w:tcW w:type="dxa" w:w="4195"/>
            <w:shd w:fill="F4F7FA"/>
          </w:tcPr>
          <w:p>
            <w:pPr>
              <w:spacing w:after="40" w:before="40"/>
            </w:pPr>
            <w:r/>
            <w:r>
              <w:rPr>
                <w:rFonts w:ascii="Arial" w:hAnsi="Arial"/>
                <w:i w:val="0"/>
                <w:color w:val="202B38"/>
                <w:sz w:val="17"/>
              </w:rPr>
              <w:t>Impose HTTPS pour les visites suivantes</w:t>
            </w:r>
          </w:p>
        </w:tc>
        <w:tc>
          <w:tcPr>
            <w:tcW w:type="dxa" w:w="1474"/>
            <w:shd w:fill="F4F7FA"/>
          </w:tcPr>
          <w:p>
            <w:pPr>
              <w:spacing w:after="40" w:before="40"/>
            </w:pPr>
            <w:r>
              <w:rPr>
                <w:b/>
              </w:rPr>
            </w:r>
            <w:r>
              <w:rPr>
                <w:rFonts w:ascii="Arial" w:hAnsi="Arial"/>
                <w:b/>
                <w:i w:val="0"/>
                <w:color w:val="B42332"/>
                <w:sz w:val="17"/>
              </w:rPr>
              <w:t>Absent</w:t>
            </w:r>
          </w:p>
        </w:tc>
      </w:tr>
      <w:tr>
        <w:trPr>
          <w:cantSplit/>
        </w:trPr>
        <w:tc>
          <w:tcPr>
            <w:tcW w:type="dxa" w:w="2608"/>
          </w:tcPr>
          <w:p>
            <w:pPr>
              <w:spacing w:after="40" w:before="40"/>
            </w:pPr>
            <w:r/>
            <w:r>
              <w:rPr>
                <w:rFonts w:ascii="Courier New" w:hAnsi="Courier New"/>
                <w:color w:val="1769AA"/>
                <w:sz w:val="14"/>
              </w:rPr>
              <w:t>Content-Security-Policy</w:t>
            </w:r>
          </w:p>
        </w:tc>
        <w:tc>
          <w:tcPr>
            <w:tcW w:type="dxa" w:w="1361"/>
          </w:tcPr>
          <w:p>
            <w:pPr>
              <w:spacing w:after="40" w:before="40"/>
            </w:pPr>
            <w:r/>
            <w:r>
              <w:rPr>
                <w:rFonts w:ascii="Arial" w:hAnsi="Arial"/>
                <w:i w:val="0"/>
                <w:color w:val="202B38"/>
                <w:sz w:val="17"/>
              </w:rPr>
              <w:t>—</w:t>
            </w:r>
          </w:p>
        </w:tc>
        <w:tc>
          <w:tcPr>
            <w:tcW w:type="dxa" w:w="4195"/>
          </w:tcPr>
          <w:p>
            <w:pPr>
              <w:spacing w:after="40" w:before="40"/>
            </w:pPr>
            <w:r/>
            <w:r>
              <w:rPr>
                <w:rFonts w:ascii="Arial" w:hAnsi="Arial"/>
                <w:i w:val="0"/>
                <w:color w:val="202B38"/>
                <w:sz w:val="17"/>
              </w:rPr>
              <w:t>Restreint les sources de scripts exécutables</w:t>
            </w:r>
          </w:p>
        </w:tc>
        <w:tc>
          <w:tcPr>
            <w:tcW w:type="dxa" w:w="1474"/>
          </w:tcPr>
          <w:p>
            <w:pPr>
              <w:spacing w:after="40" w:before="40"/>
            </w:pPr>
            <w:r>
              <w:rPr>
                <w:b/>
              </w:rPr>
            </w:r>
            <w:r>
              <w:rPr>
                <w:rFonts w:ascii="Arial" w:hAnsi="Arial"/>
                <w:b/>
                <w:i w:val="0"/>
                <w:color w:val="B42332"/>
                <w:sz w:val="17"/>
              </w:rPr>
              <w:t>Absent</w:t>
            </w:r>
          </w:p>
        </w:tc>
      </w:tr>
    </w:tbl>
    <w:p>
      <w:pPr>
        <w:spacing w:after="0"/>
      </w:pPr>
    </w:p>
    <w:p>
      <w:pPr>
        <w:spacing w:after="80"/>
        <w:jc w:val="both"/>
      </w:pPr>
      <w:r>
        <w:rPr>
          <w:rFonts w:ascii="Arial" w:hAnsi="Arial"/>
          <w:i w:val="0"/>
          <w:color w:val="202B38"/>
          <w:sz w:val="21"/>
        </w:rPr>
        <w:t>Les trois premiers en-têtes proviennent des réglages par défaut de Spring Security et sont effectivement présents dans les réponses. Les deux derniers supposent une configuration explicite. Une politique CSP même minimale constituerait une seconde ligne de défense utile contre l'injection de script, en interdisant l'exécution de code provenant d'une origine non déclarée.</w:t>
      </w:r>
    </w:p>
    <w:p>
      <w:pPr>
        <w:keepNext/>
        <w:spacing w:before="180" w:after="60"/>
      </w:pPr>
      <w:r>
        <w:rPr>
          <w:rFonts w:ascii="Arial" w:hAnsi="Arial"/>
          <w:b/>
          <w:color w:val="163658"/>
          <w:sz w:val="25"/>
        </w:rPr>
        <w:t>7.5 Gestion des secrets</w:t>
      </w:r>
    </w:p>
    <w:p>
      <w:pPr>
        <w:spacing w:after="80"/>
        <w:jc w:val="both"/>
      </w:pPr>
      <w:r>
        <w:rPr>
          <w:rFonts w:ascii="Arial" w:hAnsi="Arial"/>
          <w:i w:val="0"/>
          <w:color w:val="202B38"/>
          <w:sz w:val="21"/>
        </w:rPr>
        <w:t xml:space="preserve">Aucun secret n'est inscrit dans le code source. Le mot de passe de la base, la clé de signature des jetons et les clés Stripe sont lus depuis l'environnement. Le fichier </w:t>
      </w:r>
      <w:r>
        <w:rPr>
          <w:rFonts w:ascii="Courier New" w:hAnsi="Courier New"/>
          <w:color w:val="1769AA"/>
          <w:sz w:val="18"/>
        </w:rPr>
        <w:t>.env</w:t>
      </w:r>
      <w:r>
        <w:rPr>
          <w:rFonts w:ascii="Arial" w:hAnsi="Arial"/>
          <w:i w:val="0"/>
          <w:color w:val="202B38"/>
          <w:sz w:val="21"/>
        </w:rPr>
        <w:t xml:space="preserve"> qui les porte est exclu du dépôt, et un </w:t>
      </w:r>
      <w:r>
        <w:rPr>
          <w:rFonts w:ascii="Courier New" w:hAnsi="Courier New"/>
          <w:color w:val="1769AA"/>
          <w:sz w:val="18"/>
        </w:rPr>
        <w:t>.env.example</w:t>
      </w:r>
      <w:r>
        <w:rPr>
          <w:rFonts w:ascii="Arial" w:hAnsi="Arial"/>
          <w:i w:val="0"/>
          <w:color w:val="202B38"/>
          <w:sz w:val="21"/>
        </w:rPr>
        <w:t xml:space="preserve"> documente les variables attendues avec des valeurs factices.</w:t>
      </w:r>
    </w:p>
    <w:p>
      <w:pPr>
        <w:spacing w:after="80"/>
        <w:jc w:val="both"/>
      </w:pPr>
      <w:r>
        <w:rPr>
          <w:rFonts w:ascii="Arial" w:hAnsi="Arial"/>
          <w:i w:val="0"/>
          <w:color w:val="202B38"/>
          <w:sz w:val="21"/>
        </w:rPr>
        <w:t xml:space="preserve">La configuration applique en outre une vérification au démarrage : la clé de signature est déclarée obligatoire et doit compter au moins 32 caractères. En son absence, l'application </w:t>
      </w:r>
      <w:r>
        <w:rPr>
          <w:rFonts w:ascii="Arial" w:hAnsi="Arial"/>
          <w:b/>
          <w:i w:val="0"/>
          <w:color w:val="202B38"/>
          <w:sz w:val="21"/>
        </w:rPr>
        <w:t>refuse de démarrer</w:t>
      </w:r>
      <w:r>
        <w:rPr>
          <w:rFonts w:ascii="Arial" w:hAnsi="Arial"/>
          <w:i w:val="0"/>
          <w:color w:val="202B38"/>
          <w:sz w:val="21"/>
        </w:rPr>
        <w:t xml:space="preserve"> plutôt que de se rabattre sur une valeur par défaut — c'est une application du principe d'échec sécurisé, et cela écarte le scénario classique d'une mise en production avec une clé de développement.</w:t>
      </w:r>
    </w:p>
    <w:p>
      <w:pPr>
        <w:keepNext/>
        <w:spacing w:before="160" w:after="40"/>
        <w:shd w:val="clear" w:fill="EAF4EC"/>
        <w:pBdr>
          <w:top w:val="single" w:sz="6" w:space="6" w:color="237A53"/>
          <w:left w:val="single" w:sz="6" w:space="8" w:color="237A53"/>
          <w:bottom w:val="nil" w:sz="6" w:space="6" w:color="237A53"/>
          <w:right w:val="single" w:sz="6" w:space="8" w:color="237A53"/>
        </w:pBdr>
        <w:ind w:left="142" w:right="142"/>
      </w:pPr>
      <w:r>
        <w:rPr>
          <w:rFonts w:ascii="Arial" w:hAnsi="Arial"/>
          <w:b/>
          <w:color w:val="237A53"/>
          <w:sz w:val="20"/>
        </w:rPr>
        <w:t>Vérification effectuée</w:t>
      </w:r>
    </w:p>
    <w:p>
      <w:pPr>
        <w:spacing w:after="120"/>
        <w:ind w:left="142" w:right="142"/>
        <w:jc w:val="both"/>
        <w:shd w:val="clear" w:fill="EAF4EC"/>
        <w:pBdr>
          <w:top w:val="nil" w:sz="6" w:space="6" w:color="237A53"/>
          <w:left w:val="single" w:sz="6" w:space="8" w:color="237A53"/>
          <w:bottom w:val="single" w:sz="6" w:space="6" w:color="237A53"/>
          <w:right w:val="single" w:sz="6" w:space="8" w:color="237A53"/>
        </w:pBdr>
      </w:pPr>
      <w:r>
        <w:rPr>
          <w:rFonts w:ascii="Arial" w:hAnsi="Arial"/>
          <w:i w:val="0"/>
          <w:color w:val="202B38"/>
          <w:sz w:val="19"/>
        </w:rPr>
        <w:t xml:space="preserve">Une recherche des valeurs du fichier </w:t>
      </w:r>
      <w:r>
        <w:rPr>
          <w:rFonts w:ascii="Courier New" w:hAnsi="Courier New"/>
          <w:color w:val="1769AA"/>
          <w:sz w:val="16"/>
        </w:rPr>
        <w:t>.env</w:t>
      </w:r>
      <w:r>
        <w:rPr>
          <w:rFonts w:ascii="Arial" w:hAnsi="Arial"/>
          <w:i w:val="0"/>
          <w:color w:val="202B38"/>
          <w:sz w:val="19"/>
        </w:rPr>
        <w:t xml:space="preserve"> dans l'ensemble des fichiers versionnés n'a révélé </w:t>
      </w:r>
      <w:r>
        <w:rPr>
          <w:rFonts w:ascii="Arial" w:hAnsi="Arial"/>
          <w:b/>
          <w:i w:val="0"/>
          <w:color w:val="202B38"/>
          <w:sz w:val="19"/>
        </w:rPr>
        <w:t>aucune recopie</w:t>
      </w:r>
      <w:r>
        <w:rPr>
          <w:rFonts w:ascii="Arial" w:hAnsi="Arial"/>
          <w:i w:val="0"/>
          <w:color w:val="202B38"/>
          <w:sz w:val="19"/>
        </w:rPr>
        <w:t xml:space="preserve"> du mot de passe de base ni de la clé de signature. Le dépôt peut être publié sans exposer de secret.</w:t>
      </w:r>
    </w:p>
    <w:p>
      <w:pPr>
        <w:spacing w:after="0"/>
      </w:pPr>
    </w:p>
    <w:p>
      <w:pPr>
        <w:keepNext/>
        <w:spacing w:before="180" w:after="60"/>
      </w:pPr>
      <w:r>
        <w:rPr>
          <w:rFonts w:ascii="Arial" w:hAnsi="Arial"/>
          <w:b/>
          <w:color w:val="163658"/>
          <w:sz w:val="25"/>
        </w:rPr>
        <w:t>7.6 Stockage de la session côté client</w:t>
      </w:r>
    </w:p>
    <w:p>
      <w:pPr>
        <w:spacing w:after="80"/>
        <w:jc w:val="both"/>
      </w:pPr>
      <w:r>
        <w:rPr>
          <w:rFonts w:ascii="Arial" w:hAnsi="Arial"/>
          <w:i w:val="0"/>
          <w:color w:val="202B38"/>
          <w:sz w:val="21"/>
        </w:rPr>
        <w:t xml:space="preserve">Le jeton est conservé dans </w:t>
      </w:r>
      <w:r>
        <w:rPr>
          <w:rFonts w:ascii="Courier New" w:hAnsi="Courier New"/>
          <w:color w:val="1769AA"/>
          <w:sz w:val="18"/>
        </w:rPr>
        <w:t>localStorage</w:t>
      </w:r>
      <w:r>
        <w:rPr>
          <w:rFonts w:ascii="Arial" w:hAnsi="Arial"/>
          <w:i w:val="0"/>
          <w:color w:val="202B38"/>
          <w:sz w:val="21"/>
        </w:rPr>
        <w:t xml:space="preserve"> ou </w:t>
      </w:r>
      <w:r>
        <w:rPr>
          <w:rFonts w:ascii="Courier New" w:hAnsi="Courier New"/>
          <w:color w:val="1769AA"/>
          <w:sz w:val="18"/>
        </w:rPr>
        <w:t>sessionStorage</w:t>
      </w:r>
      <w:r>
        <w:rPr>
          <w:rFonts w:ascii="Arial" w:hAnsi="Arial"/>
          <w:i w:val="0"/>
          <w:color w:val="202B38"/>
          <w:sz w:val="21"/>
        </w:rPr>
        <w:t xml:space="preserve"> selon que l'utilisateur a coché « Se souvenir de moi ». Ce stockage est lisible par tout script s'exécutant dans la page : en cas d'injection de script, le jeton peut être exfiltré.</w:t>
      </w:r>
    </w:p>
    <w:p>
      <w:pPr>
        <w:spacing w:after="80"/>
        <w:jc w:val="both"/>
      </w:pPr>
      <w:r>
        <w:rPr>
          <w:rFonts w:ascii="Arial" w:hAnsi="Arial"/>
          <w:i w:val="0"/>
          <w:color w:val="202B38"/>
          <w:sz w:val="21"/>
        </w:rPr>
        <w:t xml:space="preserve">Le risque est cependant </w:t>
      </w:r>
      <w:r>
        <w:rPr>
          <w:rFonts w:ascii="Arial" w:hAnsi="Arial"/>
          <w:b/>
          <w:i w:val="0"/>
          <w:color w:val="202B38"/>
          <w:sz w:val="21"/>
        </w:rPr>
        <w:t>contenu</w:t>
      </w:r>
      <w:r>
        <w:rPr>
          <w:rFonts w:ascii="Arial" w:hAnsi="Arial"/>
          <w:i w:val="0"/>
          <w:color w:val="202B38"/>
          <w:sz w:val="21"/>
        </w:rPr>
        <w:t xml:space="preserve">, parce que la condition préalable — une faille XSS — n'a pas été trouvée. Le client échappe systématiquement les données provenant du serveur avant insertion dans le HTML, au moyen d'une fonction d'échappement appliquée aux caractères </w:t>
      </w:r>
      <w:r>
        <w:rPr>
          <w:rFonts w:ascii="Courier New" w:hAnsi="Courier New"/>
          <w:color w:val="1769AA"/>
          <w:sz w:val="18"/>
        </w:rPr>
        <w:t>&amp;</w:t>
      </w:r>
      <w:r>
        <w:rPr>
          <w:rFonts w:ascii="Arial" w:hAnsi="Arial"/>
          <w:i w:val="0"/>
          <w:color w:val="202B38"/>
          <w:sz w:val="21"/>
        </w:rPr>
        <w:t xml:space="preserve">, </w:t>
      </w:r>
      <w:r>
        <w:rPr>
          <w:rFonts w:ascii="Courier New" w:hAnsi="Courier New"/>
          <w:color w:val="1769AA"/>
          <w:sz w:val="18"/>
        </w:rPr>
        <w:t>&lt;</w:t>
      </w:r>
      <w:r>
        <w:rPr>
          <w:rFonts w:ascii="Arial" w:hAnsi="Arial"/>
          <w:i w:val="0"/>
          <w:color w:val="202B38"/>
          <w:sz w:val="21"/>
        </w:rPr>
        <w:t xml:space="preserve">, </w:t>
      </w:r>
      <w:r>
        <w:rPr>
          <w:rFonts w:ascii="Courier New" w:hAnsi="Courier New"/>
          <w:color w:val="1769AA"/>
          <w:sz w:val="18"/>
        </w:rPr>
        <w:t>&gt;</w:t>
      </w:r>
      <w:r>
        <w:rPr>
          <w:rFonts w:ascii="Arial" w:hAnsi="Arial"/>
          <w:i w:val="0"/>
          <w:color w:val="202B38"/>
          <w:sz w:val="21"/>
        </w:rPr>
        <w:t xml:space="preserve">, </w:t>
      </w:r>
      <w:r>
        <w:rPr>
          <w:rFonts w:ascii="Courier New" w:hAnsi="Courier New"/>
          <w:color w:val="1769AA"/>
          <w:sz w:val="18"/>
        </w:rPr>
        <w:t>"</w:t>
      </w:r>
      <w:r>
        <w:rPr>
          <w:rFonts w:ascii="Arial" w:hAnsi="Arial"/>
          <w:i w:val="0"/>
          <w:color w:val="202B38"/>
          <w:sz w:val="21"/>
        </w:rPr>
        <w:t xml:space="preserve"> et </w:t>
      </w:r>
      <w:r>
        <w:rPr>
          <w:rFonts w:ascii="Courier New" w:hAnsi="Courier New"/>
          <w:color w:val="1769AA"/>
          <w:sz w:val="18"/>
        </w:rPr>
        <w:t>'</w:t>
      </w:r>
      <w:r>
        <w:rPr>
          <w:rFonts w:ascii="Arial" w:hAnsi="Arial"/>
          <w:i w:val="0"/>
          <w:color w:val="202B38"/>
          <w:sz w:val="21"/>
        </w:rPr>
        <w:t xml:space="preserve">. Les quelques interpolations qui ne l'appellent pas directement ont été examinées une à une : elles passent soit par un générateur de champ de formulaire qui échappe lui-même, soit par </w:t>
      </w:r>
      <w:r>
        <w:rPr>
          <w:rFonts w:ascii="Courier New" w:hAnsi="Courier New"/>
          <w:color w:val="1769AA"/>
          <w:sz w:val="18"/>
        </w:rPr>
        <w:t>textContent</w:t>
      </w:r>
      <w:r>
        <w:rPr>
          <w:rFonts w:ascii="Arial" w:hAnsi="Arial"/>
          <w:i w:val="0"/>
          <w:color w:val="202B38"/>
          <w:sz w:val="21"/>
        </w:rPr>
        <w:t>, soit par le titre de la page — aucune n'écrit de donnée utilisateur non échappée dans le document.</w:t>
      </w:r>
    </w:p>
    <w:p>
      <w:pPr>
        <w:spacing w:after="80"/>
        <w:jc w:val="both"/>
      </w:pPr>
      <w:r>
        <w:rPr>
          <w:rFonts w:ascii="Arial" w:hAnsi="Arial"/>
          <w:i w:val="0"/>
          <w:color w:val="202B38"/>
          <w:sz w:val="21"/>
        </w:rPr>
        <w:t xml:space="preserve">L'alternative la plus robuste resterait un cookie </w:t>
      </w:r>
      <w:r>
        <w:rPr>
          <w:rFonts w:ascii="Courier New" w:hAnsi="Courier New"/>
          <w:color w:val="1769AA"/>
          <w:sz w:val="18"/>
        </w:rPr>
        <w:t>HttpOnly</w:t>
      </w:r>
      <w:r>
        <w:rPr>
          <w:rFonts w:ascii="Arial" w:hAnsi="Arial"/>
          <w:i w:val="0"/>
          <w:color w:val="202B38"/>
          <w:sz w:val="21"/>
        </w:rPr>
        <w:t xml:space="preserve">, </w:t>
      </w:r>
      <w:r>
        <w:rPr>
          <w:rFonts w:ascii="Courier New" w:hAnsi="Courier New"/>
          <w:color w:val="1769AA"/>
          <w:sz w:val="18"/>
        </w:rPr>
        <w:t>Secure</w:t>
      </w:r>
      <w:r>
        <w:rPr>
          <w:rFonts w:ascii="Arial" w:hAnsi="Arial"/>
          <w:i w:val="0"/>
          <w:color w:val="202B38"/>
          <w:sz w:val="21"/>
        </w:rPr>
        <w:t xml:space="preserve"> et </w:t>
      </w:r>
      <w:r>
        <w:rPr>
          <w:rFonts w:ascii="Courier New" w:hAnsi="Courier New"/>
          <w:color w:val="1769AA"/>
          <w:sz w:val="18"/>
        </w:rPr>
        <w:t>SameSite</w:t>
      </w:r>
      <w:r>
        <w:rPr>
          <w:rFonts w:ascii="Arial" w:hAnsi="Arial"/>
          <w:i w:val="0"/>
          <w:color w:val="202B38"/>
          <w:sz w:val="21"/>
        </w:rPr>
        <w:t>, inaccessible au JavaScript ; elle imposerait en contrepartie de rétablir une protection CSRF. Le choix actuel est défendable tant que la discipline d'échappement est maintenue : c'est un point de vigilance pour toute évolution du client.</w:t>
      </w:r>
    </w:p>
    <w:p>
      <w:pPr>
        <w:keepNext/>
        <w:spacing w:before="300" w:after="100"/>
        <w:pBdr>
          <w:bottom w:val="single" w:sz="4" w:space="3" w:color="C8D4E2"/>
        </w:pBdr>
      </w:pPr>
      <w:r>
        <w:rPr>
          <w:rFonts w:ascii="Arial" w:hAnsi="Arial"/>
          <w:b/>
          <w:color w:val="163658"/>
          <w:sz w:val="32"/>
        </w:rPr>
        <w:t>8. Sécurité des pièces jointes</w:t>
      </w:r>
    </w:p>
    <w:p>
      <w:pPr>
        <w:spacing w:after="80"/>
        <w:jc w:val="both"/>
      </w:pPr>
      <w:r>
        <w:rPr>
          <w:rFonts w:ascii="Arial" w:hAnsi="Arial"/>
          <w:i w:val="0"/>
          <w:color w:val="202B38"/>
          <w:sz w:val="21"/>
        </w:rPr>
        <w:t>Le dépôt de fichiers est l'une des fonctions les plus exposées d'une application web : elle accepte des données arbitraires et les écrit sur le serveur. Les contrôles implémentés sont détaillés ci-dessous, avec leurs limites.</w:t>
      </w:r>
    </w:p>
    <w:tbl>
      <w:tblPr>
        <w:tblStyle w:val="TableGrid"/>
        <w:tblW w:type="auto" w:w="0"/>
        <w:jc w:val="center"/>
        <w:tblLayout w:type="fixed"/>
        <w:tblLook w:firstColumn="1" w:firstRow="1" w:lastColumn="0" w:lastRow="0" w:noHBand="0" w:noVBand="1" w:val="04A0"/>
        <w:tblLayout w:type="fixed"/>
      </w:tblPr>
      <w:tblGrid>
        <w:gridCol w:w="1928"/>
        <w:gridCol w:w="4082"/>
        <w:gridCol w:w="3628"/>
      </w:tblGrid>
      <w:tr>
        <w:trPr>
          <w:tblHeader w:val="true"/>
          <w:cantSplit/>
        </w:trPr>
        <w:tc>
          <w:tcPr>
            <w:tcW w:type="dxa" w:w="1928"/>
            <w:shd w:fill="163658"/>
          </w:tcPr>
          <w:p>
            <w:pPr>
              <w:spacing w:after="40" w:before="40"/>
            </w:pPr>
            <w:r/>
            <w:r>
              <w:rPr>
                <w:rFonts w:ascii="Arial" w:hAnsi="Arial"/>
                <w:b/>
                <w:color w:val="FFFFFF"/>
                <w:sz w:val="17"/>
              </w:rPr>
              <w:t>Contrôle</w:t>
            </w:r>
          </w:p>
        </w:tc>
        <w:tc>
          <w:tcPr>
            <w:tcW w:type="dxa" w:w="4082"/>
            <w:shd w:fill="163658"/>
          </w:tcPr>
          <w:p>
            <w:pPr>
              <w:spacing w:after="40" w:before="40"/>
            </w:pPr>
            <w:r/>
            <w:r>
              <w:rPr>
                <w:rFonts w:ascii="Arial" w:hAnsi="Arial"/>
                <w:b/>
                <w:color w:val="FFFFFF"/>
                <w:sz w:val="17"/>
              </w:rPr>
              <w:t>Mise en œuvre</w:t>
            </w:r>
          </w:p>
        </w:tc>
        <w:tc>
          <w:tcPr>
            <w:tcW w:type="dxa" w:w="3628"/>
            <w:shd w:fill="163658"/>
          </w:tcPr>
          <w:p>
            <w:pPr>
              <w:spacing w:after="40" w:before="40"/>
            </w:pPr>
            <w:r/>
            <w:r>
              <w:rPr>
                <w:rFonts w:ascii="Arial" w:hAnsi="Arial"/>
                <w:b/>
                <w:color w:val="FFFFFF"/>
                <w:sz w:val="17"/>
              </w:rPr>
              <w:t>Appréciation</w:t>
            </w:r>
          </w:p>
        </w:tc>
      </w:tr>
      <w:tr>
        <w:trPr>
          <w:cantSplit/>
        </w:trPr>
        <w:tc>
          <w:tcPr>
            <w:tcW w:type="dxa" w:w="1928"/>
          </w:tcPr>
          <w:p>
            <w:pPr>
              <w:spacing w:after="40" w:before="40"/>
            </w:pPr>
            <w:r/>
            <w:r>
              <w:rPr>
                <w:rFonts w:ascii="Arial" w:hAnsi="Arial"/>
                <w:i w:val="0"/>
                <w:color w:val="202B38"/>
                <w:sz w:val="17"/>
              </w:rPr>
              <w:t>Extensions autorisées</w:t>
            </w:r>
          </w:p>
        </w:tc>
        <w:tc>
          <w:tcPr>
            <w:tcW w:type="dxa" w:w="4082"/>
          </w:tcPr>
          <w:p>
            <w:pPr>
              <w:spacing w:after="40" w:before="40"/>
            </w:pPr>
            <w:r/>
            <w:r>
              <w:rPr>
                <w:rFonts w:ascii="Arial" w:hAnsi="Arial"/>
                <w:i w:val="0"/>
                <w:color w:val="202B38"/>
                <w:sz w:val="17"/>
              </w:rPr>
              <w:t>Liste blanche de 13 formats (pdf, png, jpg, jpeg, gif, txt, log, csv, json, xml, docx, xlsx, zip) ; tout autre format est refusé</w:t>
            </w:r>
          </w:p>
        </w:tc>
        <w:tc>
          <w:tcPr>
            <w:tcW w:type="dxa" w:w="3628"/>
          </w:tcPr>
          <w:p>
            <w:pPr>
              <w:spacing w:after="40" w:before="40"/>
            </w:pPr>
            <w:r/>
            <w:r>
              <w:rPr>
                <w:rFonts w:ascii="Arial" w:hAnsi="Arial"/>
                <w:i w:val="0"/>
                <w:color w:val="202B38"/>
                <w:sz w:val="17"/>
              </w:rPr>
              <w:t>Liste blanche plutôt que liste noire : approche correcte</w:t>
            </w:r>
          </w:p>
        </w:tc>
      </w:tr>
      <w:tr>
        <w:trPr>
          <w:cantSplit/>
        </w:trPr>
        <w:tc>
          <w:tcPr>
            <w:tcW w:type="dxa" w:w="1928"/>
            <w:shd w:fill="F4F7FA"/>
          </w:tcPr>
          <w:p>
            <w:pPr>
              <w:spacing w:after="40" w:before="40"/>
            </w:pPr>
            <w:r/>
            <w:r>
              <w:rPr>
                <w:rFonts w:ascii="Arial" w:hAnsi="Arial"/>
                <w:i w:val="0"/>
                <w:color w:val="202B38"/>
                <w:sz w:val="17"/>
              </w:rPr>
              <w:t>Taille maximale</w:t>
            </w:r>
          </w:p>
        </w:tc>
        <w:tc>
          <w:tcPr>
            <w:tcW w:type="dxa" w:w="4082"/>
            <w:shd w:fill="F4F7FA"/>
          </w:tcPr>
          <w:p>
            <w:pPr>
              <w:spacing w:after="40" w:before="40"/>
            </w:pPr>
            <w:r/>
            <w:r>
              <w:rPr>
                <w:rFonts w:ascii="Arial" w:hAnsi="Arial"/>
                <w:i w:val="0"/>
                <w:color w:val="202B38"/>
                <w:sz w:val="17"/>
              </w:rPr>
              <w:t>10 Mo par fichier, contrôlés à deux niveaux : conteneur web et couche métier</w:t>
            </w:r>
          </w:p>
        </w:tc>
        <w:tc>
          <w:tcPr>
            <w:tcW w:type="dxa" w:w="3628"/>
            <w:shd w:fill="F4F7FA"/>
          </w:tcPr>
          <w:p>
            <w:pPr>
              <w:spacing w:after="40" w:before="40"/>
            </w:pPr>
            <w:r/>
            <w:r>
              <w:rPr>
                <w:rFonts w:ascii="Arial" w:hAnsi="Arial"/>
                <w:i w:val="0"/>
                <w:color w:val="202B38"/>
                <w:sz w:val="17"/>
              </w:rPr>
              <w:t>Double contrôle : une requête volumineuse est rejetée avant d'être lue entièrement</w:t>
            </w:r>
          </w:p>
        </w:tc>
      </w:tr>
      <w:tr>
        <w:trPr>
          <w:cantSplit/>
        </w:trPr>
        <w:tc>
          <w:tcPr>
            <w:tcW w:type="dxa" w:w="1928"/>
          </w:tcPr>
          <w:p>
            <w:pPr>
              <w:spacing w:after="40" w:before="40"/>
            </w:pPr>
            <w:r/>
            <w:r>
              <w:rPr>
                <w:rFonts w:ascii="Arial" w:hAnsi="Arial"/>
                <w:i w:val="0"/>
                <w:color w:val="202B38"/>
                <w:sz w:val="17"/>
              </w:rPr>
              <w:t>Nom de fichier</w:t>
            </w:r>
          </w:p>
        </w:tc>
        <w:tc>
          <w:tcPr>
            <w:tcW w:type="dxa" w:w="4082"/>
          </w:tcPr>
          <w:p>
            <w:pPr>
              <w:spacing w:after="40" w:before="40"/>
            </w:pPr>
            <w:r/>
            <w:r>
              <w:rPr>
                <w:rFonts w:ascii="Arial" w:hAnsi="Arial"/>
                <w:i w:val="0"/>
                <w:color w:val="202B38"/>
                <w:sz w:val="17"/>
              </w:rPr>
              <w:t>Chemin retiré, caractères spéciaux remplacés, longueur plafonnée à 150 caractères, noms commençant par un point refusés</w:t>
            </w:r>
          </w:p>
        </w:tc>
        <w:tc>
          <w:tcPr>
            <w:tcW w:type="dxa" w:w="3628"/>
          </w:tcPr>
          <w:p>
            <w:pPr>
              <w:spacing w:after="40" w:before="40"/>
            </w:pPr>
            <w:r/>
            <w:r>
              <w:rPr>
                <w:rFonts w:ascii="Arial" w:hAnsi="Arial"/>
                <w:i w:val="0"/>
                <w:color w:val="202B38"/>
                <w:sz w:val="17"/>
              </w:rPr>
              <w:t>Neutralise les noms conçus pour écraser un fichier existant</w:t>
            </w:r>
          </w:p>
        </w:tc>
      </w:tr>
      <w:tr>
        <w:trPr>
          <w:cantSplit/>
        </w:trPr>
        <w:tc>
          <w:tcPr>
            <w:tcW w:type="dxa" w:w="1928"/>
            <w:shd w:fill="F4F7FA"/>
          </w:tcPr>
          <w:p>
            <w:pPr>
              <w:spacing w:after="40" w:before="40"/>
            </w:pPr>
            <w:r/>
            <w:r>
              <w:rPr>
                <w:rFonts w:ascii="Arial" w:hAnsi="Arial"/>
                <w:i w:val="0"/>
                <w:color w:val="202B38"/>
                <w:sz w:val="17"/>
              </w:rPr>
              <w:t>Traversée de répertoire</w:t>
            </w:r>
          </w:p>
        </w:tc>
        <w:tc>
          <w:tcPr>
            <w:tcW w:type="dxa" w:w="4082"/>
            <w:shd w:fill="F4F7FA"/>
          </w:tcPr>
          <w:p>
            <w:pPr>
              <w:spacing w:after="40" w:before="40"/>
            </w:pPr>
            <w:r/>
            <w:r>
              <w:rPr>
                <w:rFonts w:ascii="Arial" w:hAnsi="Arial"/>
                <w:i w:val="0"/>
                <w:color w:val="202B38"/>
                <w:sz w:val="17"/>
              </w:rPr>
              <w:t>Le chemin final est normalisé puis comparé au répertoire racine ; toute sortie est rejetée</w:t>
            </w:r>
          </w:p>
        </w:tc>
        <w:tc>
          <w:tcPr>
            <w:tcW w:type="dxa" w:w="3628"/>
            <w:shd w:fill="F4F7FA"/>
          </w:tcPr>
          <w:p>
            <w:pPr>
              <w:spacing w:after="40" w:before="40"/>
            </w:pPr>
            <w:r/>
            <w:r>
              <w:rPr>
                <w:rFonts w:ascii="Arial" w:hAnsi="Arial"/>
                <w:i w:val="0"/>
                <w:color w:val="202B38"/>
                <w:sz w:val="17"/>
              </w:rPr>
              <w:t xml:space="preserve">Protection explicite contre </w:t>
            </w:r>
            <w:r>
              <w:rPr>
                <w:rFonts w:ascii="Courier New" w:hAnsi="Courier New"/>
                <w:color w:val="1769AA"/>
                <w:sz w:val="14"/>
              </w:rPr>
              <w:t>../</w:t>
            </w:r>
            <w:r>
              <w:rPr>
                <w:rFonts w:ascii="Arial" w:hAnsi="Arial"/>
                <w:i w:val="0"/>
                <w:color w:val="202B38"/>
                <w:sz w:val="17"/>
              </w:rPr>
              <w:t xml:space="preserve"> ; mesure essentielle</w:t>
            </w:r>
          </w:p>
        </w:tc>
      </w:tr>
      <w:tr>
        <w:trPr>
          <w:cantSplit/>
        </w:trPr>
        <w:tc>
          <w:tcPr>
            <w:tcW w:type="dxa" w:w="1928"/>
          </w:tcPr>
          <w:p>
            <w:pPr>
              <w:spacing w:after="40" w:before="40"/>
            </w:pPr>
            <w:r/>
            <w:r>
              <w:rPr>
                <w:rFonts w:ascii="Arial" w:hAnsi="Arial"/>
                <w:i w:val="0"/>
                <w:color w:val="202B38"/>
                <w:sz w:val="17"/>
              </w:rPr>
              <w:t>Collision de noms</w:t>
            </w:r>
          </w:p>
        </w:tc>
        <w:tc>
          <w:tcPr>
            <w:tcW w:type="dxa" w:w="4082"/>
          </w:tcPr>
          <w:p>
            <w:pPr>
              <w:spacing w:after="40" w:before="40"/>
            </w:pPr>
            <w:r/>
            <w:r>
              <w:rPr>
                <w:rFonts w:ascii="Arial" w:hAnsi="Arial"/>
                <w:i w:val="0"/>
                <w:color w:val="202B38"/>
                <w:sz w:val="17"/>
              </w:rPr>
              <w:t>Chaque fichier est préfixé par un identifiant aléatoire unique</w:t>
            </w:r>
          </w:p>
        </w:tc>
        <w:tc>
          <w:tcPr>
            <w:tcW w:type="dxa" w:w="3628"/>
          </w:tcPr>
          <w:p>
            <w:pPr>
              <w:spacing w:after="40" w:before="40"/>
            </w:pPr>
            <w:r/>
            <w:r>
              <w:rPr>
                <w:rFonts w:ascii="Arial" w:hAnsi="Arial"/>
                <w:i w:val="0"/>
                <w:color w:val="202B38"/>
                <w:sz w:val="17"/>
              </w:rPr>
              <w:t>Deux fichiers homonymes ne peuvent pas s'écraser</w:t>
            </w:r>
          </w:p>
        </w:tc>
      </w:tr>
      <w:tr>
        <w:trPr>
          <w:cantSplit/>
        </w:trPr>
        <w:tc>
          <w:tcPr>
            <w:tcW w:type="dxa" w:w="1928"/>
            <w:shd w:fill="F4F7FA"/>
          </w:tcPr>
          <w:p>
            <w:pPr>
              <w:spacing w:after="40" w:before="40"/>
            </w:pPr>
            <w:r/>
            <w:r>
              <w:rPr>
                <w:rFonts w:ascii="Arial" w:hAnsi="Arial"/>
                <w:i w:val="0"/>
                <w:color w:val="202B38"/>
                <w:sz w:val="17"/>
              </w:rPr>
              <w:t>Type MIME enregistré</w:t>
            </w:r>
          </w:p>
        </w:tc>
        <w:tc>
          <w:tcPr>
            <w:tcW w:type="dxa" w:w="4082"/>
            <w:shd w:fill="F4F7FA"/>
          </w:tcPr>
          <w:p>
            <w:pPr>
              <w:spacing w:after="40" w:before="40"/>
            </w:pPr>
            <w:r/>
            <w:r>
              <w:rPr>
                <w:rFonts w:ascii="Arial" w:hAnsi="Arial"/>
                <w:i w:val="0"/>
                <w:color w:val="202B38"/>
                <w:sz w:val="17"/>
              </w:rPr>
              <w:t>Déterminé par le serveur à partir de la liste blanche, jamais repris de la requête</w:t>
            </w:r>
          </w:p>
        </w:tc>
        <w:tc>
          <w:tcPr>
            <w:tcW w:type="dxa" w:w="3628"/>
            <w:shd w:fill="F4F7FA"/>
          </w:tcPr>
          <w:p>
            <w:pPr>
              <w:spacing w:after="40" w:before="40"/>
            </w:pPr>
            <w:r/>
            <w:r>
              <w:rPr>
                <w:rFonts w:ascii="Arial" w:hAnsi="Arial"/>
                <w:i w:val="0"/>
                <w:color w:val="202B38"/>
                <w:sz w:val="17"/>
              </w:rPr>
              <w:t>Un client ne peut pas imposer un type trompeur</w:t>
            </w:r>
          </w:p>
        </w:tc>
      </w:tr>
      <w:tr>
        <w:trPr>
          <w:cantSplit/>
        </w:trPr>
        <w:tc>
          <w:tcPr>
            <w:tcW w:type="dxa" w:w="1928"/>
          </w:tcPr>
          <w:p>
            <w:pPr>
              <w:spacing w:after="40" w:before="40"/>
            </w:pPr>
            <w:r/>
            <w:r>
              <w:rPr>
                <w:rFonts w:ascii="Arial" w:hAnsi="Arial"/>
                <w:i w:val="0"/>
                <w:color w:val="202B38"/>
                <w:sz w:val="17"/>
              </w:rPr>
              <w:t>Contrôle d'accès au téléchargement</w:t>
            </w:r>
          </w:p>
        </w:tc>
        <w:tc>
          <w:tcPr>
            <w:tcW w:type="dxa" w:w="4082"/>
          </w:tcPr>
          <w:p>
            <w:pPr>
              <w:spacing w:after="40" w:before="40"/>
            </w:pPr>
            <w:r/>
            <w:r>
              <w:rPr>
                <w:rFonts w:ascii="Arial" w:hAnsi="Arial"/>
                <w:i w:val="0"/>
                <w:color w:val="202B38"/>
                <w:sz w:val="17"/>
              </w:rPr>
              <w:t>Les droits sur l'anomalie porteuse sont revérifiés avant toute lecture du fichier</w:t>
            </w:r>
          </w:p>
        </w:tc>
        <w:tc>
          <w:tcPr>
            <w:tcW w:type="dxa" w:w="3628"/>
          </w:tcPr>
          <w:p>
            <w:pPr>
              <w:spacing w:after="40" w:before="40"/>
            </w:pPr>
            <w:r/>
            <w:r>
              <w:rPr>
                <w:rFonts w:ascii="Arial" w:hAnsi="Arial"/>
                <w:i w:val="0"/>
                <w:color w:val="202B38"/>
                <w:sz w:val="17"/>
              </w:rPr>
              <w:t>Pas d'accès direct par l'URL seule</w:t>
            </w:r>
          </w:p>
        </w:tc>
      </w:tr>
    </w:tbl>
    <w:p>
      <w:pPr>
        <w:spacing w:after="0"/>
      </w:pP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Limites identifiées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Le type réel du fichier n'est pas vérifié : un exécutable renommé en </w:t>
      </w:r>
      <w:r>
        <w:rPr>
          <w:rFonts w:ascii="Courier New" w:hAnsi="Courier New"/>
          <w:color w:val="1769AA"/>
          <w:sz w:val="16"/>
        </w:rPr>
        <w:t>.png</w:t>
      </w:r>
      <w:r>
        <w:rPr>
          <w:rFonts w:ascii="Arial" w:hAnsi="Arial"/>
          <w:i w:val="0"/>
          <w:color w:val="202B38"/>
          <w:sz w:val="19"/>
        </w:rPr>
        <w:t xml:space="preserve"> est accepté. Aucune analyse antivirale n'est effectuée. Le format </w:t>
      </w:r>
      <w:r>
        <w:rPr>
          <w:rFonts w:ascii="Courier New" w:hAnsi="Courier New"/>
          <w:color w:val="1769AA"/>
          <w:sz w:val="16"/>
        </w:rPr>
        <w:t>zip</w:t>
      </w:r>
      <w:r>
        <w:rPr>
          <w:rFonts w:ascii="Arial" w:hAnsi="Arial"/>
          <w:i w:val="0"/>
          <w:color w:val="202B38"/>
          <w:sz w:val="19"/>
        </w:rPr>
        <w:t xml:space="preserve"> est autorisé sans inspection de son contenu, ce qui laisse place à une archive piégée. </w:t>
      </w:r>
      <w:r>
        <w:rPr>
          <w:rFonts w:ascii="Arial" w:hAnsi="Arial"/>
          <w:b/>
          <w:i w:val="0"/>
          <w:color w:val="202B38"/>
          <w:sz w:val="19"/>
        </w:rPr>
        <w:t>Mesures proposées :</w:t>
      </w:r>
      <w:r>
        <w:rPr>
          <w:rFonts w:ascii="Arial" w:hAnsi="Arial"/>
          <w:i w:val="0"/>
          <w:color w:val="202B38"/>
          <w:sz w:val="19"/>
        </w:rPr>
        <w:t xml:space="preserve"> contrôler les premiers octets du fichier pour confirmer le format annoncé, brancher une analyse antivirale sur le flux déposé, et servir les fichiers depuis un domaine distinct afin qu'un contenu malveillant ne s'exécute pas dans le contexte de l'application.</w:t>
      </w:r>
    </w:p>
    <w:p>
      <w:pPr>
        <w:spacing w:after="0"/>
      </w:pPr>
    </w:p>
    <w:p>
      <w:pPr>
        <w:spacing w:after="80"/>
        <w:jc w:val="both"/>
      </w:pPr>
      <w:r>
        <w:rPr>
          <w:rFonts w:ascii="Arial" w:hAnsi="Arial"/>
          <w:i w:val="0"/>
          <w:color w:val="202B38"/>
          <w:sz w:val="21"/>
        </w:rPr>
        <w:t>La gravité reste mesurée : les fichiers sont systématiquement servis en pièce jointe et ne sont jamais interprétés par le serveur. Un fichier piégé devrait être téléchargé puis ouvert volontairement par un utilisateur pour produire un effet.</w:t>
      </w:r>
    </w:p>
    <w:p>
      <w:pPr>
        <w:keepNext/>
        <w:spacing w:before="300" w:after="100"/>
        <w:pBdr>
          <w:bottom w:val="single" w:sz="4" w:space="3" w:color="C8D4E2"/>
        </w:pBdr>
      </w:pPr>
      <w:r>
        <w:rPr>
          <w:rFonts w:ascii="Arial" w:hAnsi="Arial"/>
          <w:b/>
          <w:color w:val="163658"/>
          <w:sz w:val="32"/>
        </w:rPr>
        <w:t>9. Journalisation et détection d'intrusion</w:t>
      </w:r>
    </w:p>
    <w:p>
      <w:pPr>
        <w:keepNext/>
        <w:spacing w:before="180" w:after="60"/>
      </w:pPr>
      <w:r>
        <w:rPr>
          <w:rFonts w:ascii="Arial" w:hAnsi="Arial"/>
          <w:b/>
          <w:color w:val="163658"/>
          <w:sz w:val="25"/>
        </w:rPr>
        <w:t>9.1 Traçabilité existante</w:t>
      </w:r>
    </w:p>
    <w:p>
      <w:pPr>
        <w:spacing w:after="80"/>
        <w:jc w:val="both"/>
      </w:pPr>
      <w:r>
        <w:rPr>
          <w:rFonts w:ascii="Arial" w:hAnsi="Arial"/>
          <w:i w:val="0"/>
          <w:color w:val="202B38"/>
          <w:sz w:val="21"/>
        </w:rPr>
        <w:t xml:space="preserve">TrackIT dispose d'une traçabilité </w:t>
      </w:r>
      <w:r>
        <w:rPr>
          <w:rFonts w:ascii="Arial" w:hAnsi="Arial"/>
          <w:b/>
          <w:i w:val="0"/>
          <w:color w:val="202B38"/>
          <w:sz w:val="21"/>
        </w:rPr>
        <w:t>fonctionnelle</w:t>
      </w:r>
      <w:r>
        <w:rPr>
          <w:rFonts w:ascii="Arial" w:hAnsi="Arial"/>
          <w:i w:val="0"/>
          <w:color w:val="202B38"/>
          <w:sz w:val="21"/>
        </w:rPr>
        <w:t xml:space="preserve"> solide. Chaque modification significative d'une anomalie — création, changement de statut, affectation, changement de priorité, ajout de pièce jointe — est enregistrée dans un historique horodaté et nominatif, consultable depuis la fiche. Les erreurs inattendues sont consignées côté serveur avec leur contexte, sans jamais être renvoyées au client.</w:t>
      </w:r>
    </w:p>
    <w:p>
      <w:pPr>
        <w:keepNext/>
        <w:spacing w:before="180" w:after="60"/>
      </w:pPr>
      <w:r>
        <w:rPr>
          <w:rFonts w:ascii="Arial" w:hAnsi="Arial"/>
          <w:b/>
          <w:color w:val="163658"/>
          <w:sz w:val="25"/>
        </w:rPr>
        <w:t>9.2 Écart : absence de journal de sécurité</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les événements de sécurité ne sont pas journalisés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L'historique trace ce que font les utilisateurs </w:t>
      </w:r>
      <w:r>
        <w:rPr>
          <w:rFonts w:ascii="Arial" w:hAnsi="Arial"/>
          <w:b/>
          <w:i w:val="0"/>
          <w:color w:val="202B38"/>
          <w:sz w:val="19"/>
        </w:rPr>
        <w:t>autorisés</w:t>
      </w:r>
      <w:r>
        <w:rPr>
          <w:rFonts w:ascii="Arial" w:hAnsi="Arial"/>
          <w:i w:val="0"/>
          <w:color w:val="202B38"/>
          <w:sz w:val="19"/>
        </w:rPr>
        <w:t xml:space="preserve"> sur les anomalies. Il ne trace pas les événements de sécurité : échecs de connexion, refus d'autorisation, tentatives d'accès à une ressource d'une autre organisation, jetons invalides. Ces événements sont précisément ceux qui signalent une attaque en cours. En l'état, une campagne de force brute ou une tentative méthodique d'élévation de privilège ne laisserait aucune trace exploitable.</w:t>
      </w:r>
    </w:p>
    <w:p>
      <w:pPr>
        <w:spacing w:after="0"/>
      </w:pPr>
    </w:p>
    <w:p>
      <w:pPr>
        <w:keepNext/>
        <w:spacing w:before="180" w:after="60"/>
      </w:pPr>
      <w:r>
        <w:rPr>
          <w:rFonts w:ascii="Arial" w:hAnsi="Arial"/>
          <w:b/>
          <w:color w:val="163658"/>
          <w:sz w:val="25"/>
        </w:rPr>
        <w:t>9.3 Système de détection d'intrusion proposé</w:t>
      </w:r>
    </w:p>
    <w:p>
      <w:pPr>
        <w:spacing w:after="80"/>
        <w:jc w:val="both"/>
      </w:pPr>
      <w:r>
        <w:rPr>
          <w:rFonts w:ascii="Arial" w:hAnsi="Arial"/>
          <w:i w:val="0"/>
          <w:color w:val="202B38"/>
          <w:sz w:val="21"/>
        </w:rPr>
        <w:t>La détection d'intrusion est abordée ici à deux niveaux. Le niveau réseau relève de l'hébergement : un outil tel que Fail2ban, branché sur les journaux du serveur frontal, bloque au niveau du pare-feu les adresses à l'origine de tentatives répétées. Le niveau applicatif, qui relève de TrackIT, repose sur un journal dédié et sur des règles de détection fondées sur des seuils.</w:t>
      </w:r>
    </w:p>
    <w:p>
      <w:pPr>
        <w:spacing w:after="80"/>
        <w:jc w:val="both"/>
      </w:pPr>
      <w:r>
        <w:rPr>
          <w:rFonts w:ascii="Arial" w:hAnsi="Arial"/>
          <w:i w:val="0"/>
          <w:color w:val="202B38"/>
          <w:sz w:val="21"/>
        </w:rPr>
        <w:t xml:space="preserve">Le préalable est un </w:t>
      </w:r>
      <w:r>
        <w:rPr>
          <w:rFonts w:ascii="Arial" w:hAnsi="Arial"/>
          <w:b/>
          <w:i w:val="0"/>
          <w:color w:val="202B38"/>
          <w:sz w:val="21"/>
        </w:rPr>
        <w:t>journal de sécurité distinct</w:t>
      </w:r>
      <w:r>
        <w:rPr>
          <w:rFonts w:ascii="Arial" w:hAnsi="Arial"/>
          <w:i w:val="0"/>
          <w:color w:val="202B38"/>
          <w:sz w:val="21"/>
        </w:rPr>
        <w:t xml:space="preserve"> du journal applicatif, où chaque entrée porte l'horodatage, le type d'événement, l'adresse IP, l'utilisateur concerné lorsqu'il est connu, la ressource visée et le résultat. Les règles suivantes sont proposées :</w:t>
      </w:r>
    </w:p>
    <w:tbl>
      <w:tblPr>
        <w:tblStyle w:val="TableGrid"/>
        <w:tblW w:type="auto" w:w="0"/>
        <w:jc w:val="center"/>
        <w:tblLayout w:type="fixed"/>
        <w:tblLook w:firstColumn="1" w:firstRow="1" w:lastColumn="0" w:lastRow="0" w:noHBand="0" w:noVBand="1" w:val="04A0"/>
        <w:tblLayout w:type="fixed"/>
      </w:tblPr>
      <w:tblGrid>
        <w:gridCol w:w="2835"/>
        <w:gridCol w:w="1247"/>
        <w:gridCol w:w="2835"/>
        <w:gridCol w:w="2721"/>
      </w:tblGrid>
      <w:tr>
        <w:trPr>
          <w:tblHeader w:val="true"/>
          <w:cantSplit/>
        </w:trPr>
        <w:tc>
          <w:tcPr>
            <w:tcW w:type="dxa" w:w="2835"/>
            <w:shd w:fill="163658"/>
          </w:tcPr>
          <w:p>
            <w:pPr>
              <w:spacing w:after="40" w:before="40"/>
            </w:pPr>
            <w:r/>
            <w:r>
              <w:rPr>
                <w:rFonts w:ascii="Arial" w:hAnsi="Arial"/>
                <w:b/>
                <w:color w:val="FFFFFF"/>
                <w:sz w:val="17"/>
              </w:rPr>
              <w:t>Événement détecté</w:t>
            </w:r>
          </w:p>
        </w:tc>
        <w:tc>
          <w:tcPr>
            <w:tcW w:type="dxa" w:w="1247"/>
            <w:shd w:fill="163658"/>
          </w:tcPr>
          <w:p>
            <w:pPr>
              <w:spacing w:after="40" w:before="40"/>
            </w:pPr>
            <w:r/>
            <w:r>
              <w:rPr>
                <w:rFonts w:ascii="Arial" w:hAnsi="Arial"/>
                <w:b/>
                <w:color w:val="FFFFFF"/>
                <w:sz w:val="17"/>
              </w:rPr>
              <w:t>Seuil</w:t>
            </w:r>
          </w:p>
        </w:tc>
        <w:tc>
          <w:tcPr>
            <w:tcW w:type="dxa" w:w="2835"/>
            <w:shd w:fill="163658"/>
          </w:tcPr>
          <w:p>
            <w:pPr>
              <w:spacing w:after="40" w:before="40"/>
            </w:pPr>
            <w:r/>
            <w:r>
              <w:rPr>
                <w:rFonts w:ascii="Arial" w:hAnsi="Arial"/>
                <w:b/>
                <w:color w:val="FFFFFF"/>
                <w:sz w:val="17"/>
              </w:rPr>
              <w:t>Interprétation</w:t>
            </w:r>
          </w:p>
        </w:tc>
        <w:tc>
          <w:tcPr>
            <w:tcW w:type="dxa" w:w="2721"/>
            <w:shd w:fill="163658"/>
          </w:tcPr>
          <w:p>
            <w:pPr>
              <w:spacing w:after="40" w:before="40"/>
            </w:pPr>
            <w:r/>
            <w:r>
              <w:rPr>
                <w:rFonts w:ascii="Arial" w:hAnsi="Arial"/>
                <w:b/>
                <w:color w:val="FFFFFF"/>
                <w:sz w:val="17"/>
              </w:rPr>
              <w:t>Réaction</w:t>
            </w:r>
          </w:p>
        </w:tc>
      </w:tr>
      <w:tr>
        <w:trPr>
          <w:cantSplit/>
        </w:trPr>
        <w:tc>
          <w:tcPr>
            <w:tcW w:type="dxa" w:w="2835"/>
          </w:tcPr>
          <w:p>
            <w:pPr>
              <w:spacing w:after="40" w:before="40"/>
            </w:pPr>
            <w:r/>
            <w:r>
              <w:rPr>
                <w:rFonts w:ascii="Arial" w:hAnsi="Arial"/>
                <w:i w:val="0"/>
                <w:color w:val="202B38"/>
                <w:sz w:val="17"/>
              </w:rPr>
              <w:t>Échecs de connexion sur un même compte</w:t>
            </w:r>
          </w:p>
        </w:tc>
        <w:tc>
          <w:tcPr>
            <w:tcW w:type="dxa" w:w="1247"/>
          </w:tcPr>
          <w:p>
            <w:pPr>
              <w:spacing w:after="40" w:before="40"/>
            </w:pPr>
            <w:r/>
            <w:r>
              <w:rPr>
                <w:rFonts w:ascii="Arial" w:hAnsi="Arial"/>
                <w:i w:val="0"/>
                <w:color w:val="202B38"/>
                <w:sz w:val="17"/>
              </w:rPr>
              <w:t>5 en 15 min</w:t>
            </w:r>
          </w:p>
        </w:tc>
        <w:tc>
          <w:tcPr>
            <w:tcW w:type="dxa" w:w="2835"/>
          </w:tcPr>
          <w:p>
            <w:pPr>
              <w:spacing w:after="40" w:before="40"/>
            </w:pPr>
            <w:r/>
            <w:r>
              <w:rPr>
                <w:rFonts w:ascii="Arial" w:hAnsi="Arial"/>
                <w:i w:val="0"/>
                <w:color w:val="202B38"/>
                <w:sz w:val="17"/>
              </w:rPr>
              <w:t>Tentative de deviner un mot de passe</w:t>
            </w:r>
          </w:p>
        </w:tc>
        <w:tc>
          <w:tcPr>
            <w:tcW w:type="dxa" w:w="2721"/>
          </w:tcPr>
          <w:p>
            <w:pPr>
              <w:spacing w:after="40" w:before="40"/>
            </w:pPr>
            <w:r/>
            <w:r>
              <w:rPr>
                <w:rFonts w:ascii="Arial" w:hAnsi="Arial"/>
                <w:i w:val="0"/>
                <w:color w:val="202B38"/>
                <w:sz w:val="17"/>
              </w:rPr>
              <w:t>Verrouillage temporaire + alerte</w:t>
            </w:r>
          </w:p>
        </w:tc>
      </w:tr>
      <w:tr>
        <w:trPr>
          <w:cantSplit/>
        </w:trPr>
        <w:tc>
          <w:tcPr>
            <w:tcW w:type="dxa" w:w="2835"/>
            <w:shd w:fill="F4F7FA"/>
          </w:tcPr>
          <w:p>
            <w:pPr>
              <w:spacing w:after="40" w:before="40"/>
            </w:pPr>
            <w:r/>
            <w:r>
              <w:rPr>
                <w:rFonts w:ascii="Arial" w:hAnsi="Arial"/>
                <w:i w:val="0"/>
                <w:color w:val="202B38"/>
                <w:sz w:val="17"/>
              </w:rPr>
              <w:t>Échecs de connexion depuis une même IP</w:t>
            </w:r>
          </w:p>
        </w:tc>
        <w:tc>
          <w:tcPr>
            <w:tcW w:type="dxa" w:w="1247"/>
            <w:shd w:fill="F4F7FA"/>
          </w:tcPr>
          <w:p>
            <w:pPr>
              <w:spacing w:after="40" w:before="40"/>
            </w:pPr>
            <w:r/>
            <w:r>
              <w:rPr>
                <w:rFonts w:ascii="Arial" w:hAnsi="Arial"/>
                <w:i w:val="0"/>
                <w:color w:val="202B38"/>
                <w:sz w:val="17"/>
              </w:rPr>
              <w:t>20 en 1 min</w:t>
            </w:r>
          </w:p>
        </w:tc>
        <w:tc>
          <w:tcPr>
            <w:tcW w:type="dxa" w:w="2835"/>
            <w:shd w:fill="F4F7FA"/>
          </w:tcPr>
          <w:p>
            <w:pPr>
              <w:spacing w:after="40" w:before="40"/>
            </w:pPr>
            <w:r/>
            <w:r>
              <w:rPr>
                <w:rFonts w:ascii="Arial" w:hAnsi="Arial"/>
                <w:i w:val="0"/>
                <w:color w:val="202B38"/>
                <w:sz w:val="17"/>
              </w:rPr>
              <w:t>Projection d'un mot de passe sur plusieurs comptes</w:t>
            </w:r>
          </w:p>
        </w:tc>
        <w:tc>
          <w:tcPr>
            <w:tcW w:type="dxa" w:w="2721"/>
            <w:shd w:fill="F4F7FA"/>
          </w:tcPr>
          <w:p>
            <w:pPr>
              <w:spacing w:after="40" w:before="40"/>
            </w:pPr>
            <w:r/>
            <w:r>
              <w:rPr>
                <w:rFonts w:ascii="Arial" w:hAnsi="Arial"/>
                <w:i w:val="0"/>
                <w:color w:val="202B38"/>
                <w:sz w:val="17"/>
              </w:rPr>
              <w:t>Blocage de l'adresse + alerte</w:t>
            </w:r>
          </w:p>
        </w:tc>
      </w:tr>
      <w:tr>
        <w:trPr>
          <w:cantSplit/>
        </w:trPr>
        <w:tc>
          <w:tcPr>
            <w:tcW w:type="dxa" w:w="2835"/>
          </w:tcPr>
          <w:p>
            <w:pPr>
              <w:spacing w:after="40" w:before="40"/>
            </w:pPr>
            <w:r/>
            <w:r>
              <w:rPr>
                <w:rFonts w:ascii="Arial" w:hAnsi="Arial"/>
                <w:i w:val="0"/>
                <w:color w:val="202B38"/>
                <w:sz w:val="17"/>
              </w:rPr>
              <w:t>Refus d'autorisation (403) par un compte</w:t>
            </w:r>
          </w:p>
        </w:tc>
        <w:tc>
          <w:tcPr>
            <w:tcW w:type="dxa" w:w="1247"/>
          </w:tcPr>
          <w:p>
            <w:pPr>
              <w:spacing w:after="40" w:before="40"/>
            </w:pPr>
            <w:r/>
            <w:r>
              <w:rPr>
                <w:rFonts w:ascii="Arial" w:hAnsi="Arial"/>
                <w:i w:val="0"/>
                <w:color w:val="202B38"/>
                <w:sz w:val="17"/>
              </w:rPr>
              <w:t>10 en 5 min</w:t>
            </w:r>
          </w:p>
        </w:tc>
        <w:tc>
          <w:tcPr>
            <w:tcW w:type="dxa" w:w="2835"/>
          </w:tcPr>
          <w:p>
            <w:pPr>
              <w:spacing w:after="40" w:before="40"/>
            </w:pPr>
            <w:r/>
            <w:r>
              <w:rPr>
                <w:rFonts w:ascii="Arial" w:hAnsi="Arial"/>
                <w:i w:val="0"/>
                <w:color w:val="202B38"/>
                <w:sz w:val="17"/>
              </w:rPr>
              <w:t>Exploration des droits, tentative d'élévation</w:t>
            </w:r>
          </w:p>
        </w:tc>
        <w:tc>
          <w:tcPr>
            <w:tcW w:type="dxa" w:w="2721"/>
          </w:tcPr>
          <w:p>
            <w:pPr>
              <w:spacing w:after="40" w:before="40"/>
            </w:pPr>
            <w:r/>
            <w:r>
              <w:rPr>
                <w:rFonts w:ascii="Arial" w:hAnsi="Arial"/>
                <w:i w:val="0"/>
                <w:color w:val="202B38"/>
                <w:sz w:val="17"/>
              </w:rPr>
              <w:t>Alerte à l'administrateur</w:t>
            </w:r>
          </w:p>
        </w:tc>
      </w:tr>
      <w:tr>
        <w:trPr>
          <w:cantSplit/>
        </w:trPr>
        <w:tc>
          <w:tcPr>
            <w:tcW w:type="dxa" w:w="2835"/>
            <w:shd w:fill="F4F7FA"/>
          </w:tcPr>
          <w:p>
            <w:pPr>
              <w:spacing w:after="40" w:before="40"/>
            </w:pPr>
            <w:r/>
            <w:r>
              <w:rPr>
                <w:rFonts w:ascii="Arial" w:hAnsi="Arial"/>
                <w:i w:val="0"/>
                <w:color w:val="202B38"/>
                <w:sz w:val="17"/>
              </w:rPr>
              <w:t>Accès refusés à d'autres organisations</w:t>
            </w:r>
          </w:p>
        </w:tc>
        <w:tc>
          <w:tcPr>
            <w:tcW w:type="dxa" w:w="1247"/>
            <w:shd w:fill="F4F7FA"/>
          </w:tcPr>
          <w:p>
            <w:pPr>
              <w:spacing w:after="40" w:before="40"/>
            </w:pPr>
            <w:r/>
            <w:r>
              <w:rPr>
                <w:rFonts w:ascii="Arial" w:hAnsi="Arial"/>
                <w:i w:val="0"/>
                <w:color w:val="202B38"/>
                <w:sz w:val="17"/>
              </w:rPr>
              <w:t>3 en 1 h</w:t>
            </w:r>
          </w:p>
        </w:tc>
        <w:tc>
          <w:tcPr>
            <w:tcW w:type="dxa" w:w="2835"/>
            <w:shd w:fill="F4F7FA"/>
          </w:tcPr>
          <w:p>
            <w:pPr>
              <w:spacing w:after="40" w:before="40"/>
            </w:pPr>
            <w:r/>
            <w:r>
              <w:rPr>
                <w:rFonts w:ascii="Arial" w:hAnsi="Arial"/>
                <w:i w:val="0"/>
                <w:color w:val="202B38"/>
                <w:sz w:val="17"/>
              </w:rPr>
              <w:t>Tentative de franchir le cloisonnement</w:t>
            </w:r>
          </w:p>
        </w:tc>
        <w:tc>
          <w:tcPr>
            <w:tcW w:type="dxa" w:w="2721"/>
            <w:shd w:fill="F4F7FA"/>
          </w:tcPr>
          <w:p>
            <w:pPr>
              <w:spacing w:after="40" w:before="40"/>
            </w:pPr>
            <w:r/>
            <w:r>
              <w:rPr>
                <w:rFonts w:ascii="Arial" w:hAnsi="Arial"/>
                <w:i w:val="0"/>
                <w:color w:val="202B38"/>
                <w:sz w:val="17"/>
              </w:rPr>
              <w:t>Alerte prioritaire + revue du compte</w:t>
            </w:r>
          </w:p>
        </w:tc>
      </w:tr>
      <w:tr>
        <w:trPr>
          <w:cantSplit/>
        </w:trPr>
        <w:tc>
          <w:tcPr>
            <w:tcW w:type="dxa" w:w="2835"/>
          </w:tcPr>
          <w:p>
            <w:pPr>
              <w:spacing w:after="40" w:before="40"/>
            </w:pPr>
            <w:r/>
            <w:r>
              <w:rPr>
                <w:rFonts w:ascii="Arial" w:hAnsi="Arial"/>
                <w:i w:val="0"/>
                <w:color w:val="202B38"/>
                <w:sz w:val="17"/>
              </w:rPr>
              <w:t>Jetons invalides ou falsifiés</w:t>
            </w:r>
          </w:p>
        </w:tc>
        <w:tc>
          <w:tcPr>
            <w:tcW w:type="dxa" w:w="1247"/>
          </w:tcPr>
          <w:p>
            <w:pPr>
              <w:spacing w:after="40" w:before="40"/>
            </w:pPr>
            <w:r/>
            <w:r>
              <w:rPr>
                <w:rFonts w:ascii="Arial" w:hAnsi="Arial"/>
                <w:i w:val="0"/>
                <w:color w:val="202B38"/>
                <w:sz w:val="17"/>
              </w:rPr>
              <w:t>5 en 10 min</w:t>
            </w:r>
          </w:p>
        </w:tc>
        <w:tc>
          <w:tcPr>
            <w:tcW w:type="dxa" w:w="2835"/>
          </w:tcPr>
          <w:p>
            <w:pPr>
              <w:spacing w:after="40" w:before="40"/>
            </w:pPr>
            <w:r/>
            <w:r>
              <w:rPr>
                <w:rFonts w:ascii="Arial" w:hAnsi="Arial"/>
                <w:i w:val="0"/>
                <w:color w:val="202B38"/>
                <w:sz w:val="17"/>
              </w:rPr>
              <w:t>Manipulation de jeton</w:t>
            </w:r>
          </w:p>
        </w:tc>
        <w:tc>
          <w:tcPr>
            <w:tcW w:type="dxa" w:w="2721"/>
          </w:tcPr>
          <w:p>
            <w:pPr>
              <w:spacing w:after="40" w:before="40"/>
            </w:pPr>
            <w:r/>
            <w:r>
              <w:rPr>
                <w:rFonts w:ascii="Arial" w:hAnsi="Arial"/>
                <w:i w:val="0"/>
                <w:color w:val="202B38"/>
                <w:sz w:val="17"/>
              </w:rPr>
              <w:t>Alerte</w:t>
            </w:r>
          </w:p>
        </w:tc>
      </w:tr>
      <w:tr>
        <w:trPr>
          <w:cantSplit/>
        </w:trPr>
        <w:tc>
          <w:tcPr>
            <w:tcW w:type="dxa" w:w="2835"/>
            <w:shd w:fill="F4F7FA"/>
          </w:tcPr>
          <w:p>
            <w:pPr>
              <w:spacing w:after="40" w:before="40"/>
            </w:pPr>
            <w:r/>
            <w:r>
              <w:rPr>
                <w:rFonts w:ascii="Arial" w:hAnsi="Arial"/>
                <w:i w:val="0"/>
                <w:color w:val="202B38"/>
                <w:sz w:val="17"/>
              </w:rPr>
              <w:t>Dépôts de fichiers refusés</w:t>
            </w:r>
          </w:p>
        </w:tc>
        <w:tc>
          <w:tcPr>
            <w:tcW w:type="dxa" w:w="1247"/>
            <w:shd w:fill="F4F7FA"/>
          </w:tcPr>
          <w:p>
            <w:pPr>
              <w:spacing w:after="40" w:before="40"/>
            </w:pPr>
            <w:r/>
            <w:r>
              <w:rPr>
                <w:rFonts w:ascii="Arial" w:hAnsi="Arial"/>
                <w:i w:val="0"/>
                <w:color w:val="202B38"/>
                <w:sz w:val="17"/>
              </w:rPr>
              <w:t>10 en 10 min</w:t>
            </w:r>
          </w:p>
        </w:tc>
        <w:tc>
          <w:tcPr>
            <w:tcW w:type="dxa" w:w="2835"/>
            <w:shd w:fill="F4F7FA"/>
          </w:tcPr>
          <w:p>
            <w:pPr>
              <w:spacing w:after="40" w:before="40"/>
            </w:pPr>
            <w:r/>
            <w:r>
              <w:rPr>
                <w:rFonts w:ascii="Arial" w:hAnsi="Arial"/>
                <w:i w:val="0"/>
                <w:color w:val="202B38"/>
                <w:sz w:val="17"/>
              </w:rPr>
              <w:t>Recherche d'une faille dans le filtrage</w:t>
            </w:r>
          </w:p>
        </w:tc>
        <w:tc>
          <w:tcPr>
            <w:tcW w:type="dxa" w:w="2721"/>
            <w:shd w:fill="F4F7FA"/>
          </w:tcPr>
          <w:p>
            <w:pPr>
              <w:spacing w:after="40" w:before="40"/>
            </w:pPr>
            <w:r/>
            <w:r>
              <w:rPr>
                <w:rFonts w:ascii="Arial" w:hAnsi="Arial"/>
                <w:i w:val="0"/>
                <w:color w:val="202B38"/>
                <w:sz w:val="17"/>
              </w:rPr>
              <w:t>Alerte</w:t>
            </w:r>
          </w:p>
        </w:tc>
      </w:tr>
      <w:tr>
        <w:trPr>
          <w:cantSplit/>
        </w:trPr>
        <w:tc>
          <w:tcPr>
            <w:tcW w:type="dxa" w:w="2835"/>
          </w:tcPr>
          <w:p>
            <w:pPr>
              <w:spacing w:after="40" w:before="40"/>
            </w:pPr>
            <w:r/>
            <w:r>
              <w:rPr>
                <w:rFonts w:ascii="Arial" w:hAnsi="Arial"/>
                <w:i w:val="0"/>
                <w:color w:val="202B38"/>
                <w:sz w:val="17"/>
              </w:rPr>
              <w:t>Connexion réussie depuis une IP inhabituelle</w:t>
            </w:r>
          </w:p>
        </w:tc>
        <w:tc>
          <w:tcPr>
            <w:tcW w:type="dxa" w:w="1247"/>
          </w:tcPr>
          <w:p>
            <w:pPr>
              <w:spacing w:after="40" w:before="40"/>
            </w:pPr>
            <w:r/>
            <w:r>
              <w:rPr>
                <w:rFonts w:ascii="Arial" w:hAnsi="Arial"/>
                <w:i w:val="0"/>
                <w:color w:val="202B38"/>
                <w:sz w:val="17"/>
              </w:rPr>
              <w:t>1</w:t>
            </w:r>
          </w:p>
        </w:tc>
        <w:tc>
          <w:tcPr>
            <w:tcW w:type="dxa" w:w="2835"/>
          </w:tcPr>
          <w:p>
            <w:pPr>
              <w:spacing w:after="40" w:before="40"/>
            </w:pPr>
            <w:r/>
            <w:r>
              <w:rPr>
                <w:rFonts w:ascii="Arial" w:hAnsi="Arial"/>
                <w:i w:val="0"/>
                <w:color w:val="202B38"/>
                <w:sz w:val="17"/>
              </w:rPr>
              <w:t>Possible usurpation</w:t>
            </w:r>
          </w:p>
        </w:tc>
        <w:tc>
          <w:tcPr>
            <w:tcW w:type="dxa" w:w="2721"/>
          </w:tcPr>
          <w:p>
            <w:pPr>
              <w:spacing w:after="40" w:before="40"/>
            </w:pPr>
            <w:r/>
            <w:r>
              <w:rPr>
                <w:rFonts w:ascii="Arial" w:hAnsi="Arial"/>
                <w:i w:val="0"/>
                <w:color w:val="202B38"/>
                <w:sz w:val="17"/>
              </w:rPr>
              <w:t>Notification à l'utilisateur concerné</w:t>
            </w:r>
          </w:p>
        </w:tc>
      </w:tr>
    </w:tbl>
    <w:p>
      <w:pPr>
        <w:spacing w:after="0"/>
      </w:pPr>
    </w:p>
    <w:p>
      <w:pPr>
        <w:spacing w:after="80"/>
        <w:jc w:val="both"/>
      </w:pPr>
      <w:r>
        <w:rPr>
          <w:rFonts w:ascii="Arial" w:hAnsi="Arial"/>
          <w:i w:val="0"/>
          <w:color w:val="202B38"/>
          <w:sz w:val="21"/>
        </w:rPr>
        <w:t>La mise en œuvre peut être progressive, et c'est ce qui la rend réaliste dans le cadre d'un projet de fin d'études. Une première étape consiste à écrire le journal de sécurité et à exposer un tableau de bord réservé à l'Administrateur. Une deuxième étape ajoute les seuils et les alertes par courriel. Une troisième, si le contexte le justifie, exporte le journal vers un outil de corrélation externe.</w:t>
      </w:r>
    </w:p>
    <w:p>
      <w:pPr>
        <w:keepNext/>
        <w:spacing w:before="300" w:after="100"/>
        <w:pBdr>
          <w:bottom w:val="single" w:sz="4" w:space="3" w:color="C8D4E2"/>
        </w:pBdr>
      </w:pPr>
      <w:r>
        <w:rPr>
          <w:rFonts w:ascii="Arial" w:hAnsi="Arial"/>
          <w:b/>
          <w:color w:val="163658"/>
          <w:sz w:val="32"/>
        </w:rPr>
        <w:t>10. Plan de reprise d'activité</w:t>
      </w:r>
    </w:p>
    <w:p>
      <w:pPr>
        <w:keepNext/>
        <w:spacing w:before="180" w:after="60"/>
      </w:pPr>
      <w:r>
        <w:rPr>
          <w:rFonts w:ascii="Arial" w:hAnsi="Arial"/>
          <w:b/>
          <w:color w:val="163658"/>
          <w:sz w:val="25"/>
        </w:rPr>
        <w:t>10.1 Objectifs de reprise</w:t>
      </w:r>
    </w:p>
    <w:p>
      <w:pPr>
        <w:spacing w:after="80"/>
        <w:jc w:val="both"/>
      </w:pPr>
      <w:r>
        <w:rPr>
          <w:rFonts w:ascii="Arial" w:hAnsi="Arial"/>
          <w:i w:val="0"/>
          <w:color w:val="202B38"/>
          <w:sz w:val="21"/>
        </w:rPr>
        <w:t>Un plan de reprise se définit par deux objectifs chiffrés, qui conditionnent tous les choix techniques : la durée maximale d'interruption admissible et la quantité maximale de données que l'on accepte de perdre.</w:t>
      </w:r>
    </w:p>
    <w:tbl>
      <w:tblPr>
        <w:tblStyle w:val="TableGrid"/>
        <w:tblW w:type="auto" w:w="0"/>
        <w:jc w:val="center"/>
        <w:tblLayout w:type="fixed"/>
        <w:tblLook w:firstColumn="1" w:firstRow="1" w:lastColumn="0" w:lastRow="0" w:noHBand="0" w:noVBand="1" w:val="04A0"/>
        <w:tblLayout w:type="fixed"/>
      </w:tblPr>
      <w:tblGrid>
        <w:gridCol w:w="2608"/>
        <w:gridCol w:w="1928"/>
        <w:gridCol w:w="5102"/>
      </w:tblGrid>
      <w:tr>
        <w:trPr>
          <w:tblHeader w:val="true"/>
          <w:cantSplit/>
        </w:trPr>
        <w:tc>
          <w:tcPr>
            <w:tcW w:type="dxa" w:w="2608"/>
            <w:shd w:fill="163658"/>
          </w:tcPr>
          <w:p>
            <w:pPr>
              <w:spacing w:after="40" w:before="40"/>
            </w:pPr>
            <w:r/>
            <w:r>
              <w:rPr>
                <w:rFonts w:ascii="Arial" w:hAnsi="Arial"/>
                <w:b/>
                <w:color w:val="FFFFFF"/>
                <w:sz w:val="17"/>
              </w:rPr>
              <w:t>Objectif</w:t>
            </w:r>
          </w:p>
        </w:tc>
        <w:tc>
          <w:tcPr>
            <w:tcW w:type="dxa" w:w="1928"/>
            <w:shd w:fill="163658"/>
          </w:tcPr>
          <w:p>
            <w:pPr>
              <w:spacing w:after="40" w:before="40"/>
            </w:pPr>
            <w:r/>
            <w:r>
              <w:rPr>
                <w:rFonts w:ascii="Arial" w:hAnsi="Arial"/>
                <w:b/>
                <w:color w:val="FFFFFF"/>
                <w:sz w:val="17"/>
              </w:rPr>
              <w:t>Valeur retenue</w:t>
            </w:r>
          </w:p>
        </w:tc>
        <w:tc>
          <w:tcPr>
            <w:tcW w:type="dxa" w:w="5102"/>
            <w:shd w:fill="163658"/>
          </w:tcPr>
          <w:p>
            <w:pPr>
              <w:spacing w:after="40" w:before="40"/>
            </w:pPr>
            <w:r/>
            <w:r>
              <w:rPr>
                <w:rFonts w:ascii="Arial" w:hAnsi="Arial"/>
                <w:b/>
                <w:color w:val="FFFFFF"/>
                <w:sz w:val="17"/>
              </w:rPr>
              <w:t>Justification</w:t>
            </w:r>
          </w:p>
        </w:tc>
      </w:tr>
      <w:tr>
        <w:trPr>
          <w:cantSplit/>
        </w:trPr>
        <w:tc>
          <w:tcPr>
            <w:tcW w:type="dxa" w:w="2608"/>
          </w:tcPr>
          <w:p>
            <w:pPr>
              <w:spacing w:after="40" w:before="40"/>
            </w:pPr>
            <w:r/>
            <w:r>
              <w:rPr>
                <w:rFonts w:ascii="Arial" w:hAnsi="Arial"/>
                <w:i w:val="0"/>
                <w:color w:val="202B38"/>
                <w:sz w:val="17"/>
              </w:rPr>
              <w:t>RTO — durée maximale d'interruption</w:t>
            </w:r>
          </w:p>
        </w:tc>
        <w:tc>
          <w:tcPr>
            <w:tcW w:type="dxa" w:w="1928"/>
          </w:tcPr>
          <w:p>
            <w:pPr>
              <w:spacing w:after="40" w:before="40"/>
            </w:pPr>
            <w:r/>
            <w:r>
              <w:rPr>
                <w:rFonts w:ascii="Arial" w:hAnsi="Arial"/>
                <w:i w:val="0"/>
                <w:color w:val="202B38"/>
                <w:sz w:val="17"/>
              </w:rPr>
              <w:t>4 heures</w:t>
            </w:r>
          </w:p>
        </w:tc>
        <w:tc>
          <w:tcPr>
            <w:tcW w:type="dxa" w:w="5102"/>
          </w:tcPr>
          <w:p>
            <w:pPr>
              <w:spacing w:after="40" w:before="40"/>
            </w:pPr>
            <w:r/>
            <w:r>
              <w:rPr>
                <w:rFonts w:ascii="Arial" w:hAnsi="Arial"/>
                <w:i w:val="0"/>
                <w:color w:val="202B38"/>
                <w:sz w:val="17"/>
              </w:rPr>
              <w:t>TrackIT n'est pas un outil de production temps réel : une indisponibilité d'une demi-journée dégrade le suivi des incidents sans bloquer l'activité du client</w:t>
            </w:r>
          </w:p>
        </w:tc>
      </w:tr>
      <w:tr>
        <w:trPr>
          <w:cantSplit/>
        </w:trPr>
        <w:tc>
          <w:tcPr>
            <w:tcW w:type="dxa" w:w="2608"/>
            <w:shd w:fill="F4F7FA"/>
          </w:tcPr>
          <w:p>
            <w:pPr>
              <w:spacing w:after="40" w:before="40"/>
            </w:pPr>
            <w:r/>
            <w:r>
              <w:rPr>
                <w:rFonts w:ascii="Arial" w:hAnsi="Arial"/>
                <w:i w:val="0"/>
                <w:color w:val="202B38"/>
                <w:sz w:val="17"/>
              </w:rPr>
              <w:t>RPO — perte de données maximale</w:t>
            </w:r>
          </w:p>
        </w:tc>
        <w:tc>
          <w:tcPr>
            <w:tcW w:type="dxa" w:w="1928"/>
            <w:shd w:fill="F4F7FA"/>
          </w:tcPr>
          <w:p>
            <w:pPr>
              <w:spacing w:after="40" w:before="40"/>
            </w:pPr>
            <w:r/>
            <w:r>
              <w:rPr>
                <w:rFonts w:ascii="Arial" w:hAnsi="Arial"/>
                <w:i w:val="0"/>
                <w:color w:val="202B38"/>
                <w:sz w:val="17"/>
              </w:rPr>
              <w:t>24 heures</w:t>
            </w:r>
          </w:p>
        </w:tc>
        <w:tc>
          <w:tcPr>
            <w:tcW w:type="dxa" w:w="5102"/>
            <w:shd w:fill="F4F7FA"/>
          </w:tcPr>
          <w:p>
            <w:pPr>
              <w:spacing w:after="40" w:before="40"/>
            </w:pPr>
            <w:r/>
            <w:r>
              <w:rPr>
                <w:rFonts w:ascii="Arial" w:hAnsi="Arial"/>
                <w:i w:val="0"/>
                <w:color w:val="202B38"/>
                <w:sz w:val="17"/>
              </w:rPr>
              <w:t>Une sauvegarde quotidienne est acceptable au regard du volume de déclarations ; une anomalie perdue peut être redéclarée</w:t>
            </w:r>
          </w:p>
        </w:tc>
      </w:tr>
      <w:tr>
        <w:trPr>
          <w:cantSplit/>
        </w:trPr>
        <w:tc>
          <w:tcPr>
            <w:tcW w:type="dxa" w:w="2608"/>
          </w:tcPr>
          <w:p>
            <w:pPr>
              <w:spacing w:after="40" w:before="40"/>
            </w:pPr>
            <w:r/>
            <w:r>
              <w:rPr>
                <w:rFonts w:ascii="Arial" w:hAnsi="Arial"/>
                <w:i w:val="0"/>
                <w:color w:val="202B38"/>
                <w:sz w:val="17"/>
              </w:rPr>
              <w:t>Durée de rétention des sauvegardes</w:t>
            </w:r>
          </w:p>
        </w:tc>
        <w:tc>
          <w:tcPr>
            <w:tcW w:type="dxa" w:w="1928"/>
          </w:tcPr>
          <w:p>
            <w:pPr>
              <w:spacing w:after="40" w:before="40"/>
            </w:pPr>
            <w:r/>
            <w:r>
              <w:rPr>
                <w:rFonts w:ascii="Arial" w:hAnsi="Arial"/>
                <w:i w:val="0"/>
                <w:color w:val="202B38"/>
                <w:sz w:val="17"/>
              </w:rPr>
              <w:t>30 jours glissants</w:t>
            </w:r>
          </w:p>
        </w:tc>
        <w:tc>
          <w:tcPr>
            <w:tcW w:type="dxa" w:w="5102"/>
          </w:tcPr>
          <w:p>
            <w:pPr>
              <w:spacing w:after="40" w:before="40"/>
            </w:pPr>
            <w:r/>
            <w:r>
              <w:rPr>
                <w:rFonts w:ascii="Arial" w:hAnsi="Arial"/>
                <w:i w:val="0"/>
                <w:color w:val="202B38"/>
                <w:sz w:val="17"/>
              </w:rPr>
              <w:t>Permet de revenir avant une corruption détectée tardivement</w:t>
            </w:r>
          </w:p>
        </w:tc>
      </w:tr>
    </w:tbl>
    <w:p>
      <w:pPr>
        <w:spacing w:after="0"/>
      </w:pPr>
    </w:p>
    <w:p>
      <w:pPr>
        <w:keepNext/>
        <w:spacing w:before="180" w:after="60"/>
      </w:pPr>
      <w:r>
        <w:rPr>
          <w:rFonts w:ascii="Arial" w:hAnsi="Arial"/>
          <w:b/>
          <w:color w:val="163658"/>
          <w:sz w:val="25"/>
        </w:rPr>
        <w:t>10.2 Sauvegardes</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aucune sauvegarde automatisée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Le projet contient un export complet de la base, produit manuellement. Il n'existe ni planification, ni copie hors du serveur, ni test de restauration. Une défaillance du disque ou une suppression accidentelle entraînerait aujourd'hui une perte définitive.</w:t>
      </w:r>
    </w:p>
    <w:p>
      <w:pPr>
        <w:spacing w:after="0"/>
      </w:pPr>
    </w:p>
    <w:p>
      <w:pPr>
        <w:spacing w:after="80"/>
        <w:jc w:val="both"/>
      </w:pPr>
      <w:r>
        <w:rPr>
          <w:rFonts w:ascii="Arial" w:hAnsi="Arial"/>
          <w:i w:val="0"/>
          <w:color w:val="202B38"/>
          <w:sz w:val="21"/>
        </w:rPr>
        <w:t xml:space="preserve">Le dispositif proposé repose sur la règle dite </w:t>
      </w:r>
      <w:r>
        <w:rPr>
          <w:rFonts w:ascii="Arial" w:hAnsi="Arial"/>
          <w:b/>
          <w:i w:val="0"/>
          <w:color w:val="202B38"/>
          <w:sz w:val="21"/>
        </w:rPr>
        <w:t>3-2-1</w:t>
      </w:r>
      <w:r>
        <w:rPr>
          <w:rFonts w:ascii="Arial" w:hAnsi="Arial"/>
          <w:i w:val="0"/>
          <w:color w:val="202B38"/>
          <w:sz w:val="21"/>
        </w:rPr>
        <w:t xml:space="preserve"> : trois copies des données, sur deux supports différents, dont une hors site.</w:t>
      </w:r>
    </w:p>
    <w:tbl>
      <w:tblPr>
        <w:tblStyle w:val="TableGrid"/>
        <w:tblW w:type="auto" w:w="0"/>
        <w:jc w:val="center"/>
        <w:tblLayout w:type="fixed"/>
        <w:tblLook w:firstColumn="1" w:firstRow="1" w:lastColumn="0" w:lastRow="0" w:noHBand="0" w:noVBand="1" w:val="04A0"/>
        <w:tblLayout w:type="fixed"/>
      </w:tblPr>
      <w:tblGrid>
        <w:gridCol w:w="2494"/>
        <w:gridCol w:w="2154"/>
        <w:gridCol w:w="1474"/>
        <w:gridCol w:w="3515"/>
      </w:tblGrid>
      <w:tr>
        <w:trPr>
          <w:tblHeader w:val="true"/>
          <w:cantSplit/>
        </w:trPr>
        <w:tc>
          <w:tcPr>
            <w:tcW w:type="dxa" w:w="2494"/>
            <w:shd w:fill="163658"/>
          </w:tcPr>
          <w:p>
            <w:pPr>
              <w:spacing w:after="40" w:before="40"/>
            </w:pPr>
            <w:r/>
            <w:r>
              <w:rPr>
                <w:rFonts w:ascii="Arial" w:hAnsi="Arial"/>
                <w:b/>
                <w:color w:val="FFFFFF"/>
                <w:sz w:val="17"/>
              </w:rPr>
              <w:t>Élément</w:t>
            </w:r>
          </w:p>
        </w:tc>
        <w:tc>
          <w:tcPr>
            <w:tcW w:type="dxa" w:w="2154"/>
            <w:shd w:fill="163658"/>
          </w:tcPr>
          <w:p>
            <w:pPr>
              <w:spacing w:after="40" w:before="40"/>
            </w:pPr>
            <w:r/>
            <w:r>
              <w:rPr>
                <w:rFonts w:ascii="Arial" w:hAnsi="Arial"/>
                <w:b/>
                <w:color w:val="FFFFFF"/>
                <w:sz w:val="17"/>
              </w:rPr>
              <w:t>Fréquence</w:t>
            </w:r>
          </w:p>
        </w:tc>
        <w:tc>
          <w:tcPr>
            <w:tcW w:type="dxa" w:w="1474"/>
            <w:shd w:fill="163658"/>
          </w:tcPr>
          <w:p>
            <w:pPr>
              <w:spacing w:after="40" w:before="40"/>
            </w:pPr>
            <w:r/>
            <w:r>
              <w:rPr>
                <w:rFonts w:ascii="Arial" w:hAnsi="Arial"/>
                <w:b/>
                <w:color w:val="FFFFFF"/>
                <w:sz w:val="17"/>
              </w:rPr>
              <w:t>Rétention</w:t>
            </w:r>
          </w:p>
        </w:tc>
        <w:tc>
          <w:tcPr>
            <w:tcW w:type="dxa" w:w="3515"/>
            <w:shd w:fill="163658"/>
          </w:tcPr>
          <w:p>
            <w:pPr>
              <w:spacing w:after="40" w:before="40"/>
            </w:pPr>
            <w:r/>
            <w:r>
              <w:rPr>
                <w:rFonts w:ascii="Arial" w:hAnsi="Arial"/>
                <w:b/>
                <w:color w:val="FFFFFF"/>
                <w:sz w:val="17"/>
              </w:rPr>
              <w:t>Emplacement</w:t>
            </w:r>
          </w:p>
        </w:tc>
      </w:tr>
      <w:tr>
        <w:trPr>
          <w:cantSplit/>
        </w:trPr>
        <w:tc>
          <w:tcPr>
            <w:tcW w:type="dxa" w:w="2494"/>
          </w:tcPr>
          <w:p>
            <w:pPr>
              <w:spacing w:after="40" w:before="40"/>
            </w:pPr>
            <w:r/>
            <w:r>
              <w:rPr>
                <w:rFonts w:ascii="Arial" w:hAnsi="Arial"/>
                <w:i w:val="0"/>
                <w:color w:val="202B38"/>
                <w:sz w:val="17"/>
              </w:rPr>
              <w:t>Base MySQL — sauvegarde complète</w:t>
            </w:r>
          </w:p>
        </w:tc>
        <w:tc>
          <w:tcPr>
            <w:tcW w:type="dxa" w:w="2154"/>
          </w:tcPr>
          <w:p>
            <w:pPr>
              <w:spacing w:after="40" w:before="40"/>
            </w:pPr>
            <w:r/>
            <w:r>
              <w:rPr>
                <w:rFonts w:ascii="Arial" w:hAnsi="Arial"/>
                <w:i w:val="0"/>
                <w:color w:val="202B38"/>
                <w:sz w:val="17"/>
              </w:rPr>
              <w:t>Quotidienne (2 h du matin)</w:t>
            </w:r>
          </w:p>
        </w:tc>
        <w:tc>
          <w:tcPr>
            <w:tcW w:type="dxa" w:w="1474"/>
          </w:tcPr>
          <w:p>
            <w:pPr>
              <w:spacing w:after="40" w:before="40"/>
            </w:pPr>
            <w:r/>
            <w:r>
              <w:rPr>
                <w:rFonts w:ascii="Arial" w:hAnsi="Arial"/>
                <w:i w:val="0"/>
                <w:color w:val="202B38"/>
                <w:sz w:val="17"/>
              </w:rPr>
              <w:t>30 jours</w:t>
            </w:r>
          </w:p>
        </w:tc>
        <w:tc>
          <w:tcPr>
            <w:tcW w:type="dxa" w:w="3515"/>
          </w:tcPr>
          <w:p>
            <w:pPr>
              <w:spacing w:after="40" w:before="40"/>
            </w:pPr>
            <w:r/>
            <w:r>
              <w:rPr>
                <w:rFonts w:ascii="Arial" w:hAnsi="Arial"/>
                <w:i w:val="0"/>
                <w:color w:val="202B38"/>
                <w:sz w:val="17"/>
              </w:rPr>
              <w:t>Serveur + copie chiffrée hors site</w:t>
            </w:r>
          </w:p>
        </w:tc>
      </w:tr>
      <w:tr>
        <w:trPr>
          <w:cantSplit/>
        </w:trPr>
        <w:tc>
          <w:tcPr>
            <w:tcW w:type="dxa" w:w="2494"/>
            <w:shd w:fill="F4F7FA"/>
          </w:tcPr>
          <w:p>
            <w:pPr>
              <w:spacing w:after="40" w:before="40"/>
            </w:pPr>
            <w:r/>
            <w:r>
              <w:rPr>
                <w:rFonts w:ascii="Arial" w:hAnsi="Arial"/>
                <w:i w:val="0"/>
                <w:color w:val="202B38"/>
                <w:sz w:val="17"/>
              </w:rPr>
              <w:t>Base MySQL — journaux binaires</w:t>
            </w:r>
          </w:p>
        </w:tc>
        <w:tc>
          <w:tcPr>
            <w:tcW w:type="dxa" w:w="2154"/>
            <w:shd w:fill="F4F7FA"/>
          </w:tcPr>
          <w:p>
            <w:pPr>
              <w:spacing w:after="40" w:before="40"/>
            </w:pPr>
            <w:r/>
            <w:r>
              <w:rPr>
                <w:rFonts w:ascii="Arial" w:hAnsi="Arial"/>
                <w:i w:val="0"/>
                <w:color w:val="202B38"/>
                <w:sz w:val="17"/>
              </w:rPr>
              <w:t>Continue</w:t>
            </w:r>
          </w:p>
        </w:tc>
        <w:tc>
          <w:tcPr>
            <w:tcW w:type="dxa" w:w="1474"/>
            <w:shd w:fill="F4F7FA"/>
          </w:tcPr>
          <w:p>
            <w:pPr>
              <w:spacing w:after="40" w:before="40"/>
            </w:pPr>
            <w:r/>
            <w:r>
              <w:rPr>
                <w:rFonts w:ascii="Arial" w:hAnsi="Arial"/>
                <w:i w:val="0"/>
                <w:color w:val="202B38"/>
                <w:sz w:val="17"/>
              </w:rPr>
              <w:t>7 jours</w:t>
            </w:r>
          </w:p>
        </w:tc>
        <w:tc>
          <w:tcPr>
            <w:tcW w:type="dxa" w:w="3515"/>
            <w:shd w:fill="F4F7FA"/>
          </w:tcPr>
          <w:p>
            <w:pPr>
              <w:spacing w:after="40" w:before="40"/>
            </w:pPr>
            <w:r/>
            <w:r>
              <w:rPr>
                <w:rFonts w:ascii="Arial" w:hAnsi="Arial"/>
                <w:i w:val="0"/>
                <w:color w:val="202B38"/>
                <w:sz w:val="17"/>
              </w:rPr>
              <w:t>Permet un retour à un instant précis</w:t>
            </w:r>
          </w:p>
        </w:tc>
      </w:tr>
      <w:tr>
        <w:trPr>
          <w:cantSplit/>
        </w:trPr>
        <w:tc>
          <w:tcPr>
            <w:tcW w:type="dxa" w:w="2494"/>
          </w:tcPr>
          <w:p>
            <w:pPr>
              <w:spacing w:after="40" w:before="40"/>
            </w:pPr>
            <w:r/>
            <w:r>
              <w:rPr>
                <w:rFonts w:ascii="Arial" w:hAnsi="Arial"/>
                <w:i w:val="0"/>
                <w:color w:val="202B38"/>
                <w:sz w:val="17"/>
              </w:rPr>
              <w:t>Pièces jointes et rapports</w:t>
            </w:r>
          </w:p>
        </w:tc>
        <w:tc>
          <w:tcPr>
            <w:tcW w:type="dxa" w:w="2154"/>
          </w:tcPr>
          <w:p>
            <w:pPr>
              <w:spacing w:after="40" w:before="40"/>
            </w:pPr>
            <w:r/>
            <w:r>
              <w:rPr>
                <w:rFonts w:ascii="Arial" w:hAnsi="Arial"/>
                <w:i w:val="0"/>
                <w:color w:val="202B38"/>
                <w:sz w:val="17"/>
              </w:rPr>
              <w:t>Quotidienne, incrémentale</w:t>
            </w:r>
          </w:p>
        </w:tc>
        <w:tc>
          <w:tcPr>
            <w:tcW w:type="dxa" w:w="1474"/>
          </w:tcPr>
          <w:p>
            <w:pPr>
              <w:spacing w:after="40" w:before="40"/>
            </w:pPr>
            <w:r/>
            <w:r>
              <w:rPr>
                <w:rFonts w:ascii="Arial" w:hAnsi="Arial"/>
                <w:i w:val="0"/>
                <w:color w:val="202B38"/>
                <w:sz w:val="17"/>
              </w:rPr>
              <w:t>30 jours</w:t>
            </w:r>
          </w:p>
        </w:tc>
        <w:tc>
          <w:tcPr>
            <w:tcW w:type="dxa" w:w="3515"/>
          </w:tcPr>
          <w:p>
            <w:pPr>
              <w:spacing w:after="40" w:before="40"/>
            </w:pPr>
            <w:r/>
            <w:r>
              <w:rPr>
                <w:rFonts w:ascii="Arial" w:hAnsi="Arial"/>
                <w:i w:val="0"/>
                <w:color w:val="202B38"/>
                <w:sz w:val="17"/>
              </w:rPr>
              <w:t>Copie chiffrée hors site</w:t>
            </w:r>
          </w:p>
        </w:tc>
      </w:tr>
      <w:tr>
        <w:trPr>
          <w:cantSplit/>
        </w:trPr>
        <w:tc>
          <w:tcPr>
            <w:tcW w:type="dxa" w:w="2494"/>
            <w:shd w:fill="F4F7FA"/>
          </w:tcPr>
          <w:p>
            <w:pPr>
              <w:spacing w:after="40" w:before="40"/>
            </w:pPr>
            <w:r/>
            <w:r>
              <w:rPr>
                <w:rFonts w:ascii="Arial" w:hAnsi="Arial"/>
                <w:i w:val="0"/>
                <w:color w:val="202B38"/>
                <w:sz w:val="17"/>
              </w:rPr>
              <w:t xml:space="preserve">Configuration et fichier </w:t>
            </w:r>
            <w:r>
              <w:rPr>
                <w:rFonts w:ascii="Courier New" w:hAnsi="Courier New"/>
                <w:color w:val="1769AA"/>
                <w:sz w:val="14"/>
              </w:rPr>
              <w:t>.env</w:t>
            </w:r>
          </w:p>
        </w:tc>
        <w:tc>
          <w:tcPr>
            <w:tcW w:type="dxa" w:w="2154"/>
            <w:shd w:fill="F4F7FA"/>
          </w:tcPr>
          <w:p>
            <w:pPr>
              <w:spacing w:after="40" w:before="40"/>
            </w:pPr>
            <w:r/>
            <w:r>
              <w:rPr>
                <w:rFonts w:ascii="Arial" w:hAnsi="Arial"/>
                <w:i w:val="0"/>
                <w:color w:val="202B38"/>
                <w:sz w:val="17"/>
              </w:rPr>
              <w:t>À chaque modification</w:t>
            </w:r>
          </w:p>
        </w:tc>
        <w:tc>
          <w:tcPr>
            <w:tcW w:type="dxa" w:w="1474"/>
            <w:shd w:fill="F4F7FA"/>
          </w:tcPr>
          <w:p>
            <w:pPr>
              <w:spacing w:after="40" w:before="40"/>
            </w:pPr>
            <w:r/>
            <w:r>
              <w:rPr>
                <w:rFonts w:ascii="Arial" w:hAnsi="Arial"/>
                <w:i w:val="0"/>
                <w:color w:val="202B38"/>
                <w:sz w:val="17"/>
              </w:rPr>
              <w:t>Permanente</w:t>
            </w:r>
          </w:p>
        </w:tc>
        <w:tc>
          <w:tcPr>
            <w:tcW w:type="dxa" w:w="3515"/>
            <w:shd w:fill="F4F7FA"/>
          </w:tcPr>
          <w:p>
            <w:pPr>
              <w:spacing w:after="40" w:before="40"/>
            </w:pPr>
            <w:r/>
            <w:r>
              <w:rPr>
                <w:rFonts w:ascii="Arial" w:hAnsi="Arial"/>
                <w:i w:val="0"/>
                <w:color w:val="202B38"/>
                <w:sz w:val="17"/>
              </w:rPr>
              <w:t>Coffre à secrets, hors dépôt</w:t>
            </w:r>
          </w:p>
        </w:tc>
      </w:tr>
      <w:tr>
        <w:trPr>
          <w:cantSplit/>
        </w:trPr>
        <w:tc>
          <w:tcPr>
            <w:tcW w:type="dxa" w:w="2494"/>
          </w:tcPr>
          <w:p>
            <w:pPr>
              <w:spacing w:after="40" w:before="40"/>
            </w:pPr>
            <w:r/>
            <w:r>
              <w:rPr>
                <w:rFonts w:ascii="Arial" w:hAnsi="Arial"/>
                <w:i w:val="0"/>
                <w:color w:val="202B38"/>
                <w:sz w:val="17"/>
              </w:rPr>
              <w:t>Code source</w:t>
            </w:r>
          </w:p>
        </w:tc>
        <w:tc>
          <w:tcPr>
            <w:tcW w:type="dxa" w:w="2154"/>
          </w:tcPr>
          <w:p>
            <w:pPr>
              <w:spacing w:after="40" w:before="40"/>
            </w:pPr>
            <w:r/>
            <w:r>
              <w:rPr>
                <w:rFonts w:ascii="Arial" w:hAnsi="Arial"/>
                <w:i w:val="0"/>
                <w:color w:val="202B38"/>
                <w:sz w:val="17"/>
              </w:rPr>
              <w:t>À chaque livraison</w:t>
            </w:r>
          </w:p>
        </w:tc>
        <w:tc>
          <w:tcPr>
            <w:tcW w:type="dxa" w:w="1474"/>
          </w:tcPr>
          <w:p>
            <w:pPr>
              <w:spacing w:after="40" w:before="40"/>
            </w:pPr>
            <w:r/>
            <w:r>
              <w:rPr>
                <w:rFonts w:ascii="Arial" w:hAnsi="Arial"/>
                <w:i w:val="0"/>
                <w:color w:val="202B38"/>
                <w:sz w:val="17"/>
              </w:rPr>
              <w:t>Permanente</w:t>
            </w:r>
          </w:p>
        </w:tc>
        <w:tc>
          <w:tcPr>
            <w:tcW w:type="dxa" w:w="3515"/>
          </w:tcPr>
          <w:p>
            <w:pPr>
              <w:spacing w:after="40" w:before="40"/>
            </w:pPr>
            <w:r/>
            <w:r>
              <w:rPr>
                <w:rFonts w:ascii="Arial" w:hAnsi="Arial"/>
                <w:i w:val="0"/>
                <w:color w:val="202B38"/>
                <w:sz w:val="17"/>
              </w:rPr>
              <w:t>Dépôt Git distant</w:t>
            </w:r>
          </w:p>
        </w:tc>
      </w:tr>
    </w:tbl>
    <w:p>
      <w:pPr>
        <w:spacing w:after="0"/>
      </w:pPr>
    </w:p>
    <w:p>
      <w:pPr>
        <w:spacing w:after="80"/>
        <w:jc w:val="both"/>
      </w:pPr>
      <w:r>
        <w:rPr>
          <w:rFonts w:ascii="Arial" w:hAnsi="Arial"/>
          <w:i w:val="0"/>
          <w:color w:val="202B38"/>
          <w:sz w:val="21"/>
        </w:rPr>
        <w:t xml:space="preserve">Deux précisions conditionnent l'efficacité réelle du dispositif. Les sauvegardes doivent être </w:t>
      </w:r>
      <w:r>
        <w:rPr>
          <w:rFonts w:ascii="Arial" w:hAnsi="Arial"/>
          <w:b/>
          <w:i w:val="0"/>
          <w:color w:val="202B38"/>
          <w:sz w:val="21"/>
        </w:rPr>
        <w:t>chiffrées</w:t>
      </w:r>
      <w:r>
        <w:rPr>
          <w:rFonts w:ascii="Arial" w:hAnsi="Arial"/>
          <w:i w:val="0"/>
          <w:color w:val="202B38"/>
          <w:sz w:val="21"/>
        </w:rPr>
        <w:t xml:space="preserve"> avant transfert hors site, faute de quoi elles deviennent elles-mêmes un point de fuite — une sauvegarde contient l'intégralité des données de tous les clients. Et elles doivent être </w:t>
      </w:r>
      <w:r>
        <w:rPr>
          <w:rFonts w:ascii="Arial" w:hAnsi="Arial"/>
          <w:b/>
          <w:i w:val="0"/>
          <w:color w:val="202B38"/>
          <w:sz w:val="21"/>
        </w:rPr>
        <w:t>testées</w:t>
      </w:r>
      <w:r>
        <w:rPr>
          <w:rFonts w:ascii="Arial" w:hAnsi="Arial"/>
          <w:i w:val="0"/>
          <w:color w:val="202B38"/>
          <w:sz w:val="21"/>
        </w:rPr>
        <w:t xml:space="preserve"> : une sauvegarde dont la restauration n'a jamais été vérifiée ne constitue pas une garantie. Un test trimestriel de restauration complète sur un environnement séparé est proposé, avec consignation de la durée obtenue et comparaison au RTO visé.</w:t>
      </w:r>
    </w:p>
    <w:p>
      <w:pPr>
        <w:keepNext/>
        <w:spacing w:before="180" w:after="60"/>
      </w:pPr>
      <w:r>
        <w:rPr>
          <w:rFonts w:ascii="Arial" w:hAnsi="Arial"/>
          <w:b/>
          <w:color w:val="163658"/>
          <w:sz w:val="25"/>
        </w:rPr>
        <w:t>10.3 Procédure de restauration</w:t>
      </w:r>
    </w:p>
    <w:tbl>
      <w:tblPr>
        <w:tblStyle w:val="TableGrid"/>
        <w:tblW w:type="auto" w:w="0"/>
        <w:jc w:val="center"/>
        <w:tblLayout w:type="fixed"/>
        <w:tblLook w:firstColumn="1" w:firstRow="1" w:lastColumn="0" w:lastRow="0" w:noHBand="0" w:noVBand="1" w:val="04A0"/>
        <w:tblLayout w:type="fixed"/>
      </w:tblPr>
      <w:tblGrid>
        <w:gridCol w:w="794"/>
        <w:gridCol w:w="6576"/>
        <w:gridCol w:w="2268"/>
      </w:tblGrid>
      <w:tr>
        <w:trPr>
          <w:tblHeader w:val="true"/>
          <w:cantSplit/>
        </w:trPr>
        <w:tc>
          <w:tcPr>
            <w:tcW w:type="dxa" w:w="794"/>
            <w:shd w:fill="163658"/>
          </w:tcPr>
          <w:p>
            <w:pPr>
              <w:spacing w:after="40" w:before="40"/>
            </w:pPr>
            <w:r/>
            <w:r>
              <w:rPr>
                <w:rFonts w:ascii="Arial" w:hAnsi="Arial"/>
                <w:b/>
                <w:color w:val="FFFFFF"/>
                <w:sz w:val="17"/>
              </w:rPr>
              <w:t>Étape</w:t>
            </w:r>
          </w:p>
        </w:tc>
        <w:tc>
          <w:tcPr>
            <w:tcW w:type="dxa" w:w="6576"/>
            <w:shd w:fill="163658"/>
          </w:tcPr>
          <w:p>
            <w:pPr>
              <w:spacing w:after="40" w:before="40"/>
            </w:pPr>
            <w:r/>
            <w:r>
              <w:rPr>
                <w:rFonts w:ascii="Arial" w:hAnsi="Arial"/>
                <w:b/>
                <w:color w:val="FFFFFF"/>
                <w:sz w:val="17"/>
              </w:rPr>
              <w:t>Action</w:t>
            </w:r>
          </w:p>
        </w:tc>
        <w:tc>
          <w:tcPr>
            <w:tcW w:type="dxa" w:w="2268"/>
            <w:shd w:fill="163658"/>
          </w:tcPr>
          <w:p>
            <w:pPr>
              <w:spacing w:after="40" w:before="40"/>
            </w:pPr>
            <w:r/>
            <w:r>
              <w:rPr>
                <w:rFonts w:ascii="Arial" w:hAnsi="Arial"/>
                <w:b/>
                <w:color w:val="FFFFFF"/>
                <w:sz w:val="17"/>
              </w:rPr>
              <w:t>Durée estimée</w:t>
            </w:r>
          </w:p>
        </w:tc>
      </w:tr>
      <w:tr>
        <w:trPr>
          <w:cantSplit/>
        </w:trPr>
        <w:tc>
          <w:tcPr>
            <w:tcW w:type="dxa" w:w="794"/>
          </w:tcPr>
          <w:p>
            <w:pPr>
              <w:spacing w:after="40" w:before="40"/>
            </w:pPr>
            <w:r/>
            <w:r>
              <w:rPr>
                <w:rFonts w:ascii="Arial" w:hAnsi="Arial"/>
                <w:i w:val="0"/>
                <w:color w:val="202B38"/>
                <w:sz w:val="17"/>
              </w:rPr>
              <w:t>1</w:t>
            </w:r>
          </w:p>
        </w:tc>
        <w:tc>
          <w:tcPr>
            <w:tcW w:type="dxa" w:w="6576"/>
          </w:tcPr>
          <w:p>
            <w:pPr>
              <w:spacing w:after="40" w:before="40"/>
            </w:pPr>
            <w:r/>
            <w:r>
              <w:rPr>
                <w:rFonts w:ascii="Arial" w:hAnsi="Arial"/>
                <w:i w:val="0"/>
                <w:color w:val="202B38"/>
                <w:sz w:val="17"/>
              </w:rPr>
              <w:t>Déclarer l'incident et interrompre l'accès utilisateur</w:t>
            </w:r>
          </w:p>
        </w:tc>
        <w:tc>
          <w:tcPr>
            <w:tcW w:type="dxa" w:w="2268"/>
          </w:tcPr>
          <w:p>
            <w:pPr>
              <w:spacing w:after="40" w:before="40"/>
            </w:pPr>
            <w:r/>
            <w:r>
              <w:rPr>
                <w:rFonts w:ascii="Arial" w:hAnsi="Arial"/>
                <w:i w:val="0"/>
                <w:color w:val="202B38"/>
                <w:sz w:val="17"/>
              </w:rPr>
              <w:t>15 min</w:t>
            </w:r>
          </w:p>
        </w:tc>
      </w:tr>
      <w:tr>
        <w:trPr>
          <w:cantSplit/>
        </w:trPr>
        <w:tc>
          <w:tcPr>
            <w:tcW w:type="dxa" w:w="794"/>
            <w:shd w:fill="F4F7FA"/>
          </w:tcPr>
          <w:p>
            <w:pPr>
              <w:spacing w:after="40" w:before="40"/>
            </w:pPr>
            <w:r/>
            <w:r>
              <w:rPr>
                <w:rFonts w:ascii="Arial" w:hAnsi="Arial"/>
                <w:i w:val="0"/>
                <w:color w:val="202B38"/>
                <w:sz w:val="17"/>
              </w:rPr>
              <w:t>2</w:t>
            </w:r>
          </w:p>
        </w:tc>
        <w:tc>
          <w:tcPr>
            <w:tcW w:type="dxa" w:w="6576"/>
            <w:shd w:fill="F4F7FA"/>
          </w:tcPr>
          <w:p>
            <w:pPr>
              <w:spacing w:after="40" w:before="40"/>
            </w:pPr>
            <w:r/>
            <w:r>
              <w:rPr>
                <w:rFonts w:ascii="Arial" w:hAnsi="Arial"/>
                <w:i w:val="0"/>
                <w:color w:val="202B38"/>
                <w:sz w:val="17"/>
              </w:rPr>
              <w:t>Qualifier la panne : matériel, corruption, erreur humaine, intrusion</w:t>
            </w:r>
          </w:p>
        </w:tc>
        <w:tc>
          <w:tcPr>
            <w:tcW w:type="dxa" w:w="2268"/>
            <w:shd w:fill="F4F7FA"/>
          </w:tcPr>
          <w:p>
            <w:pPr>
              <w:spacing w:after="40" w:before="40"/>
            </w:pPr>
            <w:r/>
            <w:r>
              <w:rPr>
                <w:rFonts w:ascii="Arial" w:hAnsi="Arial"/>
                <w:i w:val="0"/>
                <w:color w:val="202B38"/>
                <w:sz w:val="17"/>
              </w:rPr>
              <w:t>30 min</w:t>
            </w:r>
          </w:p>
        </w:tc>
      </w:tr>
      <w:tr>
        <w:trPr>
          <w:cantSplit/>
        </w:trPr>
        <w:tc>
          <w:tcPr>
            <w:tcW w:type="dxa" w:w="794"/>
          </w:tcPr>
          <w:p>
            <w:pPr>
              <w:spacing w:after="40" w:before="40"/>
            </w:pPr>
            <w:r/>
            <w:r>
              <w:rPr>
                <w:rFonts w:ascii="Arial" w:hAnsi="Arial"/>
                <w:i w:val="0"/>
                <w:color w:val="202B38"/>
                <w:sz w:val="17"/>
              </w:rPr>
              <w:t>3</w:t>
            </w:r>
          </w:p>
        </w:tc>
        <w:tc>
          <w:tcPr>
            <w:tcW w:type="dxa" w:w="6576"/>
          </w:tcPr>
          <w:p>
            <w:pPr>
              <w:spacing w:after="40" w:before="40"/>
            </w:pPr>
            <w:r/>
            <w:r>
              <w:rPr>
                <w:rFonts w:ascii="Arial" w:hAnsi="Arial"/>
                <w:i w:val="0"/>
                <w:color w:val="202B38"/>
                <w:sz w:val="17"/>
              </w:rPr>
              <w:t>Préparer le serveur de reprise et vérifier les prérequis</w:t>
            </w:r>
          </w:p>
        </w:tc>
        <w:tc>
          <w:tcPr>
            <w:tcW w:type="dxa" w:w="2268"/>
          </w:tcPr>
          <w:p>
            <w:pPr>
              <w:spacing w:after="40" w:before="40"/>
            </w:pPr>
            <w:r/>
            <w:r>
              <w:rPr>
                <w:rFonts w:ascii="Arial" w:hAnsi="Arial"/>
                <w:i w:val="0"/>
                <w:color w:val="202B38"/>
                <w:sz w:val="17"/>
              </w:rPr>
              <w:t>45 min</w:t>
            </w:r>
          </w:p>
        </w:tc>
      </w:tr>
      <w:tr>
        <w:trPr>
          <w:cantSplit/>
        </w:trPr>
        <w:tc>
          <w:tcPr>
            <w:tcW w:type="dxa" w:w="794"/>
            <w:shd w:fill="F4F7FA"/>
          </w:tcPr>
          <w:p>
            <w:pPr>
              <w:spacing w:after="40" w:before="40"/>
            </w:pPr>
            <w:r/>
            <w:r>
              <w:rPr>
                <w:rFonts w:ascii="Arial" w:hAnsi="Arial"/>
                <w:i w:val="0"/>
                <w:color w:val="202B38"/>
                <w:sz w:val="17"/>
              </w:rPr>
              <w:t>4</w:t>
            </w:r>
          </w:p>
        </w:tc>
        <w:tc>
          <w:tcPr>
            <w:tcW w:type="dxa" w:w="6576"/>
            <w:shd w:fill="F4F7FA"/>
          </w:tcPr>
          <w:p>
            <w:pPr>
              <w:spacing w:after="40" w:before="40"/>
            </w:pPr>
            <w:r/>
            <w:r>
              <w:rPr>
                <w:rFonts w:ascii="Arial" w:hAnsi="Arial"/>
                <w:i w:val="0"/>
                <w:color w:val="202B38"/>
                <w:sz w:val="17"/>
              </w:rPr>
              <w:t>Restaurer la dernière sauvegarde de base valide</w:t>
            </w:r>
          </w:p>
        </w:tc>
        <w:tc>
          <w:tcPr>
            <w:tcW w:type="dxa" w:w="2268"/>
            <w:shd w:fill="F4F7FA"/>
          </w:tcPr>
          <w:p>
            <w:pPr>
              <w:spacing w:after="40" w:before="40"/>
            </w:pPr>
            <w:r/>
            <w:r>
              <w:rPr>
                <w:rFonts w:ascii="Arial" w:hAnsi="Arial"/>
                <w:i w:val="0"/>
                <w:color w:val="202B38"/>
                <w:sz w:val="17"/>
              </w:rPr>
              <w:t>45 min</w:t>
            </w:r>
          </w:p>
        </w:tc>
      </w:tr>
      <w:tr>
        <w:trPr>
          <w:cantSplit/>
        </w:trPr>
        <w:tc>
          <w:tcPr>
            <w:tcW w:type="dxa" w:w="794"/>
          </w:tcPr>
          <w:p>
            <w:pPr>
              <w:spacing w:after="40" w:before="40"/>
            </w:pPr>
            <w:r/>
            <w:r>
              <w:rPr>
                <w:rFonts w:ascii="Arial" w:hAnsi="Arial"/>
                <w:i w:val="0"/>
                <w:color w:val="202B38"/>
                <w:sz w:val="17"/>
              </w:rPr>
              <w:t>5</w:t>
            </w:r>
          </w:p>
        </w:tc>
        <w:tc>
          <w:tcPr>
            <w:tcW w:type="dxa" w:w="6576"/>
          </w:tcPr>
          <w:p>
            <w:pPr>
              <w:spacing w:after="40" w:before="40"/>
            </w:pPr>
            <w:r/>
            <w:r>
              <w:rPr>
                <w:rFonts w:ascii="Arial" w:hAnsi="Arial"/>
                <w:i w:val="0"/>
                <w:color w:val="202B38"/>
                <w:sz w:val="17"/>
              </w:rPr>
              <w:t>Rejouer les journaux binaires jusqu'au point choisi</w:t>
            </w:r>
          </w:p>
        </w:tc>
        <w:tc>
          <w:tcPr>
            <w:tcW w:type="dxa" w:w="2268"/>
          </w:tcPr>
          <w:p>
            <w:pPr>
              <w:spacing w:after="40" w:before="40"/>
            </w:pPr>
            <w:r/>
            <w:r>
              <w:rPr>
                <w:rFonts w:ascii="Arial" w:hAnsi="Arial"/>
                <w:i w:val="0"/>
                <w:color w:val="202B38"/>
                <w:sz w:val="17"/>
              </w:rPr>
              <w:t>30 min</w:t>
            </w:r>
          </w:p>
        </w:tc>
      </w:tr>
      <w:tr>
        <w:trPr>
          <w:cantSplit/>
        </w:trPr>
        <w:tc>
          <w:tcPr>
            <w:tcW w:type="dxa" w:w="794"/>
            <w:shd w:fill="F4F7FA"/>
          </w:tcPr>
          <w:p>
            <w:pPr>
              <w:spacing w:after="40" w:before="40"/>
            </w:pPr>
            <w:r/>
            <w:r>
              <w:rPr>
                <w:rFonts w:ascii="Arial" w:hAnsi="Arial"/>
                <w:i w:val="0"/>
                <w:color w:val="202B38"/>
                <w:sz w:val="17"/>
              </w:rPr>
              <w:t>6</w:t>
            </w:r>
          </w:p>
        </w:tc>
        <w:tc>
          <w:tcPr>
            <w:tcW w:type="dxa" w:w="6576"/>
            <w:shd w:fill="F4F7FA"/>
          </w:tcPr>
          <w:p>
            <w:pPr>
              <w:spacing w:after="40" w:before="40"/>
            </w:pPr>
            <w:r/>
            <w:r>
              <w:rPr>
                <w:rFonts w:ascii="Arial" w:hAnsi="Arial"/>
                <w:i w:val="0"/>
                <w:color w:val="202B38"/>
                <w:sz w:val="17"/>
              </w:rPr>
              <w:t>Restaurer les pièces jointes et la configuration</w:t>
            </w:r>
          </w:p>
        </w:tc>
        <w:tc>
          <w:tcPr>
            <w:tcW w:type="dxa" w:w="2268"/>
            <w:shd w:fill="F4F7FA"/>
          </w:tcPr>
          <w:p>
            <w:pPr>
              <w:spacing w:after="40" w:before="40"/>
            </w:pPr>
            <w:r/>
            <w:r>
              <w:rPr>
                <w:rFonts w:ascii="Arial" w:hAnsi="Arial"/>
                <w:i w:val="0"/>
                <w:color w:val="202B38"/>
                <w:sz w:val="17"/>
              </w:rPr>
              <w:t>30 min</w:t>
            </w:r>
          </w:p>
        </w:tc>
      </w:tr>
      <w:tr>
        <w:trPr>
          <w:cantSplit/>
        </w:trPr>
        <w:tc>
          <w:tcPr>
            <w:tcW w:type="dxa" w:w="794"/>
          </w:tcPr>
          <w:p>
            <w:pPr>
              <w:spacing w:after="40" w:before="40"/>
            </w:pPr>
            <w:r/>
            <w:r>
              <w:rPr>
                <w:rFonts w:ascii="Arial" w:hAnsi="Arial"/>
                <w:i w:val="0"/>
                <w:color w:val="202B38"/>
                <w:sz w:val="17"/>
              </w:rPr>
              <w:t>7</w:t>
            </w:r>
          </w:p>
        </w:tc>
        <w:tc>
          <w:tcPr>
            <w:tcW w:type="dxa" w:w="6576"/>
          </w:tcPr>
          <w:p>
            <w:pPr>
              <w:spacing w:after="40" w:before="40"/>
            </w:pPr>
            <w:r/>
            <w:r>
              <w:rPr>
                <w:rFonts w:ascii="Arial" w:hAnsi="Arial"/>
                <w:i w:val="0"/>
                <w:color w:val="202B38"/>
                <w:sz w:val="17"/>
              </w:rPr>
              <w:t>Contrôler l'intégrité : connexion, volumétrie, cohérence des historiques</w:t>
            </w:r>
          </w:p>
        </w:tc>
        <w:tc>
          <w:tcPr>
            <w:tcW w:type="dxa" w:w="2268"/>
          </w:tcPr>
          <w:p>
            <w:pPr>
              <w:spacing w:after="40" w:before="40"/>
            </w:pPr>
            <w:r/>
            <w:r>
              <w:rPr>
                <w:rFonts w:ascii="Arial" w:hAnsi="Arial"/>
                <w:i w:val="0"/>
                <w:color w:val="202B38"/>
                <w:sz w:val="17"/>
              </w:rPr>
              <w:t>30 min</w:t>
            </w:r>
          </w:p>
        </w:tc>
      </w:tr>
      <w:tr>
        <w:trPr>
          <w:cantSplit/>
        </w:trPr>
        <w:tc>
          <w:tcPr>
            <w:tcW w:type="dxa" w:w="794"/>
            <w:shd w:fill="F4F7FA"/>
          </w:tcPr>
          <w:p>
            <w:pPr>
              <w:spacing w:after="40" w:before="40"/>
            </w:pPr>
            <w:r/>
            <w:r>
              <w:rPr>
                <w:rFonts w:ascii="Arial" w:hAnsi="Arial"/>
                <w:i w:val="0"/>
                <w:color w:val="202B38"/>
                <w:sz w:val="17"/>
              </w:rPr>
              <w:t>8</w:t>
            </w:r>
          </w:p>
        </w:tc>
        <w:tc>
          <w:tcPr>
            <w:tcW w:type="dxa" w:w="6576"/>
            <w:shd w:fill="F4F7FA"/>
          </w:tcPr>
          <w:p>
            <w:pPr>
              <w:spacing w:after="40" w:before="40"/>
            </w:pPr>
            <w:r/>
            <w:r>
              <w:rPr>
                <w:rFonts w:ascii="Arial" w:hAnsi="Arial"/>
                <w:i w:val="0"/>
                <w:color w:val="202B38"/>
                <w:sz w:val="17"/>
              </w:rPr>
              <w:t>Rouvrir le service et informer les organisations clientes</w:t>
            </w:r>
          </w:p>
        </w:tc>
        <w:tc>
          <w:tcPr>
            <w:tcW w:type="dxa" w:w="2268"/>
            <w:shd w:fill="F4F7FA"/>
          </w:tcPr>
          <w:p>
            <w:pPr>
              <w:spacing w:after="40" w:before="40"/>
            </w:pPr>
            <w:r/>
            <w:r>
              <w:rPr>
                <w:rFonts w:ascii="Arial" w:hAnsi="Arial"/>
                <w:i w:val="0"/>
                <w:color w:val="202B38"/>
                <w:sz w:val="17"/>
              </w:rPr>
              <w:t>15 min</w:t>
            </w:r>
          </w:p>
        </w:tc>
      </w:tr>
    </w:tbl>
    <w:p>
      <w:pPr>
        <w:spacing w:after="0"/>
      </w:pPr>
    </w:p>
    <w:p>
      <w:pPr>
        <w:spacing w:after="80"/>
        <w:jc w:val="both"/>
      </w:pPr>
      <w:r>
        <w:rPr>
          <w:rFonts w:ascii="Arial" w:hAnsi="Arial"/>
          <w:i w:val="0"/>
          <w:color w:val="202B38"/>
          <w:sz w:val="21"/>
        </w:rPr>
        <w:t>Le cumul atteint environ trois heures et demie, ce qui laisse une marge faible mais réelle au regard du RTO de quatre heures. En cas d'intrusion avérée, l'étape 2 doit s'accompagner d'une rotation de l'ensemble des secrets — clé de signature des jetons, mots de passe de base, clés Stripe — car une sauvegarde restaurée telle quelle réintroduirait des secrets potentiellement compromis.</w:t>
      </w:r>
    </w:p>
    <w:p>
      <w:pPr>
        <w:keepNext/>
        <w:spacing w:before="180" w:after="60"/>
      </w:pPr>
      <w:r>
        <w:rPr>
          <w:rFonts w:ascii="Arial" w:hAnsi="Arial"/>
          <w:b/>
          <w:color w:val="163658"/>
          <w:sz w:val="25"/>
        </w:rPr>
        <w:t>10.4 Déploiement et retour arrière</w:t>
      </w:r>
    </w:p>
    <w:p>
      <w:pPr>
        <w:spacing w:after="80"/>
        <w:jc w:val="both"/>
      </w:pPr>
      <w:r>
        <w:rPr>
          <w:rFonts w:ascii="Arial" w:hAnsi="Arial"/>
          <w:i w:val="0"/>
          <w:color w:val="202B38"/>
          <w:sz w:val="21"/>
        </w:rPr>
        <w:t xml:space="preserve">La reprise ne concerne pas que les sinistres : une livraison défectueuse doit pouvoir être annulée. Deux éléments y contribuent déjà. Le schéma de la base est géré par </w:t>
      </w:r>
      <w:r>
        <w:rPr>
          <w:rFonts w:ascii="Arial" w:hAnsi="Arial"/>
          <w:b/>
          <w:i w:val="0"/>
          <w:color w:val="202B38"/>
          <w:sz w:val="21"/>
        </w:rPr>
        <w:t>migrations versionnées</w:t>
      </w:r>
      <w:r>
        <w:rPr>
          <w:rFonts w:ascii="Arial" w:hAnsi="Arial"/>
          <w:i w:val="0"/>
          <w:color w:val="202B38"/>
          <w:sz w:val="21"/>
        </w:rPr>
        <w:t xml:space="preserve">, ce qui rend son état reproductible et traçable. Et la configuration impose à l'outil de persistance de </w:t>
      </w:r>
      <w:r>
        <w:rPr>
          <w:rFonts w:ascii="Arial" w:hAnsi="Arial"/>
          <w:b/>
          <w:i w:val="0"/>
          <w:color w:val="202B38"/>
          <w:sz w:val="21"/>
        </w:rPr>
        <w:t>valider</w:t>
      </w:r>
      <w:r>
        <w:rPr>
          <w:rFonts w:ascii="Arial" w:hAnsi="Arial"/>
          <w:i w:val="0"/>
          <w:color w:val="202B38"/>
          <w:sz w:val="21"/>
        </w:rPr>
        <w:t xml:space="preserve"> le schéma au démarrage sans jamais le modifier : une incohérence entre le code et la base est détectée immédiatement, au lieu d'entraîner une altération silencieuse des données.</w:t>
      </w:r>
    </w:p>
    <w:p>
      <w:pPr>
        <w:spacing w:after="80"/>
        <w:jc w:val="both"/>
      </w:pPr>
      <w:r>
        <w:rPr>
          <w:rFonts w:ascii="Arial" w:hAnsi="Arial"/>
          <w:i w:val="0"/>
          <w:color w:val="202B38"/>
          <w:sz w:val="21"/>
        </w:rPr>
        <w:t>Il reste à formaliser la procédure de retour arrière : conservation de la version précédente de l'application, sauvegarde systématique de la base avant toute migration, et vérification après livraison.</w:t>
      </w:r>
    </w:p>
    <w:p>
      <w:pPr>
        <w:keepNext/>
        <w:spacing w:before="300" w:after="100"/>
        <w:pBdr>
          <w:bottom w:val="single" w:sz="4" w:space="3" w:color="C8D4E2"/>
        </w:pBdr>
      </w:pPr>
      <w:r>
        <w:rPr>
          <w:rFonts w:ascii="Arial" w:hAnsi="Arial"/>
          <w:b/>
          <w:color w:val="163658"/>
          <w:sz w:val="32"/>
        </w:rPr>
        <w:t>11. Revue des dix principaux risques OWASP</w:t>
      </w:r>
    </w:p>
    <w:p>
      <w:pPr>
        <w:spacing w:after="80"/>
        <w:jc w:val="both"/>
      </w:pPr>
      <w:r>
        <w:rPr>
          <w:rFonts w:ascii="Arial" w:hAnsi="Arial"/>
          <w:i w:val="0"/>
          <w:color w:val="202B38"/>
          <w:sz w:val="21"/>
        </w:rPr>
        <w:t xml:space="preserve">L'OWASP Top 10 recense les dix catégories de failles les plus répandues dans les applications web. Chaque catégorie est reprise ci-dessous, confrontée à l'exposition réelle de TrackIT et aux mesures en place. Le risque résiduel est ce qui subsiste </w:t>
      </w:r>
      <w:r>
        <w:rPr>
          <w:rFonts w:ascii="Arial" w:hAnsi="Arial"/>
          <w:b/>
          <w:i w:val="0"/>
          <w:color w:val="202B38"/>
          <w:sz w:val="21"/>
        </w:rPr>
        <w:t>après</w:t>
      </w:r>
      <w:r>
        <w:rPr>
          <w:rFonts w:ascii="Arial" w:hAnsi="Arial"/>
          <w:i w:val="0"/>
          <w:color w:val="202B38"/>
          <w:sz w:val="21"/>
        </w:rPr>
        <w:t xml:space="preserve"> application de ces mesures.</w:t>
      </w:r>
    </w:p>
    <w:p>
      <w:pPr>
        <w:keepNext/>
        <w:spacing w:before="180" w:after="60"/>
      </w:pPr>
      <w:r>
        <w:rPr>
          <w:rFonts w:ascii="Arial" w:hAnsi="Arial"/>
          <w:b/>
          <w:color w:val="163658"/>
          <w:sz w:val="25"/>
        </w:rPr>
        <w:t>A01 — Contrôle d'accès défaillant</w:t>
      </w:r>
    </w:p>
    <w:p>
      <w:pPr>
        <w:spacing w:after="80"/>
        <w:jc w:val="both"/>
      </w:pPr>
      <w:r>
        <w:rPr>
          <w:rFonts w:ascii="Arial" w:hAnsi="Arial"/>
          <w:b/>
          <w:i w:val="0"/>
          <w:color w:val="202B38"/>
          <w:sz w:val="21"/>
        </w:rPr>
        <w:t>Exposition : forte.</w:t>
      </w:r>
      <w:r>
        <w:rPr>
          <w:rFonts w:ascii="Arial" w:hAnsi="Arial"/>
          <w:i w:val="0"/>
          <w:color w:val="202B38"/>
          <w:sz w:val="21"/>
        </w:rPr>
        <w:t xml:space="preserve"> C'est le risque principal d'une API multi-rôles et multi-organisations. Mesures en place : contrôle du rôle par annotation sur chaque opération sensible, règles métier dans la couche service, filtrage par organisation appliqué à toutes les requêtes de lecture, réponse 404 plutôt que 403 pour ne pas révéler l'existence des ressources d'autrui, et seize tests automatisés vérifiant ces règles. </w:t>
      </w:r>
      <w:r>
        <w:rPr>
          <w:rFonts w:ascii="Arial" w:hAnsi="Arial"/>
          <w:b/>
          <w:i w:val="0"/>
          <w:color w:val="202B38"/>
          <w:sz w:val="21"/>
        </w:rPr>
        <w:t>Risque résiduel : faible.</w:t>
      </w:r>
    </w:p>
    <w:p>
      <w:pPr>
        <w:keepNext/>
        <w:spacing w:before="180" w:after="60"/>
      </w:pPr>
      <w:r>
        <w:rPr>
          <w:rFonts w:ascii="Arial" w:hAnsi="Arial"/>
          <w:b/>
          <w:color w:val="163658"/>
          <w:sz w:val="25"/>
        </w:rPr>
        <w:t>A02 — Défaillances cryptographiques</w:t>
      </w:r>
    </w:p>
    <w:p>
      <w:pPr>
        <w:spacing w:after="80"/>
        <w:jc w:val="both"/>
      </w:pPr>
      <w:r>
        <w:rPr>
          <w:rFonts w:ascii="Arial" w:hAnsi="Arial"/>
          <w:b/>
          <w:i w:val="0"/>
          <w:color w:val="202B38"/>
          <w:sz w:val="21"/>
        </w:rPr>
        <w:t>Exposition : moyenne.</w:t>
      </w:r>
      <w:r>
        <w:rPr>
          <w:rFonts w:ascii="Arial" w:hAnsi="Arial"/>
          <w:i w:val="0"/>
          <w:color w:val="202B38"/>
          <w:sz w:val="21"/>
        </w:rPr>
        <w:t xml:space="preserve"> Mesures en place : mots de passe protégés par BCrypt avec sel automatique, jetons signés avec une clé de 512 bits, secrets externalisés et absents du dépôt, aucune donnée confidentielle placée dans le jeton. En revanche, les données transitent en clair tant que le chiffrement du transport n'est pas activé. </w:t>
      </w:r>
      <w:r>
        <w:rPr>
          <w:rFonts w:ascii="Arial" w:hAnsi="Arial"/>
          <w:b/>
          <w:i w:val="0"/>
          <w:color w:val="202B38"/>
          <w:sz w:val="21"/>
        </w:rPr>
        <w:t>Risque résiduel : élevé jusqu'à l'activation de HTTPS, faible ensuite.</w:t>
      </w:r>
    </w:p>
    <w:p>
      <w:pPr>
        <w:keepNext/>
        <w:spacing w:before="180" w:after="60"/>
      </w:pPr>
      <w:r>
        <w:rPr>
          <w:rFonts w:ascii="Arial" w:hAnsi="Arial"/>
          <w:b/>
          <w:color w:val="163658"/>
          <w:sz w:val="25"/>
        </w:rPr>
        <w:t>A03 — Injection</w:t>
      </w:r>
    </w:p>
    <w:p>
      <w:pPr>
        <w:spacing w:after="80"/>
        <w:jc w:val="both"/>
      </w:pPr>
      <w:r>
        <w:rPr>
          <w:rFonts w:ascii="Arial" w:hAnsi="Arial"/>
          <w:b/>
          <w:i w:val="0"/>
          <w:color w:val="202B38"/>
          <w:sz w:val="21"/>
        </w:rPr>
        <w:t>Exposition : moyenne.</w:t>
      </w:r>
      <w:r>
        <w:rPr>
          <w:rFonts w:ascii="Arial" w:hAnsi="Arial"/>
          <w:i w:val="0"/>
          <w:color w:val="202B38"/>
          <w:sz w:val="21"/>
        </w:rPr>
        <w:t xml:space="preserve"> Mesures en place : l'accès aux données passe exclusivement par une couche de persistance qui construit des requêtes paramétrées, y compris pour la recherche multicritère ; aucune concaténation de chaîne SQL n'a été trouvée. Toutes les entrées sont validées de façon déclarative, et les paramètres de pagination sont bornés. Côté client, les données du serveur sont échappées avant insertion dans la page. </w:t>
      </w:r>
      <w:r>
        <w:rPr>
          <w:rFonts w:ascii="Arial" w:hAnsi="Arial"/>
          <w:b/>
          <w:i w:val="0"/>
          <w:color w:val="202B38"/>
          <w:sz w:val="21"/>
        </w:rPr>
        <w:t>Risque résiduel : faible.</w:t>
      </w:r>
    </w:p>
    <w:p>
      <w:pPr>
        <w:keepNext/>
        <w:spacing w:before="180" w:after="60"/>
      </w:pPr>
      <w:r>
        <w:rPr>
          <w:rFonts w:ascii="Arial" w:hAnsi="Arial"/>
          <w:b/>
          <w:color w:val="163658"/>
          <w:sz w:val="25"/>
        </w:rPr>
        <w:t>A04 — Conception non sécurisée</w:t>
      </w:r>
    </w:p>
    <w:p>
      <w:pPr>
        <w:spacing w:after="80"/>
        <w:jc w:val="both"/>
      </w:pPr>
      <w:r>
        <w:rPr>
          <w:rFonts w:ascii="Arial" w:hAnsi="Arial"/>
          <w:b/>
          <w:i w:val="0"/>
          <w:color w:val="202B38"/>
          <w:sz w:val="21"/>
        </w:rPr>
        <w:t>Exposition : moyenne.</w:t>
      </w:r>
      <w:r>
        <w:rPr>
          <w:rFonts w:ascii="Arial" w:hAnsi="Arial"/>
          <w:i w:val="0"/>
          <w:color w:val="202B38"/>
          <w:sz w:val="21"/>
        </w:rPr>
        <w:t xml:space="preserve"> Mesures en place : modèle de rôles pensé en amont, cycle de vie des anomalies contrôlé par des transitions explicites, cloisonnement multi-organisations intégré au modèle de données. Faiblesses de conception subsistantes : absence de parcours de récupération de mot de passe et absence de limitation du débit, deux fonctions qui relèvent de la conception et non du réglage. </w:t>
      </w:r>
      <w:r>
        <w:rPr>
          <w:rFonts w:ascii="Arial" w:hAnsi="Arial"/>
          <w:b/>
          <w:i w:val="0"/>
          <w:color w:val="202B38"/>
          <w:sz w:val="21"/>
        </w:rPr>
        <w:t>Risque résiduel : moyen.</w:t>
      </w:r>
    </w:p>
    <w:p>
      <w:pPr>
        <w:keepNext/>
        <w:spacing w:before="180" w:after="60"/>
      </w:pPr>
      <w:r>
        <w:rPr>
          <w:rFonts w:ascii="Arial" w:hAnsi="Arial"/>
          <w:b/>
          <w:color w:val="163658"/>
          <w:sz w:val="25"/>
        </w:rPr>
        <w:t>A05 — Mauvaise configuration de sécurité</w:t>
      </w:r>
    </w:p>
    <w:p>
      <w:pPr>
        <w:spacing w:after="80"/>
        <w:jc w:val="both"/>
      </w:pPr>
      <w:r>
        <w:rPr>
          <w:rFonts w:ascii="Arial" w:hAnsi="Arial"/>
          <w:b/>
          <w:i w:val="0"/>
          <w:color w:val="202B38"/>
          <w:sz w:val="21"/>
        </w:rPr>
        <w:t>Exposition : moyenne.</w:t>
      </w:r>
      <w:r>
        <w:rPr>
          <w:rFonts w:ascii="Arial" w:hAnsi="Arial"/>
          <w:i w:val="0"/>
          <w:color w:val="202B38"/>
          <w:sz w:val="21"/>
        </w:rPr>
        <w:t xml:space="preserve"> Mesures en place : aucune trace d'exception n'est renvoyée au client, les messages d'erreur sont uniformisés, le schéma de base est validé et non modifié au démarrage, les en-têtes de protection par défaut sont actifs, et la clé de signature est obligatoire. Manquent une politique de sécurité du contenu et l'en-tête HSTS. </w:t>
      </w:r>
      <w:r>
        <w:rPr>
          <w:rFonts w:ascii="Arial" w:hAnsi="Arial"/>
          <w:b/>
          <w:i w:val="0"/>
          <w:color w:val="202B38"/>
          <w:sz w:val="21"/>
        </w:rPr>
        <w:t>Risque résiduel : moyen.</w:t>
      </w:r>
    </w:p>
    <w:p>
      <w:pPr>
        <w:keepNext/>
        <w:spacing w:before="180" w:after="60"/>
      </w:pPr>
      <w:r>
        <w:rPr>
          <w:rFonts w:ascii="Arial" w:hAnsi="Arial"/>
          <w:b/>
          <w:color w:val="163658"/>
          <w:sz w:val="25"/>
        </w:rPr>
        <w:t>A06 — Composants vulnérables ou obsolètes</w:t>
      </w:r>
    </w:p>
    <w:p>
      <w:pPr>
        <w:spacing w:after="80"/>
        <w:jc w:val="both"/>
      </w:pPr>
      <w:r>
        <w:rPr>
          <w:rFonts w:ascii="Arial" w:hAnsi="Arial"/>
          <w:b/>
          <w:i w:val="0"/>
          <w:color w:val="202B38"/>
          <w:sz w:val="21"/>
        </w:rPr>
        <w:t>Exposition : moyenne.</w:t>
      </w:r>
      <w:r>
        <w:rPr>
          <w:rFonts w:ascii="Arial" w:hAnsi="Arial"/>
          <w:i w:val="0"/>
          <w:color w:val="202B38"/>
          <w:sz w:val="21"/>
        </w:rPr>
        <w:t xml:space="preserve"> L'application s'appuie sur un socle récent et maintenu (Spring Boot 3.3.5, Java 17), avec des versions de bibliothèques explicitement fixées, ce qui rend les livraisons reproductibles. En revanche, aucune analyse automatisée des vulnérabilités connues n'est effectuée : une faille publiée sur une dépendance ne serait pas détectée. </w:t>
      </w:r>
      <w:r>
        <w:rPr>
          <w:rFonts w:ascii="Arial" w:hAnsi="Arial"/>
          <w:b/>
          <w:i w:val="0"/>
          <w:color w:val="202B38"/>
          <w:sz w:val="21"/>
        </w:rPr>
        <w:t>Mesure proposée :</w:t>
      </w:r>
      <w:r>
        <w:rPr>
          <w:rFonts w:ascii="Arial" w:hAnsi="Arial"/>
          <w:i w:val="0"/>
          <w:color w:val="202B38"/>
          <w:sz w:val="21"/>
        </w:rPr>
        <w:t xml:space="preserve"> intégrer un contrôle de dépendances à chaque livraison. </w:t>
      </w:r>
      <w:r>
        <w:rPr>
          <w:rFonts w:ascii="Arial" w:hAnsi="Arial"/>
          <w:b/>
          <w:i w:val="0"/>
          <w:color w:val="202B38"/>
          <w:sz w:val="21"/>
        </w:rPr>
        <w:t>Risque résiduel : moyen.</w:t>
      </w:r>
    </w:p>
    <w:p>
      <w:pPr>
        <w:keepNext/>
        <w:spacing w:before="180" w:after="60"/>
      </w:pPr>
      <w:r>
        <w:rPr>
          <w:rFonts w:ascii="Arial" w:hAnsi="Arial"/>
          <w:b/>
          <w:color w:val="163658"/>
          <w:sz w:val="25"/>
        </w:rPr>
        <w:t>A07 — Défaillances d'identification et d'authentification</w:t>
      </w:r>
    </w:p>
    <w:p>
      <w:pPr>
        <w:spacing w:after="80"/>
        <w:jc w:val="both"/>
      </w:pPr>
      <w:r>
        <w:rPr>
          <w:rFonts w:ascii="Arial" w:hAnsi="Arial"/>
          <w:b/>
          <w:i w:val="0"/>
          <w:color w:val="202B38"/>
          <w:sz w:val="21"/>
        </w:rPr>
        <w:t>Exposition : forte.</w:t>
      </w:r>
      <w:r>
        <w:rPr>
          <w:rFonts w:ascii="Arial" w:hAnsi="Arial"/>
          <w:i w:val="0"/>
          <w:color w:val="202B38"/>
          <w:sz w:val="21"/>
        </w:rPr>
        <w:t xml:space="preserve"> Mesures en place : empreintes BCrypt, message d'échec identique que le compte existe ou non, prise en compte immédiate d'un compte désactivé, mot de passe actuel exigé pour tout changement. Faiblesses : aucune limitation des tentatives, politique de mot de passe permissive, absence de second facteur, absence de réinitialisation autonome. </w:t>
      </w:r>
      <w:r>
        <w:rPr>
          <w:rFonts w:ascii="Arial" w:hAnsi="Arial"/>
          <w:b/>
          <w:i w:val="0"/>
          <w:color w:val="202B38"/>
          <w:sz w:val="21"/>
        </w:rPr>
        <w:t>Risque résiduel : élevé.</w:t>
      </w:r>
      <w:r>
        <w:rPr>
          <w:rFonts w:ascii="Arial" w:hAnsi="Arial"/>
          <w:i w:val="0"/>
          <w:color w:val="202B38"/>
          <w:sz w:val="21"/>
        </w:rPr>
        <w:t xml:space="preserve"> C'est, avec A02, la catégorie la plus exposée de l'application.</w:t>
      </w:r>
    </w:p>
    <w:p>
      <w:pPr>
        <w:keepNext/>
        <w:spacing w:before="180" w:after="60"/>
      </w:pPr>
      <w:r>
        <w:rPr>
          <w:rFonts w:ascii="Arial" w:hAnsi="Arial"/>
          <w:b/>
          <w:color w:val="163658"/>
          <w:sz w:val="25"/>
        </w:rPr>
        <w:t>A08 — Défaut d'intégrité des données et des logiciels</w:t>
      </w:r>
    </w:p>
    <w:p>
      <w:pPr>
        <w:spacing w:after="80"/>
        <w:jc w:val="both"/>
      </w:pPr>
      <w:r>
        <w:rPr>
          <w:rFonts w:ascii="Arial" w:hAnsi="Arial"/>
          <w:b/>
          <w:i w:val="0"/>
          <w:color w:val="202B38"/>
          <w:sz w:val="21"/>
        </w:rPr>
        <w:t>Exposition : faible.</w:t>
      </w:r>
      <w:r>
        <w:rPr>
          <w:rFonts w:ascii="Arial" w:hAnsi="Arial"/>
          <w:i w:val="0"/>
          <w:color w:val="202B38"/>
          <w:sz w:val="21"/>
        </w:rPr>
        <w:t xml:space="preserve"> Mesures en place : la signature des notifications de paiement est vérifiée avant tout traitement, ce qui empêche un tiers de simuler un paiement accepté ; les évolutions du schéma passent par des migrations versionnées et ordonnées ; les dépendances proviennent du dépôt central Maven avec des versions fixées. </w:t>
      </w:r>
      <w:r>
        <w:rPr>
          <w:rFonts w:ascii="Arial" w:hAnsi="Arial"/>
          <w:b/>
          <w:i w:val="0"/>
          <w:color w:val="202B38"/>
          <w:sz w:val="21"/>
        </w:rPr>
        <w:t>Risque résiduel : faible.</w:t>
      </w:r>
    </w:p>
    <w:p>
      <w:pPr>
        <w:keepNext/>
        <w:spacing w:before="180" w:after="60"/>
      </w:pPr>
      <w:r>
        <w:rPr>
          <w:rFonts w:ascii="Arial" w:hAnsi="Arial"/>
          <w:b/>
          <w:color w:val="163658"/>
          <w:sz w:val="25"/>
        </w:rPr>
        <w:t>A09 — Carences de journalisation et de supervision</w:t>
      </w:r>
    </w:p>
    <w:p>
      <w:pPr>
        <w:spacing w:after="80"/>
        <w:jc w:val="both"/>
      </w:pPr>
      <w:r>
        <w:rPr>
          <w:rFonts w:ascii="Arial" w:hAnsi="Arial"/>
          <w:b/>
          <w:i w:val="0"/>
          <w:color w:val="202B38"/>
          <w:sz w:val="21"/>
        </w:rPr>
        <w:t>Exposition : forte.</w:t>
      </w:r>
      <w:r>
        <w:rPr>
          <w:rFonts w:ascii="Arial" w:hAnsi="Arial"/>
          <w:i w:val="0"/>
          <w:color w:val="202B38"/>
          <w:sz w:val="21"/>
        </w:rPr>
        <w:t xml:space="preserve"> L'historique fonctionnel trace les actions des utilisateurs autorisés, mais aucun journal ne recense les événements de sécurité et aucune alerte n'est déclenchée. Une intrusion pourrait rester indétectée. C'est l'objet du chapitre 9. </w:t>
      </w:r>
      <w:r>
        <w:rPr>
          <w:rFonts w:ascii="Arial" w:hAnsi="Arial"/>
          <w:b/>
          <w:i w:val="0"/>
          <w:color w:val="202B38"/>
          <w:sz w:val="21"/>
        </w:rPr>
        <w:t>Risque résiduel : élevé.</w:t>
      </w:r>
    </w:p>
    <w:p>
      <w:pPr>
        <w:keepNext/>
        <w:spacing w:before="180" w:after="60"/>
      </w:pPr>
      <w:r>
        <w:rPr>
          <w:rFonts w:ascii="Arial" w:hAnsi="Arial"/>
          <w:b/>
          <w:color w:val="163658"/>
          <w:sz w:val="25"/>
        </w:rPr>
        <w:t>A10 — Falsification de requête côté serveur</w:t>
      </w:r>
    </w:p>
    <w:p>
      <w:pPr>
        <w:spacing w:after="80"/>
        <w:jc w:val="both"/>
      </w:pPr>
      <w:r>
        <w:rPr>
          <w:rFonts w:ascii="Arial" w:hAnsi="Arial"/>
          <w:b/>
          <w:i w:val="0"/>
          <w:color w:val="202B38"/>
          <w:sz w:val="21"/>
        </w:rPr>
        <w:t>Exposition : très faible.</w:t>
      </w:r>
      <w:r>
        <w:rPr>
          <w:rFonts w:ascii="Arial" w:hAnsi="Arial"/>
          <w:i w:val="0"/>
          <w:color w:val="202B38"/>
          <w:sz w:val="21"/>
        </w:rPr>
        <w:t xml:space="preserve"> L'application n'effectue aucun appel réseau vers une URL fournie par un utilisateur. Les seuls appels sortants visent Stripe, dont l'adresse est fixée dans la configuration. </w:t>
      </w:r>
      <w:r>
        <w:rPr>
          <w:rFonts w:ascii="Arial" w:hAnsi="Arial"/>
          <w:b/>
          <w:i w:val="0"/>
          <w:color w:val="202B38"/>
          <w:sz w:val="21"/>
        </w:rPr>
        <w:t>Risque résiduel : très faible.</w:t>
      </w:r>
    </w:p>
    <w:p>
      <w:pPr>
        <w:keepNext/>
        <w:spacing w:before="180" w:after="60"/>
      </w:pPr>
      <w:r>
        <w:rPr>
          <w:rFonts w:ascii="Arial" w:hAnsi="Arial"/>
          <w:b/>
          <w:color w:val="163658"/>
          <w:sz w:val="25"/>
        </w:rPr>
        <w:t>Synthèse de la couverture</w:t>
      </w:r>
    </w:p>
    <w:tbl>
      <w:tblPr>
        <w:tblStyle w:val="TableGrid"/>
        <w:tblW w:type="auto" w:w="0"/>
        <w:jc w:val="center"/>
        <w:tblLayout w:type="fixed"/>
        <w:tblLook w:firstColumn="1" w:firstRow="1" w:lastColumn="0" w:lastRow="0" w:noHBand="0" w:noVBand="1" w:val="04A0"/>
        <w:tblLayout w:type="fixed"/>
      </w:tblPr>
      <w:tblGrid>
        <w:gridCol w:w="4535"/>
        <w:gridCol w:w="2494"/>
        <w:gridCol w:w="2608"/>
      </w:tblGrid>
      <w:tr>
        <w:trPr>
          <w:tblHeader w:val="true"/>
          <w:cantSplit/>
        </w:trPr>
        <w:tc>
          <w:tcPr>
            <w:tcW w:type="dxa" w:w="4535"/>
            <w:shd w:fill="163658"/>
          </w:tcPr>
          <w:p>
            <w:pPr>
              <w:spacing w:after="40" w:before="40"/>
            </w:pPr>
            <w:r/>
            <w:r>
              <w:rPr>
                <w:rFonts w:ascii="Arial" w:hAnsi="Arial"/>
                <w:b/>
                <w:color w:val="FFFFFF"/>
                <w:sz w:val="17"/>
              </w:rPr>
              <w:t>Catégorie OWASP</w:t>
            </w:r>
          </w:p>
        </w:tc>
        <w:tc>
          <w:tcPr>
            <w:tcW w:type="dxa" w:w="2494"/>
            <w:shd w:fill="163658"/>
          </w:tcPr>
          <w:p>
            <w:pPr>
              <w:spacing w:after="40" w:before="40"/>
            </w:pPr>
            <w:r/>
            <w:r>
              <w:rPr>
                <w:rFonts w:ascii="Arial" w:hAnsi="Arial"/>
                <w:b/>
                <w:color w:val="FFFFFF"/>
                <w:sz w:val="17"/>
              </w:rPr>
              <w:t>Exposition</w:t>
            </w:r>
          </w:p>
        </w:tc>
        <w:tc>
          <w:tcPr>
            <w:tcW w:type="dxa" w:w="2608"/>
            <w:shd w:fill="163658"/>
          </w:tcPr>
          <w:p>
            <w:pPr>
              <w:spacing w:after="40" w:before="40"/>
            </w:pPr>
            <w:r/>
            <w:r>
              <w:rPr>
                <w:rFonts w:ascii="Arial" w:hAnsi="Arial"/>
                <w:b/>
                <w:color w:val="FFFFFF"/>
                <w:sz w:val="17"/>
              </w:rPr>
              <w:t>Risque résiduel</w:t>
            </w:r>
          </w:p>
        </w:tc>
      </w:tr>
      <w:tr>
        <w:trPr>
          <w:cantSplit/>
        </w:trPr>
        <w:tc>
          <w:tcPr>
            <w:tcW w:type="dxa" w:w="4535"/>
          </w:tcPr>
          <w:p>
            <w:pPr>
              <w:spacing w:after="40" w:before="40"/>
            </w:pPr>
            <w:r/>
            <w:r>
              <w:rPr>
                <w:rFonts w:ascii="Arial" w:hAnsi="Arial"/>
                <w:i w:val="0"/>
                <w:color w:val="202B38"/>
                <w:sz w:val="17"/>
              </w:rPr>
              <w:t>A01 — Contrôle d'accès défaillant</w:t>
            </w:r>
          </w:p>
        </w:tc>
        <w:tc>
          <w:tcPr>
            <w:tcW w:type="dxa" w:w="2494"/>
          </w:tcPr>
          <w:p>
            <w:pPr>
              <w:spacing w:after="40" w:before="40"/>
            </w:pPr>
            <w:r/>
            <w:r>
              <w:rPr>
                <w:rFonts w:ascii="Arial" w:hAnsi="Arial"/>
                <w:i w:val="0"/>
                <w:color w:val="202B38"/>
                <w:sz w:val="17"/>
              </w:rPr>
              <w:t>Forte</w:t>
            </w:r>
          </w:p>
        </w:tc>
        <w:tc>
          <w:tcPr>
            <w:tcW w:type="dxa" w:w="2608"/>
          </w:tcPr>
          <w:p>
            <w:pPr>
              <w:spacing w:after="40" w:before="40"/>
            </w:pPr>
            <w:r>
              <w:rPr>
                <w:b/>
              </w:rPr>
            </w:r>
            <w:r>
              <w:rPr>
                <w:rFonts w:ascii="Arial" w:hAnsi="Arial"/>
                <w:b/>
                <w:i w:val="0"/>
                <w:color w:val="237A53"/>
                <w:sz w:val="17"/>
              </w:rPr>
              <w:t>Faible</w:t>
            </w:r>
          </w:p>
        </w:tc>
      </w:tr>
      <w:tr>
        <w:trPr>
          <w:cantSplit/>
        </w:trPr>
        <w:tc>
          <w:tcPr>
            <w:tcW w:type="dxa" w:w="4535"/>
            <w:shd w:fill="F4F7FA"/>
          </w:tcPr>
          <w:p>
            <w:pPr>
              <w:spacing w:after="40" w:before="40"/>
            </w:pPr>
            <w:r/>
            <w:r>
              <w:rPr>
                <w:rFonts w:ascii="Arial" w:hAnsi="Arial"/>
                <w:i w:val="0"/>
                <w:color w:val="202B38"/>
                <w:sz w:val="17"/>
              </w:rPr>
              <w:t>A02 — Défaillances cryptographiques</w:t>
            </w:r>
          </w:p>
        </w:tc>
        <w:tc>
          <w:tcPr>
            <w:tcW w:type="dxa" w:w="2494"/>
            <w:shd w:fill="F4F7FA"/>
          </w:tcPr>
          <w:p>
            <w:pPr>
              <w:spacing w:after="40" w:before="40"/>
            </w:pPr>
            <w:r/>
            <w:r>
              <w:rPr>
                <w:rFonts w:ascii="Arial" w:hAnsi="Arial"/>
                <w:i w:val="0"/>
                <w:color w:val="202B38"/>
                <w:sz w:val="17"/>
              </w:rPr>
              <w:t>Moyenne</w:t>
            </w:r>
          </w:p>
        </w:tc>
        <w:tc>
          <w:tcPr>
            <w:tcW w:type="dxa" w:w="2608"/>
            <w:shd w:fill="F4F7FA"/>
          </w:tcPr>
          <w:p>
            <w:pPr>
              <w:spacing w:after="40" w:before="40"/>
            </w:pPr>
            <w:r>
              <w:rPr>
                <w:b/>
              </w:rPr>
            </w:r>
            <w:r>
              <w:rPr>
                <w:rFonts w:ascii="Arial" w:hAnsi="Arial"/>
                <w:b/>
                <w:i w:val="0"/>
                <w:color w:val="B42332"/>
                <w:sz w:val="17"/>
              </w:rPr>
              <w:t>Élevé (sans HTTPS)</w:t>
            </w:r>
          </w:p>
        </w:tc>
      </w:tr>
      <w:tr>
        <w:trPr>
          <w:cantSplit/>
        </w:trPr>
        <w:tc>
          <w:tcPr>
            <w:tcW w:type="dxa" w:w="4535"/>
          </w:tcPr>
          <w:p>
            <w:pPr>
              <w:spacing w:after="40" w:before="40"/>
            </w:pPr>
            <w:r/>
            <w:r>
              <w:rPr>
                <w:rFonts w:ascii="Arial" w:hAnsi="Arial"/>
                <w:i w:val="0"/>
                <w:color w:val="202B38"/>
                <w:sz w:val="17"/>
              </w:rPr>
              <w:t>A03 — Injection</w:t>
            </w:r>
          </w:p>
        </w:tc>
        <w:tc>
          <w:tcPr>
            <w:tcW w:type="dxa" w:w="2494"/>
          </w:tcPr>
          <w:p>
            <w:pPr>
              <w:spacing w:after="40" w:before="40"/>
            </w:pPr>
            <w:r/>
            <w:r>
              <w:rPr>
                <w:rFonts w:ascii="Arial" w:hAnsi="Arial"/>
                <w:i w:val="0"/>
                <w:color w:val="202B38"/>
                <w:sz w:val="17"/>
              </w:rPr>
              <w:t>Moyenne</w:t>
            </w:r>
          </w:p>
        </w:tc>
        <w:tc>
          <w:tcPr>
            <w:tcW w:type="dxa" w:w="2608"/>
          </w:tcPr>
          <w:p>
            <w:pPr>
              <w:spacing w:after="40" w:before="40"/>
            </w:pPr>
            <w:r>
              <w:rPr>
                <w:b/>
              </w:rPr>
            </w:r>
            <w:r>
              <w:rPr>
                <w:rFonts w:ascii="Arial" w:hAnsi="Arial"/>
                <w:b/>
                <w:i w:val="0"/>
                <w:color w:val="237A53"/>
                <w:sz w:val="17"/>
              </w:rPr>
              <w:t>Faible</w:t>
            </w:r>
          </w:p>
        </w:tc>
      </w:tr>
      <w:tr>
        <w:trPr>
          <w:cantSplit/>
        </w:trPr>
        <w:tc>
          <w:tcPr>
            <w:tcW w:type="dxa" w:w="4535"/>
            <w:shd w:fill="F4F7FA"/>
          </w:tcPr>
          <w:p>
            <w:pPr>
              <w:spacing w:after="40" w:before="40"/>
            </w:pPr>
            <w:r/>
            <w:r>
              <w:rPr>
                <w:rFonts w:ascii="Arial" w:hAnsi="Arial"/>
                <w:i w:val="0"/>
                <w:color w:val="202B38"/>
                <w:sz w:val="17"/>
              </w:rPr>
              <w:t>A04 — Conception non sécurisée</w:t>
            </w:r>
          </w:p>
        </w:tc>
        <w:tc>
          <w:tcPr>
            <w:tcW w:type="dxa" w:w="2494"/>
            <w:shd w:fill="F4F7FA"/>
          </w:tcPr>
          <w:p>
            <w:pPr>
              <w:spacing w:after="40" w:before="40"/>
            </w:pPr>
            <w:r/>
            <w:r>
              <w:rPr>
                <w:rFonts w:ascii="Arial" w:hAnsi="Arial"/>
                <w:i w:val="0"/>
                <w:color w:val="202B38"/>
                <w:sz w:val="17"/>
              </w:rPr>
              <w:t>Moyenne</w:t>
            </w:r>
          </w:p>
        </w:tc>
        <w:tc>
          <w:tcPr>
            <w:tcW w:type="dxa" w:w="2608"/>
            <w:shd w:fill="F4F7FA"/>
          </w:tcPr>
          <w:p>
            <w:pPr>
              <w:spacing w:after="40" w:before="40"/>
            </w:pPr>
            <w:r>
              <w:rPr>
                <w:b/>
              </w:rPr>
            </w:r>
            <w:r>
              <w:rPr>
                <w:rFonts w:ascii="Arial" w:hAnsi="Arial"/>
                <w:b/>
                <w:i w:val="0"/>
                <w:color w:val="A65A12"/>
                <w:sz w:val="17"/>
              </w:rPr>
              <w:t>Moyen</w:t>
            </w:r>
          </w:p>
        </w:tc>
      </w:tr>
      <w:tr>
        <w:trPr>
          <w:cantSplit/>
        </w:trPr>
        <w:tc>
          <w:tcPr>
            <w:tcW w:type="dxa" w:w="4535"/>
          </w:tcPr>
          <w:p>
            <w:pPr>
              <w:spacing w:after="40" w:before="40"/>
            </w:pPr>
            <w:r/>
            <w:r>
              <w:rPr>
                <w:rFonts w:ascii="Arial" w:hAnsi="Arial"/>
                <w:i w:val="0"/>
                <w:color w:val="202B38"/>
                <w:sz w:val="17"/>
              </w:rPr>
              <w:t>A05 — Mauvaise configuration</w:t>
            </w:r>
          </w:p>
        </w:tc>
        <w:tc>
          <w:tcPr>
            <w:tcW w:type="dxa" w:w="2494"/>
          </w:tcPr>
          <w:p>
            <w:pPr>
              <w:spacing w:after="40" w:before="40"/>
            </w:pPr>
            <w:r/>
            <w:r>
              <w:rPr>
                <w:rFonts w:ascii="Arial" w:hAnsi="Arial"/>
                <w:i w:val="0"/>
                <w:color w:val="202B38"/>
                <w:sz w:val="17"/>
              </w:rPr>
              <w:t>Moyenne</w:t>
            </w:r>
          </w:p>
        </w:tc>
        <w:tc>
          <w:tcPr>
            <w:tcW w:type="dxa" w:w="2608"/>
          </w:tcPr>
          <w:p>
            <w:pPr>
              <w:spacing w:after="40" w:before="40"/>
            </w:pPr>
            <w:r>
              <w:rPr>
                <w:b/>
              </w:rPr>
            </w:r>
            <w:r>
              <w:rPr>
                <w:rFonts w:ascii="Arial" w:hAnsi="Arial"/>
                <w:b/>
                <w:i w:val="0"/>
                <w:color w:val="A65A12"/>
                <w:sz w:val="17"/>
              </w:rPr>
              <w:t>Moyen</w:t>
            </w:r>
          </w:p>
        </w:tc>
      </w:tr>
      <w:tr>
        <w:trPr>
          <w:cantSplit/>
        </w:trPr>
        <w:tc>
          <w:tcPr>
            <w:tcW w:type="dxa" w:w="4535"/>
            <w:shd w:fill="F4F7FA"/>
          </w:tcPr>
          <w:p>
            <w:pPr>
              <w:spacing w:after="40" w:before="40"/>
            </w:pPr>
            <w:r/>
            <w:r>
              <w:rPr>
                <w:rFonts w:ascii="Arial" w:hAnsi="Arial"/>
                <w:i w:val="0"/>
                <w:color w:val="202B38"/>
                <w:sz w:val="17"/>
              </w:rPr>
              <w:t>A06 — Composants vulnérables</w:t>
            </w:r>
          </w:p>
        </w:tc>
        <w:tc>
          <w:tcPr>
            <w:tcW w:type="dxa" w:w="2494"/>
            <w:shd w:fill="F4F7FA"/>
          </w:tcPr>
          <w:p>
            <w:pPr>
              <w:spacing w:after="40" w:before="40"/>
            </w:pPr>
            <w:r/>
            <w:r>
              <w:rPr>
                <w:rFonts w:ascii="Arial" w:hAnsi="Arial"/>
                <w:i w:val="0"/>
                <w:color w:val="202B38"/>
                <w:sz w:val="17"/>
              </w:rPr>
              <w:t>Moyenne</w:t>
            </w:r>
          </w:p>
        </w:tc>
        <w:tc>
          <w:tcPr>
            <w:tcW w:type="dxa" w:w="2608"/>
            <w:shd w:fill="F4F7FA"/>
          </w:tcPr>
          <w:p>
            <w:pPr>
              <w:spacing w:after="40" w:before="40"/>
            </w:pPr>
            <w:r>
              <w:rPr>
                <w:b/>
              </w:rPr>
            </w:r>
            <w:r>
              <w:rPr>
                <w:rFonts w:ascii="Arial" w:hAnsi="Arial"/>
                <w:b/>
                <w:i w:val="0"/>
                <w:color w:val="A65A12"/>
                <w:sz w:val="17"/>
              </w:rPr>
              <w:t>Moyen</w:t>
            </w:r>
          </w:p>
        </w:tc>
      </w:tr>
      <w:tr>
        <w:trPr>
          <w:cantSplit/>
        </w:trPr>
        <w:tc>
          <w:tcPr>
            <w:tcW w:type="dxa" w:w="4535"/>
          </w:tcPr>
          <w:p>
            <w:pPr>
              <w:spacing w:after="40" w:before="40"/>
            </w:pPr>
            <w:r/>
            <w:r>
              <w:rPr>
                <w:rFonts w:ascii="Arial" w:hAnsi="Arial"/>
                <w:i w:val="0"/>
                <w:color w:val="202B38"/>
                <w:sz w:val="17"/>
              </w:rPr>
              <w:t>A07 — Défaillances d'authentification</w:t>
            </w:r>
          </w:p>
        </w:tc>
        <w:tc>
          <w:tcPr>
            <w:tcW w:type="dxa" w:w="2494"/>
          </w:tcPr>
          <w:p>
            <w:pPr>
              <w:spacing w:after="40" w:before="40"/>
            </w:pPr>
            <w:r/>
            <w:r>
              <w:rPr>
                <w:rFonts w:ascii="Arial" w:hAnsi="Arial"/>
                <w:i w:val="0"/>
                <w:color w:val="202B38"/>
                <w:sz w:val="17"/>
              </w:rPr>
              <w:t>Forte</w:t>
            </w:r>
          </w:p>
        </w:tc>
        <w:tc>
          <w:tcPr>
            <w:tcW w:type="dxa" w:w="2608"/>
          </w:tcPr>
          <w:p>
            <w:pPr>
              <w:spacing w:after="40" w:before="40"/>
            </w:pPr>
            <w:r>
              <w:rPr>
                <w:b/>
              </w:rPr>
            </w:r>
            <w:r>
              <w:rPr>
                <w:rFonts w:ascii="Arial" w:hAnsi="Arial"/>
                <w:b/>
                <w:i w:val="0"/>
                <w:color w:val="B42332"/>
                <w:sz w:val="17"/>
              </w:rPr>
              <w:t>Élevé</w:t>
            </w:r>
          </w:p>
        </w:tc>
      </w:tr>
      <w:tr>
        <w:trPr>
          <w:cantSplit/>
        </w:trPr>
        <w:tc>
          <w:tcPr>
            <w:tcW w:type="dxa" w:w="4535"/>
            <w:shd w:fill="F4F7FA"/>
          </w:tcPr>
          <w:p>
            <w:pPr>
              <w:spacing w:after="40" w:before="40"/>
            </w:pPr>
            <w:r/>
            <w:r>
              <w:rPr>
                <w:rFonts w:ascii="Arial" w:hAnsi="Arial"/>
                <w:i w:val="0"/>
                <w:color w:val="202B38"/>
                <w:sz w:val="17"/>
              </w:rPr>
              <w:t>A08 — Défaut d'intégrité</w:t>
            </w:r>
          </w:p>
        </w:tc>
        <w:tc>
          <w:tcPr>
            <w:tcW w:type="dxa" w:w="2494"/>
            <w:shd w:fill="F4F7FA"/>
          </w:tcPr>
          <w:p>
            <w:pPr>
              <w:spacing w:after="40" w:before="40"/>
            </w:pPr>
            <w:r/>
            <w:r>
              <w:rPr>
                <w:rFonts w:ascii="Arial" w:hAnsi="Arial"/>
                <w:i w:val="0"/>
                <w:color w:val="202B38"/>
                <w:sz w:val="17"/>
              </w:rPr>
              <w:t>Faible</w:t>
            </w:r>
          </w:p>
        </w:tc>
        <w:tc>
          <w:tcPr>
            <w:tcW w:type="dxa" w:w="2608"/>
            <w:shd w:fill="F4F7FA"/>
          </w:tcPr>
          <w:p>
            <w:pPr>
              <w:spacing w:after="40" w:before="40"/>
            </w:pPr>
            <w:r>
              <w:rPr>
                <w:b/>
              </w:rPr>
            </w:r>
            <w:r>
              <w:rPr>
                <w:rFonts w:ascii="Arial" w:hAnsi="Arial"/>
                <w:b/>
                <w:i w:val="0"/>
                <w:color w:val="237A53"/>
                <w:sz w:val="17"/>
              </w:rPr>
              <w:t>Faible</w:t>
            </w:r>
          </w:p>
        </w:tc>
      </w:tr>
      <w:tr>
        <w:trPr>
          <w:cantSplit/>
        </w:trPr>
        <w:tc>
          <w:tcPr>
            <w:tcW w:type="dxa" w:w="4535"/>
          </w:tcPr>
          <w:p>
            <w:pPr>
              <w:spacing w:after="40" w:before="40"/>
            </w:pPr>
            <w:r/>
            <w:r>
              <w:rPr>
                <w:rFonts w:ascii="Arial" w:hAnsi="Arial"/>
                <w:i w:val="0"/>
                <w:color w:val="202B38"/>
                <w:sz w:val="17"/>
              </w:rPr>
              <w:t>A09 — Carences de journalisation</w:t>
            </w:r>
          </w:p>
        </w:tc>
        <w:tc>
          <w:tcPr>
            <w:tcW w:type="dxa" w:w="2494"/>
          </w:tcPr>
          <w:p>
            <w:pPr>
              <w:spacing w:after="40" w:before="40"/>
            </w:pPr>
            <w:r/>
            <w:r>
              <w:rPr>
                <w:rFonts w:ascii="Arial" w:hAnsi="Arial"/>
                <w:i w:val="0"/>
                <w:color w:val="202B38"/>
                <w:sz w:val="17"/>
              </w:rPr>
              <w:t>Forte</w:t>
            </w:r>
          </w:p>
        </w:tc>
        <w:tc>
          <w:tcPr>
            <w:tcW w:type="dxa" w:w="2608"/>
          </w:tcPr>
          <w:p>
            <w:pPr>
              <w:spacing w:after="40" w:before="40"/>
            </w:pPr>
            <w:r>
              <w:rPr>
                <w:b/>
              </w:rPr>
            </w:r>
            <w:r>
              <w:rPr>
                <w:rFonts w:ascii="Arial" w:hAnsi="Arial"/>
                <w:b/>
                <w:i w:val="0"/>
                <w:color w:val="B42332"/>
                <w:sz w:val="17"/>
              </w:rPr>
              <w:t>Élevé</w:t>
            </w:r>
          </w:p>
        </w:tc>
      </w:tr>
      <w:tr>
        <w:trPr>
          <w:cantSplit/>
        </w:trPr>
        <w:tc>
          <w:tcPr>
            <w:tcW w:type="dxa" w:w="4535"/>
            <w:shd w:fill="F4F7FA"/>
          </w:tcPr>
          <w:p>
            <w:pPr>
              <w:spacing w:after="40" w:before="40"/>
            </w:pPr>
            <w:r/>
            <w:r>
              <w:rPr>
                <w:rFonts w:ascii="Arial" w:hAnsi="Arial"/>
                <w:i w:val="0"/>
                <w:color w:val="202B38"/>
                <w:sz w:val="17"/>
              </w:rPr>
              <w:t>A10 — Falsification côté serveur</w:t>
            </w:r>
          </w:p>
        </w:tc>
        <w:tc>
          <w:tcPr>
            <w:tcW w:type="dxa" w:w="2494"/>
            <w:shd w:fill="F4F7FA"/>
          </w:tcPr>
          <w:p>
            <w:pPr>
              <w:spacing w:after="40" w:before="40"/>
            </w:pPr>
            <w:r/>
            <w:r>
              <w:rPr>
                <w:rFonts w:ascii="Arial" w:hAnsi="Arial"/>
                <w:i w:val="0"/>
                <w:color w:val="202B38"/>
                <w:sz w:val="17"/>
              </w:rPr>
              <w:t>Très faible</w:t>
            </w:r>
          </w:p>
        </w:tc>
        <w:tc>
          <w:tcPr>
            <w:tcW w:type="dxa" w:w="2608"/>
            <w:shd w:fill="F4F7FA"/>
          </w:tcPr>
          <w:p>
            <w:pPr>
              <w:spacing w:after="40" w:before="40"/>
            </w:pPr>
            <w:r>
              <w:rPr>
                <w:b/>
              </w:rPr>
            </w:r>
            <w:r>
              <w:rPr>
                <w:rFonts w:ascii="Arial" w:hAnsi="Arial"/>
                <w:b/>
                <w:i w:val="0"/>
                <w:color w:val="237A53"/>
                <w:sz w:val="17"/>
              </w:rPr>
              <w:t>Très faible</w:t>
            </w:r>
          </w:p>
        </w:tc>
      </w:tr>
    </w:tbl>
    <w:p>
      <w:pPr>
        <w:spacing w:after="0"/>
      </w:pPr>
    </w:p>
    <w:p>
      <w:pPr>
        <w:spacing w:after="80"/>
        <w:jc w:val="both"/>
      </w:pPr>
      <w:r>
        <w:rPr>
          <w:rFonts w:ascii="Arial" w:hAnsi="Arial"/>
          <w:i w:val="0"/>
          <w:color w:val="202B38"/>
          <w:sz w:val="21"/>
        </w:rPr>
        <w:t xml:space="preserve">Trois catégories sur dix présentent un risque résiduel élevé. Elles ont un point commun qui mérite d'être relevé : aucune ne provient d'une erreur dans le code écrit, mais toutes trois d'une </w:t>
      </w:r>
      <w:r>
        <w:rPr>
          <w:rFonts w:ascii="Arial" w:hAnsi="Arial"/>
          <w:b/>
          <w:i w:val="0"/>
          <w:color w:val="202B38"/>
          <w:sz w:val="21"/>
        </w:rPr>
        <w:t>fonction non encore développée</w:t>
      </w:r>
      <w:r>
        <w:rPr>
          <w:rFonts w:ascii="Arial" w:hAnsi="Arial"/>
          <w:i w:val="0"/>
          <w:color w:val="202B38"/>
          <w:sz w:val="21"/>
        </w:rPr>
        <w:t xml:space="preserve"> ou d'un </w:t>
      </w:r>
      <w:r>
        <w:rPr>
          <w:rFonts w:ascii="Arial" w:hAnsi="Arial"/>
          <w:b/>
          <w:i w:val="0"/>
          <w:color w:val="202B38"/>
          <w:sz w:val="21"/>
        </w:rPr>
        <w:t>réglage de déploiement non effectué</w:t>
      </w:r>
      <w:r>
        <w:rPr>
          <w:rFonts w:ascii="Arial" w:hAnsi="Arial"/>
          <w:i w:val="0"/>
          <w:color w:val="202B38"/>
          <w:sz w:val="21"/>
        </w:rPr>
        <w:t>. Les mécanismes implémentés sont corrects ; ce sont les dispositifs périphériques — chiffrement du transport, limitation du débit, journal de sécurité — qui manquent.</w:t>
      </w:r>
    </w:p>
    <w:p>
      <w:pPr>
        <w:keepNext/>
        <w:spacing w:before="300" w:after="100"/>
        <w:pBdr>
          <w:bottom w:val="single" w:sz="4" w:space="3" w:color="C8D4E2"/>
        </w:pBdr>
      </w:pPr>
      <w:r>
        <w:rPr>
          <w:rFonts w:ascii="Arial" w:hAnsi="Arial"/>
          <w:b/>
          <w:color w:val="163658"/>
          <w:sz w:val="32"/>
        </w:rPr>
        <w:t>12. Synthèse des écarts et plan d'action</w:t>
      </w:r>
    </w:p>
    <w:p>
      <w:pPr>
        <w:keepNext/>
        <w:spacing w:before="180" w:after="60"/>
      </w:pPr>
      <w:r>
        <w:rPr>
          <w:rFonts w:ascii="Arial" w:hAnsi="Arial"/>
          <w:b/>
          <w:color w:val="163658"/>
          <w:sz w:val="25"/>
        </w:rPr>
        <w:t>12.1 Ce qui est acquis</w:t>
      </w:r>
    </w:p>
    <w:p>
      <w:pPr>
        <w:spacing w:after="80"/>
        <w:jc w:val="both"/>
      </w:pPr>
      <w:r>
        <w:rPr>
          <w:rFonts w:ascii="Arial" w:hAnsi="Arial"/>
          <w:i w:val="0"/>
          <w:color w:val="202B38"/>
          <w:sz w:val="21"/>
        </w:rPr>
        <w:t>La synthèse serait incomplète si elle ne retenait que les manques. Les acquis suivants constituent le socle du dispositif :</w:t>
      </w:r>
    </w:p>
    <w:p>
      <w:pPr>
        <w:spacing w:after="40"/>
        <w:ind w:left="397" w:hanging="198"/>
      </w:pPr>
      <w:r>
        <w:rPr>
          <w:rFonts w:ascii="Arial" w:hAnsi="Arial"/>
          <w:i w:val="0"/>
          <w:color w:val="202B38"/>
          <w:sz w:val="21"/>
        </w:rPr>
        <w:t xml:space="preserve">•  un </w:t>
      </w:r>
      <w:r>
        <w:rPr>
          <w:rFonts w:ascii="Arial" w:hAnsi="Arial"/>
          <w:b/>
          <w:i w:val="0"/>
          <w:color w:val="202B38"/>
          <w:sz w:val="21"/>
        </w:rPr>
        <w:t>contrôle d'accès à deux niveaux</w:t>
      </w:r>
      <w:r>
        <w:rPr>
          <w:rFonts w:ascii="Arial" w:hAnsi="Arial"/>
          <w:i w:val="0"/>
          <w:color w:val="202B38"/>
          <w:sz w:val="21"/>
        </w:rPr>
        <w:t>, rôle puis règle métier, vérifié par des tests ;</w:t>
      </w:r>
    </w:p>
    <w:p>
      <w:pPr>
        <w:spacing w:after="40"/>
        <w:ind w:left="397" w:hanging="198"/>
      </w:pPr>
      <w:r>
        <w:rPr>
          <w:rFonts w:ascii="Arial" w:hAnsi="Arial"/>
          <w:i w:val="0"/>
          <w:color w:val="202B38"/>
          <w:sz w:val="21"/>
        </w:rPr>
        <w:t xml:space="preserve">•  un </w:t>
      </w:r>
      <w:r>
        <w:rPr>
          <w:rFonts w:ascii="Arial" w:hAnsi="Arial"/>
          <w:b/>
          <w:i w:val="0"/>
          <w:color w:val="202B38"/>
          <w:sz w:val="21"/>
        </w:rPr>
        <w:t>cloisonnement multi-organisations</w:t>
      </w:r>
      <w:r>
        <w:rPr>
          <w:rFonts w:ascii="Arial" w:hAnsi="Arial"/>
          <w:i w:val="0"/>
          <w:color w:val="202B38"/>
          <w:sz w:val="21"/>
        </w:rPr>
        <w:t xml:space="preserve"> sans exception, non divulgant ;</w:t>
      </w:r>
    </w:p>
    <w:p>
      <w:pPr>
        <w:spacing w:after="40"/>
        <w:ind w:left="397" w:hanging="198"/>
      </w:pPr>
      <w:r>
        <w:rPr>
          <w:rFonts w:ascii="Arial" w:hAnsi="Arial"/>
          <w:i w:val="0"/>
          <w:color w:val="202B38"/>
          <w:sz w:val="21"/>
        </w:rPr>
        <w:t xml:space="preserve">•  une </w:t>
      </w:r>
      <w:r>
        <w:rPr>
          <w:rFonts w:ascii="Arial" w:hAnsi="Arial"/>
          <w:b/>
          <w:i w:val="0"/>
          <w:color w:val="202B38"/>
          <w:sz w:val="21"/>
        </w:rPr>
        <w:t>absence de faille d'injection</w:t>
      </w:r>
      <w:r>
        <w:rPr>
          <w:rFonts w:ascii="Arial" w:hAnsi="Arial"/>
          <w:i w:val="0"/>
          <w:color w:val="202B38"/>
          <w:sz w:val="21"/>
        </w:rPr>
        <w:t xml:space="preserve"> sur le périmètre audité, SQL comme script ;</w:t>
      </w:r>
    </w:p>
    <w:p>
      <w:pPr>
        <w:spacing w:after="40"/>
        <w:ind w:left="397" w:hanging="198"/>
      </w:pPr>
      <w:r>
        <w:rPr>
          <w:rFonts w:ascii="Arial" w:hAnsi="Arial"/>
          <w:i w:val="0"/>
          <w:color w:val="202B38"/>
          <w:sz w:val="21"/>
        </w:rPr>
        <w:t xml:space="preserve">•  un </w:t>
      </w:r>
      <w:r>
        <w:rPr>
          <w:rFonts w:ascii="Arial" w:hAnsi="Arial"/>
          <w:b/>
          <w:i w:val="0"/>
          <w:color w:val="202B38"/>
          <w:sz w:val="21"/>
        </w:rPr>
        <w:t>traitement des fichiers déposés</w:t>
      </w:r>
      <w:r>
        <w:rPr>
          <w:rFonts w:ascii="Arial" w:hAnsi="Arial"/>
          <w:i w:val="0"/>
          <w:color w:val="202B38"/>
          <w:sz w:val="21"/>
        </w:rPr>
        <w:t xml:space="preserve"> couvrant les contrôles essentiels ;</w:t>
      </w:r>
    </w:p>
    <w:p>
      <w:pPr>
        <w:spacing w:after="40"/>
        <w:ind w:left="397" w:hanging="198"/>
      </w:pPr>
      <w:r>
        <w:rPr>
          <w:rFonts w:ascii="Arial" w:hAnsi="Arial"/>
          <w:i w:val="0"/>
          <w:color w:val="202B38"/>
          <w:sz w:val="21"/>
        </w:rPr>
        <w:t xml:space="preserve">•  une </w:t>
      </w:r>
      <w:r>
        <w:rPr>
          <w:rFonts w:ascii="Arial" w:hAnsi="Arial"/>
          <w:b/>
          <w:i w:val="0"/>
          <w:color w:val="202B38"/>
          <w:sz w:val="21"/>
        </w:rPr>
        <w:t>gestion des secrets</w:t>
      </w:r>
      <w:r>
        <w:rPr>
          <w:rFonts w:ascii="Arial" w:hAnsi="Arial"/>
          <w:i w:val="0"/>
          <w:color w:val="202B38"/>
          <w:sz w:val="21"/>
        </w:rPr>
        <w:t xml:space="preserve"> conforme, rien de sensible dans le code ni le dépôt ;</w:t>
      </w:r>
    </w:p>
    <w:p>
      <w:pPr>
        <w:spacing w:after="40"/>
        <w:ind w:left="397" w:hanging="198"/>
      </w:pPr>
      <w:r>
        <w:rPr>
          <w:rFonts w:ascii="Arial" w:hAnsi="Arial"/>
          <w:i w:val="0"/>
          <w:color w:val="202B38"/>
          <w:sz w:val="21"/>
        </w:rPr>
        <w:t xml:space="preserve">•  une </w:t>
      </w:r>
      <w:r>
        <w:rPr>
          <w:rFonts w:ascii="Arial" w:hAnsi="Arial"/>
          <w:b/>
          <w:i w:val="0"/>
          <w:color w:val="202B38"/>
          <w:sz w:val="21"/>
        </w:rPr>
        <w:t>gestion des erreurs</w:t>
      </w:r>
      <w:r>
        <w:rPr>
          <w:rFonts w:ascii="Arial" w:hAnsi="Arial"/>
          <w:i w:val="0"/>
          <w:color w:val="202B38"/>
          <w:sz w:val="21"/>
        </w:rPr>
        <w:t xml:space="preserve"> sans trace d'exécution ni fuite sur l'existence des comptes.</w:t>
      </w:r>
    </w:p>
    <w:p>
      <w:pPr>
        <w:keepNext/>
        <w:spacing w:before="180" w:after="60"/>
      </w:pPr>
      <w:r>
        <w:rPr>
          <w:rFonts w:ascii="Arial" w:hAnsi="Arial"/>
          <w:b/>
          <w:color w:val="163658"/>
          <w:sz w:val="25"/>
        </w:rPr>
        <w:t>12.2 Écarts et plan d'action</w:t>
      </w:r>
    </w:p>
    <w:p>
      <w:pPr>
        <w:spacing w:after="80"/>
        <w:jc w:val="both"/>
      </w:pPr>
      <w:r>
        <w:rPr>
          <w:rFonts w:ascii="Arial" w:hAnsi="Arial"/>
          <w:i w:val="0"/>
          <w:color w:val="202B38"/>
          <w:sz w:val="21"/>
        </w:rPr>
        <w:t>Les écarts relevés tout au long du document sont rassemblés ici et ordonnés par priorité. L'effort est estimé en jours-homme pour un développeur connaissant l'application.</w:t>
      </w:r>
    </w:p>
    <w:p>
      <w:pPr>
        <w:spacing w:after="80"/>
        <w:jc w:val="both"/>
      </w:pPr>
      <w:r>
        <w:rPr>
          <w:rFonts w:ascii="Arial" w:hAnsi="Arial"/>
          <w:i w:val="0"/>
          <w:color w:val="202B38"/>
          <w:sz w:val="21"/>
        </w:rPr>
        <w:t>L'ordre suit le rapport entre le gain et l'effort. Les deux premières actions ferment les voies d'attaque les plus directes — écoute du réseau et essai massif de mots de passe — pour trois jours de travail. P3 à P5 relèvent de la continuité de service et de la détection ; les suivantes consolident un niveau déjà acceptable.</w:t>
      </w:r>
    </w:p>
    <w:tbl>
      <w:tblPr>
        <w:tblStyle w:val="TableGrid"/>
        <w:tblW w:type="auto" w:w="0"/>
        <w:jc w:val="center"/>
        <w:tblLayout w:type="fixed"/>
        <w:tblLook w:firstColumn="1" w:firstRow="1" w:lastColumn="0" w:lastRow="0" w:noHBand="0" w:noVBand="1" w:val="04A0"/>
        <w:tblLayout w:type="fixed"/>
      </w:tblPr>
      <w:tblGrid>
        <w:gridCol w:w="1361"/>
        <w:gridCol w:w="2608"/>
        <w:gridCol w:w="3969"/>
        <w:gridCol w:w="794"/>
        <w:gridCol w:w="907"/>
      </w:tblGrid>
      <w:tr>
        <w:trPr>
          <w:tblHeader w:val="true"/>
          <w:cantSplit/>
        </w:trPr>
        <w:tc>
          <w:tcPr>
            <w:tcW w:type="dxa" w:w="1361"/>
            <w:shd w:fill="163658"/>
          </w:tcPr>
          <w:p>
            <w:pPr>
              <w:keepNext/>
              <w:spacing w:after="40" w:before="40"/>
            </w:pPr>
            <w:r/>
            <w:r>
              <w:rPr>
                <w:rFonts w:ascii="Arial" w:hAnsi="Arial"/>
                <w:b/>
                <w:color w:val="FFFFFF"/>
                <w:sz w:val="17"/>
              </w:rPr>
              <w:t>Priorité</w:t>
            </w:r>
          </w:p>
        </w:tc>
        <w:tc>
          <w:tcPr>
            <w:tcW w:type="dxa" w:w="2608"/>
            <w:shd w:fill="163658"/>
          </w:tcPr>
          <w:p>
            <w:pPr>
              <w:keepNext/>
              <w:spacing w:after="40" w:before="40"/>
            </w:pPr>
            <w:r/>
            <w:r>
              <w:rPr>
                <w:rFonts w:ascii="Arial" w:hAnsi="Arial"/>
                <w:b/>
                <w:color w:val="FFFFFF"/>
                <w:sz w:val="17"/>
              </w:rPr>
              <w:t>Écart</w:t>
            </w:r>
          </w:p>
        </w:tc>
        <w:tc>
          <w:tcPr>
            <w:tcW w:type="dxa" w:w="3969"/>
            <w:shd w:fill="163658"/>
          </w:tcPr>
          <w:p>
            <w:pPr>
              <w:keepNext/>
              <w:spacing w:after="40" w:before="40"/>
            </w:pPr>
            <w:r/>
            <w:r>
              <w:rPr>
                <w:rFonts w:ascii="Arial" w:hAnsi="Arial"/>
                <w:b/>
                <w:color w:val="FFFFFF"/>
                <w:sz w:val="17"/>
              </w:rPr>
              <w:t>Action corrective</w:t>
            </w:r>
          </w:p>
        </w:tc>
        <w:tc>
          <w:tcPr>
            <w:tcW w:type="dxa" w:w="794"/>
            <w:shd w:fill="163658"/>
          </w:tcPr>
          <w:p>
            <w:pPr>
              <w:keepNext/>
              <w:spacing w:after="40" w:before="40"/>
            </w:pPr>
            <w:r/>
            <w:r>
              <w:rPr>
                <w:rFonts w:ascii="Arial" w:hAnsi="Arial"/>
                <w:b/>
                <w:color w:val="FFFFFF"/>
                <w:sz w:val="17"/>
              </w:rPr>
              <w:t>Chap.</w:t>
            </w:r>
          </w:p>
        </w:tc>
        <w:tc>
          <w:tcPr>
            <w:tcW w:type="dxa" w:w="907"/>
            <w:shd w:fill="163658"/>
          </w:tcPr>
          <w:p>
            <w:pPr>
              <w:keepNext/>
              <w:spacing w:after="40" w:before="40"/>
            </w:pPr>
            <w:r/>
            <w:r>
              <w:rPr>
                <w:rFonts w:ascii="Arial" w:hAnsi="Arial"/>
                <w:b/>
                <w:color w:val="FFFFFF"/>
                <w:sz w:val="17"/>
              </w:rPr>
              <w:t>Effort</w:t>
            </w:r>
          </w:p>
        </w:tc>
      </w:tr>
      <w:tr>
        <w:trPr>
          <w:cantSplit/>
        </w:trPr>
        <w:tc>
          <w:tcPr>
            <w:tcW w:type="dxa" w:w="1361"/>
          </w:tcPr>
          <w:p>
            <w:pPr>
              <w:keepNext/>
              <w:spacing w:after="40" w:before="40"/>
            </w:pPr>
            <w:r/>
            <w:r>
              <w:rPr>
                <w:rFonts w:ascii="Arial" w:hAnsi="Arial"/>
                <w:i w:val="0"/>
                <w:color w:val="202B38"/>
                <w:sz w:val="17"/>
              </w:rPr>
              <w:t>P1 — Critique</w:t>
            </w:r>
          </w:p>
        </w:tc>
        <w:tc>
          <w:tcPr>
            <w:tcW w:type="dxa" w:w="2608"/>
          </w:tcPr>
          <w:p>
            <w:pPr>
              <w:keepNext/>
              <w:spacing w:after="40" w:before="40"/>
            </w:pPr>
            <w:r/>
            <w:r>
              <w:rPr>
                <w:rFonts w:ascii="Arial" w:hAnsi="Arial"/>
                <w:i w:val="0"/>
                <w:color w:val="202B38"/>
                <w:sz w:val="17"/>
              </w:rPr>
              <w:t>Transport non chiffré</w:t>
            </w:r>
          </w:p>
        </w:tc>
        <w:tc>
          <w:tcPr>
            <w:tcW w:type="dxa" w:w="3969"/>
          </w:tcPr>
          <w:p>
            <w:pPr>
              <w:keepNext/>
              <w:spacing w:after="40" w:before="40"/>
            </w:pPr>
            <w:r/>
            <w:r>
              <w:rPr>
                <w:rFonts w:ascii="Arial" w:hAnsi="Arial"/>
                <w:i w:val="0"/>
                <w:color w:val="202B38"/>
                <w:sz w:val="17"/>
              </w:rPr>
              <w:t>Terminateur TLS, redirection HTTP vers HTTPS, en-tête HSTS</w:t>
            </w:r>
          </w:p>
        </w:tc>
        <w:tc>
          <w:tcPr>
            <w:tcW w:type="dxa" w:w="794"/>
          </w:tcPr>
          <w:p>
            <w:pPr>
              <w:keepNext/>
              <w:spacing w:after="40" w:before="40"/>
            </w:pPr>
            <w:r/>
            <w:r>
              <w:rPr>
                <w:rFonts w:ascii="Arial" w:hAnsi="Arial"/>
                <w:i w:val="0"/>
                <w:color w:val="202B38"/>
                <w:sz w:val="17"/>
              </w:rPr>
              <w:t>7.1</w:t>
            </w:r>
          </w:p>
        </w:tc>
        <w:tc>
          <w:tcPr>
            <w:tcW w:type="dxa" w:w="907"/>
          </w:tcPr>
          <w:p>
            <w:pPr>
              <w:keepNext/>
              <w:spacing w:after="40" w:before="40"/>
            </w:pPr>
            <w:r/>
            <w:r>
              <w:rPr>
                <w:rFonts w:ascii="Arial" w:hAnsi="Arial"/>
                <w:i w:val="0"/>
                <w:color w:val="202B38"/>
                <w:sz w:val="17"/>
              </w:rPr>
              <w:t>1 j</w:t>
            </w:r>
          </w:p>
        </w:tc>
      </w:tr>
      <w:tr>
        <w:trPr>
          <w:cantSplit/>
        </w:trPr>
        <w:tc>
          <w:tcPr>
            <w:tcW w:type="dxa" w:w="1361"/>
            <w:shd w:fill="F4F7FA"/>
          </w:tcPr>
          <w:p>
            <w:pPr>
              <w:keepNext/>
              <w:spacing w:after="40" w:before="40"/>
            </w:pPr>
            <w:r/>
            <w:r>
              <w:rPr>
                <w:rFonts w:ascii="Arial" w:hAnsi="Arial"/>
                <w:i w:val="0"/>
                <w:color w:val="202B38"/>
                <w:sz w:val="17"/>
              </w:rPr>
              <w:t>P2 — Critique</w:t>
            </w:r>
          </w:p>
        </w:tc>
        <w:tc>
          <w:tcPr>
            <w:tcW w:type="dxa" w:w="2608"/>
            <w:shd w:fill="F4F7FA"/>
          </w:tcPr>
          <w:p>
            <w:pPr>
              <w:keepNext/>
              <w:spacing w:after="40" w:before="40"/>
            </w:pPr>
            <w:r/>
            <w:r>
              <w:rPr>
                <w:rFonts w:ascii="Arial" w:hAnsi="Arial"/>
                <w:i w:val="0"/>
                <w:color w:val="202B38"/>
                <w:sz w:val="17"/>
              </w:rPr>
              <w:t>Aucune limitation des tentatives de connexion</w:t>
            </w:r>
          </w:p>
        </w:tc>
        <w:tc>
          <w:tcPr>
            <w:tcW w:type="dxa" w:w="3969"/>
            <w:shd w:fill="F4F7FA"/>
          </w:tcPr>
          <w:p>
            <w:pPr>
              <w:keepNext/>
              <w:spacing w:after="40" w:before="40"/>
            </w:pPr>
            <w:r/>
            <w:r>
              <w:rPr>
                <w:rFonts w:ascii="Arial" w:hAnsi="Arial"/>
                <w:i w:val="0"/>
                <w:color w:val="202B38"/>
                <w:sz w:val="17"/>
              </w:rPr>
              <w:t>Verrouillage temporaire par compte et limitation par adresse IP</w:t>
            </w:r>
          </w:p>
        </w:tc>
        <w:tc>
          <w:tcPr>
            <w:tcW w:type="dxa" w:w="794"/>
            <w:shd w:fill="F4F7FA"/>
          </w:tcPr>
          <w:p>
            <w:pPr>
              <w:keepNext/>
              <w:spacing w:after="40" w:before="40"/>
            </w:pPr>
            <w:r/>
            <w:r>
              <w:rPr>
                <w:rFonts w:ascii="Arial" w:hAnsi="Arial"/>
                <w:i w:val="0"/>
                <w:color w:val="202B38"/>
                <w:sz w:val="17"/>
              </w:rPr>
              <w:t>4.5</w:t>
            </w:r>
          </w:p>
        </w:tc>
        <w:tc>
          <w:tcPr>
            <w:tcW w:type="dxa" w:w="907"/>
            <w:shd w:fill="F4F7FA"/>
          </w:tcPr>
          <w:p>
            <w:pPr>
              <w:keepNext/>
              <w:spacing w:after="40" w:before="40"/>
            </w:pPr>
            <w:r/>
            <w:r>
              <w:rPr>
                <w:rFonts w:ascii="Arial" w:hAnsi="Arial"/>
                <w:i w:val="0"/>
                <w:color w:val="202B38"/>
                <w:sz w:val="17"/>
              </w:rPr>
              <w:t>2 j</w:t>
            </w:r>
          </w:p>
        </w:tc>
      </w:tr>
      <w:tr>
        <w:trPr>
          <w:cantSplit/>
        </w:trPr>
        <w:tc>
          <w:tcPr>
            <w:tcW w:type="dxa" w:w="1361"/>
          </w:tcPr>
          <w:p>
            <w:pPr>
              <w:keepNext/>
              <w:spacing w:after="40" w:before="40"/>
            </w:pPr>
            <w:r/>
            <w:r>
              <w:rPr>
                <w:rFonts w:ascii="Arial" w:hAnsi="Arial"/>
                <w:i w:val="0"/>
                <w:color w:val="202B38"/>
                <w:sz w:val="17"/>
              </w:rPr>
              <w:t>P3 — Élevé</w:t>
            </w:r>
          </w:p>
        </w:tc>
        <w:tc>
          <w:tcPr>
            <w:tcW w:type="dxa" w:w="2608"/>
          </w:tcPr>
          <w:p>
            <w:pPr>
              <w:keepNext/>
              <w:spacing w:after="40" w:before="40"/>
            </w:pPr>
            <w:r/>
            <w:r>
              <w:rPr>
                <w:rFonts w:ascii="Arial" w:hAnsi="Arial"/>
                <w:i w:val="0"/>
                <w:color w:val="202B38"/>
                <w:sz w:val="17"/>
              </w:rPr>
              <w:t>Aucune sauvegarde automatisée</w:t>
            </w:r>
          </w:p>
        </w:tc>
        <w:tc>
          <w:tcPr>
            <w:tcW w:type="dxa" w:w="3969"/>
          </w:tcPr>
          <w:p>
            <w:pPr>
              <w:keepNext/>
              <w:spacing w:after="40" w:before="40"/>
            </w:pPr>
            <w:r/>
            <w:r>
              <w:rPr>
                <w:rFonts w:ascii="Arial" w:hAnsi="Arial"/>
                <w:i w:val="0"/>
                <w:color w:val="202B38"/>
                <w:sz w:val="17"/>
              </w:rPr>
              <w:t>Sauvegarde quotidienne chiffrée hors site et test de restauration</w:t>
            </w:r>
          </w:p>
        </w:tc>
        <w:tc>
          <w:tcPr>
            <w:tcW w:type="dxa" w:w="794"/>
          </w:tcPr>
          <w:p>
            <w:pPr>
              <w:keepNext/>
              <w:spacing w:after="40" w:before="40"/>
            </w:pPr>
            <w:r/>
            <w:r>
              <w:rPr>
                <w:rFonts w:ascii="Arial" w:hAnsi="Arial"/>
                <w:i w:val="0"/>
                <w:color w:val="202B38"/>
                <w:sz w:val="17"/>
              </w:rPr>
              <w:t>10.2</w:t>
            </w:r>
          </w:p>
        </w:tc>
        <w:tc>
          <w:tcPr>
            <w:tcW w:type="dxa" w:w="907"/>
          </w:tcPr>
          <w:p>
            <w:pPr>
              <w:keepNext/>
              <w:spacing w:after="40" w:before="40"/>
            </w:pPr>
            <w:r/>
            <w:r>
              <w:rPr>
                <w:rFonts w:ascii="Arial" w:hAnsi="Arial"/>
                <w:i w:val="0"/>
                <w:color w:val="202B38"/>
                <w:sz w:val="17"/>
              </w:rPr>
              <w:t>2 j</w:t>
            </w:r>
          </w:p>
        </w:tc>
      </w:tr>
      <w:tr>
        <w:trPr>
          <w:cantSplit/>
        </w:trPr>
        <w:tc>
          <w:tcPr>
            <w:tcW w:type="dxa" w:w="1361"/>
            <w:shd w:fill="F4F7FA"/>
          </w:tcPr>
          <w:p>
            <w:pPr>
              <w:keepNext/>
              <w:spacing w:after="40" w:before="40"/>
            </w:pPr>
            <w:r/>
            <w:r>
              <w:rPr>
                <w:rFonts w:ascii="Arial" w:hAnsi="Arial"/>
                <w:i w:val="0"/>
                <w:color w:val="202B38"/>
                <w:sz w:val="17"/>
              </w:rPr>
              <w:t>P4 — Élevé</w:t>
            </w:r>
          </w:p>
        </w:tc>
        <w:tc>
          <w:tcPr>
            <w:tcW w:type="dxa" w:w="2608"/>
            <w:shd w:fill="F4F7FA"/>
          </w:tcPr>
          <w:p>
            <w:pPr>
              <w:keepNext/>
              <w:spacing w:after="40" w:before="40"/>
            </w:pPr>
            <w:r/>
            <w:r>
              <w:rPr>
                <w:rFonts w:ascii="Arial" w:hAnsi="Arial"/>
                <w:i w:val="0"/>
                <w:color w:val="202B38"/>
                <w:sz w:val="17"/>
              </w:rPr>
              <w:t>Événements de sécurité non journalisés</w:t>
            </w:r>
          </w:p>
        </w:tc>
        <w:tc>
          <w:tcPr>
            <w:tcW w:type="dxa" w:w="3969"/>
            <w:shd w:fill="F4F7FA"/>
          </w:tcPr>
          <w:p>
            <w:pPr>
              <w:keepNext/>
              <w:spacing w:after="40" w:before="40"/>
            </w:pPr>
            <w:r/>
            <w:r>
              <w:rPr>
                <w:rFonts w:ascii="Arial" w:hAnsi="Arial"/>
                <w:i w:val="0"/>
                <w:color w:val="202B38"/>
                <w:sz w:val="17"/>
              </w:rPr>
              <w:t>Journal de sécurité dédié et tableau de bord pour l'Administrateur</w:t>
            </w:r>
          </w:p>
        </w:tc>
        <w:tc>
          <w:tcPr>
            <w:tcW w:type="dxa" w:w="794"/>
            <w:shd w:fill="F4F7FA"/>
          </w:tcPr>
          <w:p>
            <w:pPr>
              <w:keepNext/>
              <w:spacing w:after="40" w:before="40"/>
            </w:pPr>
            <w:r/>
            <w:r>
              <w:rPr>
                <w:rFonts w:ascii="Arial" w:hAnsi="Arial"/>
                <w:i w:val="0"/>
                <w:color w:val="202B38"/>
                <w:sz w:val="17"/>
              </w:rPr>
              <w:t>9.2</w:t>
            </w:r>
          </w:p>
        </w:tc>
        <w:tc>
          <w:tcPr>
            <w:tcW w:type="dxa" w:w="907"/>
            <w:shd w:fill="F4F7FA"/>
          </w:tcPr>
          <w:p>
            <w:pPr>
              <w:keepNext/>
              <w:spacing w:after="40" w:before="40"/>
            </w:pPr>
            <w:r/>
            <w:r>
              <w:rPr>
                <w:rFonts w:ascii="Arial" w:hAnsi="Arial"/>
                <w:i w:val="0"/>
                <w:color w:val="202B38"/>
                <w:sz w:val="17"/>
              </w:rPr>
              <w:t>3 j</w:t>
            </w:r>
          </w:p>
        </w:tc>
      </w:tr>
      <w:tr>
        <w:trPr>
          <w:cantSplit/>
        </w:trPr>
        <w:tc>
          <w:tcPr>
            <w:tcW w:type="dxa" w:w="1361"/>
          </w:tcPr>
          <w:p>
            <w:pPr>
              <w:keepNext/>
              <w:spacing w:after="40" w:before="40"/>
            </w:pPr>
            <w:r/>
            <w:r>
              <w:rPr>
                <w:rFonts w:ascii="Arial" w:hAnsi="Arial"/>
                <w:i w:val="0"/>
                <w:color w:val="202B38"/>
                <w:sz w:val="17"/>
              </w:rPr>
              <w:t>P5 — Élevé</w:t>
            </w:r>
          </w:p>
        </w:tc>
        <w:tc>
          <w:tcPr>
            <w:tcW w:type="dxa" w:w="2608"/>
          </w:tcPr>
          <w:p>
            <w:pPr>
              <w:keepNext/>
              <w:spacing w:after="40" w:before="40"/>
            </w:pPr>
            <w:r/>
            <w:r>
              <w:rPr>
                <w:rFonts w:ascii="Arial" w:hAnsi="Arial"/>
                <w:i w:val="0"/>
                <w:color w:val="202B38"/>
                <w:sz w:val="17"/>
              </w:rPr>
              <w:t>Pas de récupération de mot de passe</w:t>
            </w:r>
          </w:p>
        </w:tc>
        <w:tc>
          <w:tcPr>
            <w:tcW w:type="dxa" w:w="3969"/>
          </w:tcPr>
          <w:p>
            <w:pPr>
              <w:keepNext/>
              <w:spacing w:after="40" w:before="40"/>
            </w:pPr>
            <w:r/>
            <w:r>
              <w:rPr>
                <w:rFonts w:ascii="Arial" w:hAnsi="Arial"/>
                <w:i w:val="0"/>
                <w:color w:val="202B38"/>
                <w:sz w:val="17"/>
              </w:rPr>
              <w:t>Deux opérations publiques avec jeton à usage unique de 30 minutes</w:t>
            </w:r>
          </w:p>
        </w:tc>
        <w:tc>
          <w:tcPr>
            <w:tcW w:type="dxa" w:w="794"/>
          </w:tcPr>
          <w:p>
            <w:pPr>
              <w:keepNext/>
              <w:spacing w:after="40" w:before="40"/>
            </w:pPr>
            <w:r/>
            <w:r>
              <w:rPr>
                <w:rFonts w:ascii="Arial" w:hAnsi="Arial"/>
                <w:i w:val="0"/>
                <w:color w:val="202B38"/>
                <w:sz w:val="17"/>
              </w:rPr>
              <w:t>4.4</w:t>
            </w:r>
          </w:p>
        </w:tc>
        <w:tc>
          <w:tcPr>
            <w:tcW w:type="dxa" w:w="907"/>
          </w:tcPr>
          <w:p>
            <w:pPr>
              <w:keepNext/>
              <w:spacing w:after="40" w:before="40"/>
            </w:pPr>
            <w:r/>
            <w:r>
              <w:rPr>
                <w:rFonts w:ascii="Arial" w:hAnsi="Arial"/>
                <w:i w:val="0"/>
                <w:color w:val="202B38"/>
                <w:sz w:val="17"/>
              </w:rPr>
              <w:t>3 j</w:t>
            </w:r>
          </w:p>
        </w:tc>
      </w:tr>
      <w:tr>
        <w:trPr>
          <w:cantSplit/>
        </w:trPr>
        <w:tc>
          <w:tcPr>
            <w:tcW w:type="dxa" w:w="1361"/>
            <w:shd w:fill="F4F7FA"/>
          </w:tcPr>
          <w:p>
            <w:pPr>
              <w:keepNext/>
              <w:spacing w:after="40" w:before="40"/>
            </w:pPr>
            <w:r/>
            <w:r>
              <w:rPr>
                <w:rFonts w:ascii="Arial" w:hAnsi="Arial"/>
                <w:i w:val="0"/>
                <w:color w:val="202B38"/>
                <w:sz w:val="17"/>
              </w:rPr>
              <w:t>P6 — Moyen</w:t>
            </w:r>
          </w:p>
        </w:tc>
        <w:tc>
          <w:tcPr>
            <w:tcW w:type="dxa" w:w="2608"/>
            <w:shd w:fill="F4F7FA"/>
          </w:tcPr>
          <w:p>
            <w:pPr>
              <w:keepNext/>
              <w:spacing w:after="40" w:before="40"/>
            </w:pPr>
            <w:r/>
            <w:r>
              <w:rPr>
                <w:rFonts w:ascii="Arial" w:hAnsi="Arial"/>
                <w:i w:val="0"/>
                <w:color w:val="202B38"/>
                <w:sz w:val="17"/>
              </w:rPr>
              <w:t>Politique de mot de passe permissive</w:t>
            </w:r>
          </w:p>
        </w:tc>
        <w:tc>
          <w:tcPr>
            <w:tcW w:type="dxa" w:w="3969"/>
            <w:shd w:fill="F4F7FA"/>
          </w:tcPr>
          <w:p>
            <w:pPr>
              <w:keepNext/>
              <w:spacing w:after="40" w:before="40"/>
            </w:pPr>
            <w:r/>
            <w:r>
              <w:rPr>
                <w:rFonts w:ascii="Arial" w:hAnsi="Arial"/>
                <w:i w:val="0"/>
                <w:color w:val="202B38"/>
                <w:sz w:val="17"/>
              </w:rPr>
              <w:t>Minimum de 12 caractères et liste de refus des mots de passe courants</w:t>
            </w:r>
          </w:p>
        </w:tc>
        <w:tc>
          <w:tcPr>
            <w:tcW w:type="dxa" w:w="794"/>
            <w:shd w:fill="F4F7FA"/>
          </w:tcPr>
          <w:p>
            <w:pPr>
              <w:keepNext/>
              <w:spacing w:after="40" w:before="40"/>
            </w:pPr>
            <w:r/>
            <w:r>
              <w:rPr>
                <w:rFonts w:ascii="Arial" w:hAnsi="Arial"/>
                <w:i w:val="0"/>
                <w:color w:val="202B38"/>
                <w:sz w:val="17"/>
              </w:rPr>
              <w:t>4.3</w:t>
            </w:r>
          </w:p>
        </w:tc>
        <w:tc>
          <w:tcPr>
            <w:tcW w:type="dxa" w:w="907"/>
            <w:shd w:fill="F4F7FA"/>
          </w:tcPr>
          <w:p>
            <w:pPr>
              <w:keepNext/>
              <w:spacing w:after="40" w:before="40"/>
            </w:pPr>
            <w:r/>
            <w:r>
              <w:rPr>
                <w:rFonts w:ascii="Arial" w:hAnsi="Arial"/>
                <w:i w:val="0"/>
                <w:color w:val="202B38"/>
                <w:sz w:val="17"/>
              </w:rPr>
              <w:t>1 j</w:t>
            </w:r>
          </w:p>
        </w:tc>
      </w:tr>
      <w:tr>
        <w:trPr>
          <w:cantSplit/>
        </w:trPr>
        <w:tc>
          <w:tcPr>
            <w:tcW w:type="dxa" w:w="1361"/>
          </w:tcPr>
          <w:p>
            <w:pPr>
              <w:keepNext/>
              <w:spacing w:after="40" w:before="40"/>
            </w:pPr>
            <w:r/>
            <w:r>
              <w:rPr>
                <w:rFonts w:ascii="Arial" w:hAnsi="Arial"/>
                <w:i w:val="0"/>
                <w:color w:val="202B38"/>
                <w:sz w:val="17"/>
              </w:rPr>
              <w:t>P7 — Moyen</w:t>
            </w:r>
          </w:p>
        </w:tc>
        <w:tc>
          <w:tcPr>
            <w:tcW w:type="dxa" w:w="2608"/>
          </w:tcPr>
          <w:p>
            <w:pPr>
              <w:keepNext/>
              <w:spacing w:after="40" w:before="40"/>
            </w:pPr>
            <w:r/>
            <w:r>
              <w:rPr>
                <w:rFonts w:ascii="Arial" w:hAnsi="Arial"/>
                <w:i w:val="0"/>
                <w:color w:val="202B38"/>
                <w:sz w:val="17"/>
              </w:rPr>
              <w:t>Dépendances non analysées</w:t>
            </w:r>
          </w:p>
        </w:tc>
        <w:tc>
          <w:tcPr>
            <w:tcW w:type="dxa" w:w="3969"/>
          </w:tcPr>
          <w:p>
            <w:pPr>
              <w:keepNext/>
              <w:spacing w:after="40" w:before="40"/>
            </w:pPr>
            <w:r/>
            <w:r>
              <w:rPr>
                <w:rFonts w:ascii="Arial" w:hAnsi="Arial"/>
                <w:i w:val="0"/>
                <w:color w:val="202B38"/>
                <w:sz w:val="17"/>
              </w:rPr>
              <w:t>Contrôle automatisé des vulnérabilités à chaque livraison</w:t>
            </w:r>
          </w:p>
        </w:tc>
        <w:tc>
          <w:tcPr>
            <w:tcW w:type="dxa" w:w="794"/>
          </w:tcPr>
          <w:p>
            <w:pPr>
              <w:keepNext/>
              <w:spacing w:after="40" w:before="40"/>
            </w:pPr>
            <w:r/>
            <w:r>
              <w:rPr>
                <w:rFonts w:ascii="Arial" w:hAnsi="Arial"/>
                <w:i w:val="0"/>
                <w:color w:val="202B38"/>
                <w:sz w:val="17"/>
              </w:rPr>
              <w:t>11</w:t>
            </w:r>
          </w:p>
        </w:tc>
        <w:tc>
          <w:tcPr>
            <w:tcW w:type="dxa" w:w="907"/>
          </w:tcPr>
          <w:p>
            <w:pPr>
              <w:keepNext/>
              <w:spacing w:after="40" w:before="40"/>
            </w:pPr>
            <w:r/>
            <w:r>
              <w:rPr>
                <w:rFonts w:ascii="Arial" w:hAnsi="Arial"/>
                <w:i w:val="0"/>
                <w:color w:val="202B38"/>
                <w:sz w:val="17"/>
              </w:rPr>
              <w:t>0,5 j</w:t>
            </w:r>
          </w:p>
        </w:tc>
      </w:tr>
      <w:tr>
        <w:trPr>
          <w:cantSplit/>
        </w:trPr>
        <w:tc>
          <w:tcPr>
            <w:tcW w:type="dxa" w:w="1361"/>
            <w:shd w:fill="F4F7FA"/>
          </w:tcPr>
          <w:p>
            <w:pPr>
              <w:keepNext/>
              <w:spacing w:after="40" w:before="40"/>
            </w:pPr>
            <w:r/>
            <w:r>
              <w:rPr>
                <w:rFonts w:ascii="Arial" w:hAnsi="Arial"/>
                <w:i w:val="0"/>
                <w:color w:val="202B38"/>
                <w:sz w:val="17"/>
              </w:rPr>
              <w:t>P8 — Moyen</w:t>
            </w:r>
          </w:p>
        </w:tc>
        <w:tc>
          <w:tcPr>
            <w:tcW w:type="dxa" w:w="2608"/>
            <w:shd w:fill="F4F7FA"/>
          </w:tcPr>
          <w:p>
            <w:pPr>
              <w:keepNext/>
              <w:spacing w:after="40" w:before="40"/>
            </w:pPr>
            <w:r/>
            <w:r>
              <w:rPr>
                <w:rFonts w:ascii="Arial" w:hAnsi="Arial"/>
                <w:i w:val="0"/>
                <w:color w:val="202B38"/>
                <w:sz w:val="17"/>
              </w:rPr>
              <w:t>Contenu réel des fichiers non vérifié</w:t>
            </w:r>
          </w:p>
        </w:tc>
        <w:tc>
          <w:tcPr>
            <w:tcW w:type="dxa" w:w="3969"/>
            <w:shd w:fill="F4F7FA"/>
          </w:tcPr>
          <w:p>
            <w:pPr>
              <w:keepNext/>
              <w:spacing w:after="40" w:before="40"/>
            </w:pPr>
            <w:r/>
            <w:r>
              <w:rPr>
                <w:rFonts w:ascii="Arial" w:hAnsi="Arial"/>
                <w:i w:val="0"/>
                <w:color w:val="202B38"/>
                <w:sz w:val="17"/>
              </w:rPr>
              <w:t>Contrôle des premiers octets et analyse antivirale</w:t>
            </w:r>
          </w:p>
        </w:tc>
        <w:tc>
          <w:tcPr>
            <w:tcW w:type="dxa" w:w="794"/>
            <w:shd w:fill="F4F7FA"/>
          </w:tcPr>
          <w:p>
            <w:pPr>
              <w:keepNext/>
              <w:spacing w:after="40" w:before="40"/>
            </w:pPr>
            <w:r/>
            <w:r>
              <w:rPr>
                <w:rFonts w:ascii="Arial" w:hAnsi="Arial"/>
                <w:i w:val="0"/>
                <w:color w:val="202B38"/>
                <w:sz w:val="17"/>
              </w:rPr>
              <w:t>8</w:t>
            </w:r>
          </w:p>
        </w:tc>
        <w:tc>
          <w:tcPr>
            <w:tcW w:type="dxa" w:w="907"/>
            <w:shd w:fill="F4F7FA"/>
          </w:tcPr>
          <w:p>
            <w:pPr>
              <w:keepNext/>
              <w:spacing w:after="40" w:before="40"/>
            </w:pPr>
            <w:r/>
            <w:r>
              <w:rPr>
                <w:rFonts w:ascii="Arial" w:hAnsi="Arial"/>
                <w:i w:val="0"/>
                <w:color w:val="202B38"/>
                <w:sz w:val="17"/>
              </w:rPr>
              <w:t>2 j</w:t>
            </w:r>
          </w:p>
        </w:tc>
      </w:tr>
      <w:tr>
        <w:trPr>
          <w:cantSplit/>
        </w:trPr>
        <w:tc>
          <w:tcPr>
            <w:tcW w:type="dxa" w:w="1361"/>
          </w:tcPr>
          <w:p>
            <w:pPr>
              <w:keepNext/>
              <w:spacing w:after="40" w:before="40"/>
            </w:pPr>
            <w:r/>
            <w:r>
              <w:rPr>
                <w:rFonts w:ascii="Arial" w:hAnsi="Arial"/>
                <w:i w:val="0"/>
                <w:color w:val="202B38"/>
                <w:sz w:val="17"/>
              </w:rPr>
              <w:t>P9 — Moyen</w:t>
            </w:r>
          </w:p>
        </w:tc>
        <w:tc>
          <w:tcPr>
            <w:tcW w:type="dxa" w:w="2608"/>
          </w:tcPr>
          <w:p>
            <w:pPr>
              <w:keepNext/>
              <w:spacing w:after="40" w:before="40"/>
            </w:pPr>
            <w:r/>
            <w:r>
              <w:rPr>
                <w:rFonts w:ascii="Arial" w:hAnsi="Arial"/>
                <w:i w:val="0"/>
                <w:color w:val="202B38"/>
                <w:sz w:val="17"/>
              </w:rPr>
              <w:t>Politique de sécurité du contenu absente</w:t>
            </w:r>
          </w:p>
        </w:tc>
        <w:tc>
          <w:tcPr>
            <w:tcW w:type="dxa" w:w="3969"/>
          </w:tcPr>
          <w:p>
            <w:pPr>
              <w:keepNext/>
              <w:spacing w:after="40" w:before="40"/>
            </w:pPr>
            <w:r/>
            <w:r>
              <w:rPr>
                <w:rFonts w:ascii="Arial" w:hAnsi="Arial"/>
                <w:i w:val="0"/>
                <w:color w:val="202B38"/>
                <w:sz w:val="17"/>
              </w:rPr>
              <w:t>En-tête CSP restreignant les sources de scripts</w:t>
            </w:r>
          </w:p>
        </w:tc>
        <w:tc>
          <w:tcPr>
            <w:tcW w:type="dxa" w:w="794"/>
          </w:tcPr>
          <w:p>
            <w:pPr>
              <w:keepNext/>
              <w:spacing w:after="40" w:before="40"/>
            </w:pPr>
            <w:r/>
            <w:r>
              <w:rPr>
                <w:rFonts w:ascii="Arial" w:hAnsi="Arial"/>
                <w:i w:val="0"/>
                <w:color w:val="202B38"/>
                <w:sz w:val="17"/>
              </w:rPr>
              <w:t>7.4</w:t>
            </w:r>
          </w:p>
        </w:tc>
        <w:tc>
          <w:tcPr>
            <w:tcW w:type="dxa" w:w="907"/>
          </w:tcPr>
          <w:p>
            <w:pPr>
              <w:keepNext/>
              <w:spacing w:after="40" w:before="40"/>
            </w:pPr>
            <w:r/>
            <w:r>
              <w:rPr>
                <w:rFonts w:ascii="Arial" w:hAnsi="Arial"/>
                <w:i w:val="0"/>
                <w:color w:val="202B38"/>
                <w:sz w:val="17"/>
              </w:rPr>
              <w:t>1 j</w:t>
            </w:r>
          </w:p>
        </w:tc>
      </w:tr>
      <w:tr>
        <w:trPr>
          <w:cantSplit/>
        </w:trPr>
        <w:tc>
          <w:tcPr>
            <w:tcW w:type="dxa" w:w="1361"/>
            <w:shd w:fill="F4F7FA"/>
          </w:tcPr>
          <w:p>
            <w:pPr>
              <w:keepNext/>
              <w:spacing w:after="40" w:before="40"/>
            </w:pPr>
            <w:r/>
            <w:r>
              <w:rPr>
                <w:rFonts w:ascii="Arial" w:hAnsi="Arial"/>
                <w:i w:val="0"/>
                <w:color w:val="202B38"/>
                <w:sz w:val="17"/>
              </w:rPr>
              <w:t>P10 — Faible</w:t>
            </w:r>
          </w:p>
        </w:tc>
        <w:tc>
          <w:tcPr>
            <w:tcW w:type="dxa" w:w="2608"/>
            <w:shd w:fill="F4F7FA"/>
          </w:tcPr>
          <w:p>
            <w:pPr>
              <w:keepNext/>
              <w:spacing w:after="40" w:before="40"/>
            </w:pPr>
            <w:r/>
            <w:r>
              <w:rPr>
                <w:rFonts w:ascii="Arial" w:hAnsi="Arial"/>
                <w:i w:val="0"/>
                <w:color w:val="202B38"/>
                <w:sz w:val="17"/>
              </w:rPr>
              <w:t>Droits RGPD non outillés</w:t>
            </w:r>
          </w:p>
        </w:tc>
        <w:tc>
          <w:tcPr>
            <w:tcW w:type="dxa" w:w="3969"/>
            <w:shd w:fill="F4F7FA"/>
          </w:tcPr>
          <w:p>
            <w:pPr>
              <w:keepNext/>
              <w:spacing w:after="40" w:before="40"/>
            </w:pPr>
            <w:r/>
            <w:r>
              <w:rPr>
                <w:rFonts w:ascii="Arial" w:hAnsi="Arial"/>
                <w:i w:val="0"/>
                <w:color w:val="202B38"/>
                <w:sz w:val="17"/>
              </w:rPr>
              <w:t>Opérations d'export et d'anonymisation, purge planifiée</w:t>
            </w:r>
          </w:p>
        </w:tc>
        <w:tc>
          <w:tcPr>
            <w:tcW w:type="dxa" w:w="794"/>
            <w:shd w:fill="F4F7FA"/>
          </w:tcPr>
          <w:p>
            <w:pPr>
              <w:keepNext/>
              <w:spacing w:after="40" w:before="40"/>
            </w:pPr>
            <w:r/>
            <w:r>
              <w:rPr>
                <w:rFonts w:ascii="Arial" w:hAnsi="Arial"/>
                <w:i w:val="0"/>
                <w:color w:val="202B38"/>
                <w:sz w:val="17"/>
              </w:rPr>
              <w:t>6.3</w:t>
            </w:r>
          </w:p>
        </w:tc>
        <w:tc>
          <w:tcPr>
            <w:tcW w:type="dxa" w:w="907"/>
            <w:shd w:fill="F4F7FA"/>
          </w:tcPr>
          <w:p>
            <w:pPr>
              <w:keepNext/>
              <w:spacing w:after="40" w:before="40"/>
            </w:pPr>
            <w:r/>
            <w:r>
              <w:rPr>
                <w:rFonts w:ascii="Arial" w:hAnsi="Arial"/>
                <w:i w:val="0"/>
                <w:color w:val="202B38"/>
                <w:sz w:val="17"/>
              </w:rPr>
              <w:t>3 j</w:t>
            </w:r>
          </w:p>
        </w:tc>
      </w:tr>
      <w:tr>
        <w:trPr>
          <w:cantSplit/>
        </w:trPr>
        <w:tc>
          <w:tcPr>
            <w:tcW w:type="dxa" w:w="1361"/>
          </w:tcPr>
          <w:p>
            <w:pPr>
              <w:spacing w:after="40" w:before="40"/>
            </w:pPr>
            <w:r/>
            <w:r>
              <w:rPr>
                <w:rFonts w:ascii="Arial" w:hAnsi="Arial"/>
                <w:i w:val="0"/>
                <w:color w:val="202B38"/>
                <w:sz w:val="17"/>
              </w:rPr>
              <w:t>P11 — Faible</w:t>
            </w:r>
          </w:p>
        </w:tc>
        <w:tc>
          <w:tcPr>
            <w:tcW w:type="dxa" w:w="2608"/>
          </w:tcPr>
          <w:p>
            <w:pPr>
              <w:spacing w:after="40" w:before="40"/>
            </w:pPr>
            <w:r/>
            <w:r>
              <w:rPr>
                <w:rFonts w:ascii="Arial" w:hAnsi="Arial"/>
                <w:i w:val="0"/>
                <w:color w:val="202B38"/>
                <w:sz w:val="17"/>
              </w:rPr>
              <w:t>Jeton non révocable</w:t>
            </w:r>
          </w:p>
        </w:tc>
        <w:tc>
          <w:tcPr>
            <w:tcW w:type="dxa" w:w="3969"/>
          </w:tcPr>
          <w:p>
            <w:pPr>
              <w:spacing w:after="40" w:before="40"/>
            </w:pPr>
            <w:r/>
            <w:r>
              <w:rPr>
                <w:rFonts w:ascii="Arial" w:hAnsi="Arial"/>
                <w:i w:val="0"/>
                <w:color w:val="202B38"/>
                <w:sz w:val="17"/>
              </w:rPr>
              <w:t>Jeton d'accès court et jeton de rafraîchissement révocable</w:t>
            </w:r>
          </w:p>
        </w:tc>
        <w:tc>
          <w:tcPr>
            <w:tcW w:type="dxa" w:w="794"/>
          </w:tcPr>
          <w:p>
            <w:pPr>
              <w:spacing w:after="40" w:before="40"/>
            </w:pPr>
            <w:r/>
            <w:r>
              <w:rPr>
                <w:rFonts w:ascii="Arial" w:hAnsi="Arial"/>
                <w:i w:val="0"/>
                <w:color w:val="202B38"/>
                <w:sz w:val="17"/>
              </w:rPr>
              <w:t>4.2</w:t>
            </w:r>
          </w:p>
        </w:tc>
        <w:tc>
          <w:tcPr>
            <w:tcW w:type="dxa" w:w="907"/>
          </w:tcPr>
          <w:p>
            <w:pPr>
              <w:spacing w:after="40" w:before="40"/>
            </w:pPr>
            <w:r/>
            <w:r>
              <w:rPr>
                <w:rFonts w:ascii="Arial" w:hAnsi="Arial"/>
                <w:i w:val="0"/>
                <w:color w:val="202B38"/>
                <w:sz w:val="17"/>
              </w:rPr>
              <w:t>3 j</w:t>
            </w:r>
          </w:p>
        </w:tc>
      </w:tr>
    </w:tbl>
    <w:p>
      <w:pPr>
        <w:spacing w:after="0"/>
      </w:pPr>
    </w:p>
    <w:p>
      <w:pPr>
        <w:keepNext/>
        <w:spacing w:before="300" w:after="100"/>
        <w:pBdr>
          <w:bottom w:val="single" w:sz="4" w:space="3" w:color="C8D4E2"/>
        </w:pBdr>
      </w:pPr>
      <w:r>
        <w:rPr>
          <w:rFonts w:ascii="Arial" w:hAnsi="Arial"/>
          <w:b/>
          <w:color w:val="163658"/>
          <w:sz w:val="32"/>
        </w:rPr>
        <w:t>13. Conclusion</w:t>
      </w:r>
    </w:p>
    <w:p>
      <w:pPr>
        <w:spacing w:after="80"/>
        <w:jc w:val="both"/>
      </w:pPr>
      <w:r>
        <w:rPr>
          <w:rFonts w:ascii="Arial" w:hAnsi="Arial"/>
          <w:i w:val="0"/>
          <w:color w:val="202B38"/>
          <w:sz w:val="21"/>
        </w:rPr>
        <w:t>La sécurité de TrackIT repose sur un socle applicatif solide. Les mécanismes qui demandent le plus de rigueur à l'écriture — contrôle d'accès, cloisonnement entre clients, validation des entrées, traitement des fichiers déposés, gestion des secrets — sont en place et, pour les plus critiques d'entre eux, vérifiés automatiquement à chaque modification du code. Les principes de Security by Design ne sont pas invoqués après coup : ils se lisent dans des décisions concrètes, comme le choix de répondre 404 plutôt que 403 sur une ressource appartenant à une autre organisation, ou le rechargement de l'utilisateur à chaque requête pour qu'une désactivation prenne effet immédiatement.</w:t>
      </w:r>
    </w:p>
    <w:p>
      <w:pPr>
        <w:spacing w:after="80"/>
        <w:jc w:val="both"/>
      </w:pPr>
      <w:r>
        <w:rPr>
          <w:rFonts w:ascii="Arial" w:hAnsi="Arial"/>
          <w:i w:val="0"/>
          <w:color w:val="202B38"/>
          <w:sz w:val="21"/>
        </w:rPr>
        <w:t xml:space="preserve">Les faiblesses se situent ailleurs, et c'est le principal enseignement de cette analyse. Elles ne tiennent pas à des erreurs de programmation mais à des </w:t>
      </w:r>
      <w:r>
        <w:rPr>
          <w:rFonts w:ascii="Arial" w:hAnsi="Arial"/>
          <w:b/>
          <w:i w:val="0"/>
          <w:color w:val="202B38"/>
          <w:sz w:val="21"/>
        </w:rPr>
        <w:t>dispositifs périphériques non encore mis en place</w:t>
      </w:r>
      <w:r>
        <w:rPr>
          <w:rFonts w:ascii="Arial" w:hAnsi="Arial"/>
          <w:i w:val="0"/>
          <w:color w:val="202B38"/>
          <w:sz w:val="21"/>
        </w:rPr>
        <w:t xml:space="preserve"> : le chiffrement du transport, qui relève du déploiement ; la limitation du nombre de tentatives, qui relève d'une fonction transverse ; la journalisation des événements de sécurité et le plan de sauvegarde, qui relèvent de l'exploitation. Une application dont le code est correct reste vulnérable si ces dispositifs manquent — et c'est précisément ce que l'exercice d'une réflexion critique permet de mettre en évidence.</w:t>
      </w:r>
    </w:p>
    <w:p>
      <w:pPr>
        <w:spacing w:after="80"/>
        <w:jc w:val="both"/>
      </w:pPr>
      <w:r>
        <w:rPr>
          <w:rFonts w:ascii="Arial" w:hAnsi="Arial"/>
          <w:i w:val="0"/>
          <w:color w:val="202B38"/>
          <w:sz w:val="21"/>
        </w:rPr>
        <w:t>Les onze actions du chapitre 12 représentent environ vingt-deux jours de travail, dont trois seulement pour traiter les deux risques les plus élevés. Ce déséquilibre est caractéristique : l'essentiel du gain de sécurité s'obtient avec une faible part de l'effort total, à condition d'avoir correctement identifié les priorités.</w:t>
      </w:r>
    </w:p>
    <w:p>
      <w:pPr>
        <w:spacing w:after="80"/>
        <w:jc w:val="both"/>
      </w:pPr>
      <w:r>
        <w:rPr>
          <w:rFonts w:ascii="Arial" w:hAnsi="Arial"/>
          <w:i w:val="0"/>
          <w:color w:val="202B38"/>
          <w:sz w:val="21"/>
        </w:rPr>
        <w:t>Enfin, cette stratégie n'a de valeur que si elle est réévaluée. Trois événements devraient déclencher sa révision : une évolution du modèle d'authentification — notamment un passage du jeton vers un cookie, qui rendrait nécessaire la protection CSRF aujourd'hui écartée à juste titre ; l'ouverture de l'API à des clients tiers, qui imposerait une gestion de clés et de quotas ; et l'extension du périmètre à des données plus sensibles, qui justifierait alors l'authentification à deux facteurs et le chiffrement des données au repos.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878"/>
        <w:sz w:val="16"/>
      </w:rPr>
      <w:t xml:space="preserve">Page </w:t>
    </w:r>
    <w:r>
      <w:rPr>
        <w:rFonts w:ascii="Arial" w:hAnsi="Arial"/>
        <w:color w:val="5B6878"/>
        <w:sz w:val="16"/>
      </w:rPr>
      <w:fldChar w:fldCharType="begin"/>
      <w:instrText xml:space="preserve"> PAGE </w:instrText>
      <w:fldChar w:fldCharType="end"/>
    </w:r>
    <w:r>
      <w:rPr>
        <w:rFonts w:ascii="Arial" w:hAnsi="Arial"/>
        <w:color w:val="5B6878"/>
        <w:sz w:val="16"/>
      </w:rPr>
      <w:t xml:space="preserve"> / </w:t>
    </w:r>
    <w:r>
      <w:rPr>
        <w:rFonts w:ascii="Arial" w:hAnsi="Arial"/>
        <w:color w:val="5B6878"/>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B6878"/>
        <w:sz w:val="16"/>
      </w:rPr>
      <w:t>TrackIT — Stratégie de sécurité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TrackIT - Strategie de securite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