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69AA"/>
          <w:sz w:val="22"/>
        </w:rPr>
        <w:t>PROJET TRACKIT</w:t>
      </w:r>
    </w:p>
    <w:p>
      <w:pPr>
        <w:spacing w:after="80"/>
        <w:pBdr>
          <w:bottom w:val="single" w:sz="6" w:space="4" w:color="163658"/>
        </w:pBdr>
      </w:pPr>
      <w:r>
        <w:rPr>
          <w:rFonts w:ascii="Arial" w:hAnsi="Arial"/>
          <w:b/>
          <w:color w:val="163658"/>
          <w:sz w:val="48"/>
        </w:rPr>
        <w:t>18 — Aspects juridiques et cadre légal</w:t>
      </w:r>
    </w:p>
    <w:p>
      <w:pPr>
        <w:spacing w:after="80"/>
      </w:pPr>
      <w:r>
        <w:rPr>
          <w:rFonts w:ascii="Arial" w:hAnsi="Arial"/>
          <w:i w:val="0"/>
          <w:color w:val="5B6878"/>
          <w:sz w:val="22"/>
        </w:rPr>
        <w:t>Obligations applicables à l'application web TrackIT en droit belge et européen : données personnelles, sécurité, cookies, droit d'auteur, information et responsabilité</w:t>
      </w:r>
    </w:p>
    <w:p>
      <w:pPr>
        <w:pageBreakBefore/>
        <w:spacing w:after="0" w:before="0"/>
      </w:pPr>
      <w:r>
        <w:rPr>
          <w:sz w:val="2"/>
        </w:rPr>
      </w:r>
    </w:p>
    <w:p>
      <w:pPr>
        <w:keepNext/>
        <w:spacing w:before="300" w:after="100"/>
        <w:pBdr>
          <w:bottom w:val="single" w:sz="4" w:space="3" w:color="C8D4E2"/>
        </w:pBdr>
      </w:pPr>
      <w:r>
        <w:rPr>
          <w:rFonts w:ascii="Arial" w:hAnsi="Arial"/>
          <w:b/>
          <w:color w:val="163658"/>
          <w:sz w:val="32"/>
        </w:rPr>
        <w:t>Sommaire</w:t>
      </w:r>
    </w:p>
    <w:p>
      <w:pPr>
        <w:spacing w:after="60"/>
        <w:ind w:left="170"/>
      </w:pPr>
      <w:r>
        <w:rPr>
          <w:rFonts w:ascii="Arial" w:hAnsi="Arial"/>
          <w:color w:val="202B38"/>
          <w:sz w:val="21"/>
        </w:rPr>
        <w:t>1. Objet, périmètre et avertissement</w:t>
      </w:r>
    </w:p>
    <w:p>
      <w:pPr>
        <w:spacing w:after="60"/>
        <w:ind w:left="170"/>
      </w:pPr>
      <w:r>
        <w:rPr>
          <w:rFonts w:ascii="Arial" w:hAnsi="Arial"/>
          <w:color w:val="202B38"/>
          <w:sz w:val="21"/>
        </w:rPr>
        <w:t>2. Qualification juridique de TrackIT</w:t>
      </w:r>
    </w:p>
    <w:p>
      <w:pPr>
        <w:spacing w:after="60"/>
        <w:ind w:left="170"/>
      </w:pPr>
      <w:r>
        <w:rPr>
          <w:rFonts w:ascii="Arial" w:hAnsi="Arial"/>
          <w:color w:val="202B38"/>
          <w:sz w:val="21"/>
        </w:rPr>
        <w:t>3. Protection des données à caractère personnel</w:t>
      </w:r>
    </w:p>
    <w:p>
      <w:pPr>
        <w:spacing w:after="60"/>
        <w:ind w:left="170"/>
      </w:pPr>
      <w:r>
        <w:rPr>
          <w:rFonts w:ascii="Arial" w:hAnsi="Arial"/>
          <w:color w:val="202B38"/>
          <w:sz w:val="21"/>
        </w:rPr>
        <w:t>4. Sécurité des réseaux et des systèmes d'information (NIS2)</w:t>
      </w:r>
    </w:p>
    <w:p>
      <w:pPr>
        <w:spacing w:after="60"/>
        <w:ind w:left="170"/>
      </w:pPr>
      <w:r>
        <w:rPr>
          <w:rFonts w:ascii="Arial" w:hAnsi="Arial"/>
          <w:color w:val="202B38"/>
          <w:sz w:val="21"/>
        </w:rPr>
        <w:t>5. Cookies et stockage sur l'équipement terminal</w:t>
      </w:r>
    </w:p>
    <w:p>
      <w:pPr>
        <w:spacing w:after="60"/>
        <w:ind w:left="170"/>
      </w:pPr>
      <w:r>
        <w:rPr>
          <w:rFonts w:ascii="Arial" w:hAnsi="Arial"/>
          <w:color w:val="202B38"/>
          <w:sz w:val="21"/>
        </w:rPr>
        <w:t>6. Droit d'auteur et propriété intellectuelle</w:t>
      </w:r>
    </w:p>
    <w:p>
      <w:pPr>
        <w:spacing w:after="60"/>
        <w:ind w:left="170"/>
      </w:pPr>
      <w:r>
        <w:rPr>
          <w:rFonts w:ascii="Arial" w:hAnsi="Arial"/>
          <w:color w:val="202B38"/>
          <w:sz w:val="21"/>
        </w:rPr>
        <w:t>7. Obligations d'information et commerce électronique</w:t>
      </w:r>
    </w:p>
    <w:p>
      <w:pPr>
        <w:spacing w:after="60"/>
        <w:ind w:left="170"/>
      </w:pPr>
      <w:r>
        <w:rPr>
          <w:rFonts w:ascii="Arial" w:hAnsi="Arial"/>
          <w:color w:val="202B38"/>
          <w:sz w:val="21"/>
        </w:rPr>
        <w:t>8. Responsabilité</w:t>
      </w:r>
    </w:p>
    <w:p>
      <w:pPr>
        <w:spacing w:after="60"/>
        <w:ind w:left="170"/>
      </w:pPr>
      <w:r>
        <w:rPr>
          <w:rFonts w:ascii="Arial" w:hAnsi="Arial"/>
          <w:color w:val="202B38"/>
          <w:sz w:val="21"/>
        </w:rPr>
        <w:t>9. Synthèse et plan de mise en conformité</w:t>
      </w:r>
    </w:p>
    <w:p>
      <w:pPr>
        <w:spacing w:after="60"/>
        <w:ind w:left="170"/>
      </w:pPr>
      <w:r>
        <w:rPr>
          <w:rFonts w:ascii="Arial" w:hAnsi="Arial"/>
          <w:color w:val="202B38"/>
          <w:sz w:val="21"/>
        </w:rPr>
        <w:t>10. Conclusion</w:t>
      </w:r>
    </w:p>
    <w:p>
      <w:pPr>
        <w:pageBreakBefore/>
        <w:spacing w:after="0" w:before="0"/>
      </w:pPr>
      <w:r>
        <w:rPr>
          <w:sz w:val="2"/>
        </w:rPr>
      </w:r>
    </w:p>
    <w:p>
      <w:pPr>
        <w:keepNext/>
        <w:spacing w:before="300" w:after="100"/>
        <w:pBdr>
          <w:bottom w:val="single" w:sz="4" w:space="3" w:color="C8D4E2"/>
        </w:pBdr>
      </w:pPr>
      <w:r>
        <w:rPr>
          <w:rFonts w:ascii="Arial" w:hAnsi="Arial"/>
          <w:b/>
          <w:color w:val="163658"/>
          <w:sz w:val="32"/>
        </w:rPr>
        <w:t>1. Objet, périmètre et avertissement</w:t>
      </w:r>
    </w:p>
    <w:p>
      <w:pPr>
        <w:keepNext/>
        <w:spacing w:before="180" w:after="60"/>
      </w:pPr>
      <w:r>
        <w:rPr>
          <w:rFonts w:ascii="Arial" w:hAnsi="Arial"/>
          <w:b/>
          <w:color w:val="163658"/>
          <w:sz w:val="25"/>
        </w:rPr>
        <w:t>1.1 Objet</w:t>
      </w:r>
    </w:p>
    <w:p>
      <w:pPr>
        <w:spacing w:after="80"/>
        <w:jc w:val="both"/>
      </w:pPr>
      <w:r>
        <w:rPr>
          <w:rFonts w:ascii="Arial" w:hAnsi="Arial"/>
          <w:i w:val="0"/>
          <w:color w:val="202B38"/>
          <w:sz w:val="21"/>
        </w:rPr>
        <w:t>Ce document identifie les règles de droit applicables à TrackIT, application web de gestion des anomalies informatiques, et confronte chacune d'elles à l'état réel du projet. Il ne se limite pas à exposer le cadre légal : il indique, pour chaque obligation, si elle est satisfaite, partiellement satisfaite ou non satisfaite, et ce qu'il faudrait produire pour l'être.</w:t>
      </w:r>
    </w:p>
    <w:p>
      <w:pPr>
        <w:keepNext/>
        <w:spacing w:before="180" w:after="60"/>
      </w:pPr>
      <w:r>
        <w:rPr>
          <w:rFonts w:ascii="Arial" w:hAnsi="Arial"/>
          <w:b/>
          <w:color w:val="163658"/>
          <w:sz w:val="25"/>
        </w:rPr>
        <w:t>1.2 Périmètre : droit belge et droit européen</w:t>
      </w:r>
    </w:p>
    <w:p>
      <w:pPr>
        <w:spacing w:after="80"/>
        <w:jc w:val="both"/>
      </w:pPr>
      <w:r>
        <w:rPr>
          <w:rFonts w:ascii="Arial" w:hAnsi="Arial"/>
          <w:i w:val="0"/>
          <w:color w:val="202B38"/>
          <w:sz w:val="21"/>
        </w:rPr>
        <w:t>L'analyse se place dans le cadre du droit belge et des règlements européens directement applicables. Les principaux textes mobilisés sont les suivants :</w:t>
      </w:r>
    </w:p>
    <w:tbl>
      <w:tblPr>
        <w:tblStyle w:val="TableGrid"/>
        <w:tblW w:type="auto" w:w="0"/>
        <w:jc w:val="center"/>
        <w:tblLayout w:type="fixed"/>
        <w:tblLook w:firstColumn="1" w:firstRow="1" w:lastColumn="0" w:lastRow="0" w:noHBand="0" w:noVBand="1" w:val="04A0"/>
        <w:tblLayout w:type="fixed"/>
      </w:tblPr>
      <w:tblGrid>
        <w:gridCol w:w="1814"/>
        <w:gridCol w:w="5329"/>
        <w:gridCol w:w="2494"/>
      </w:tblGrid>
      <w:tr>
        <w:trPr>
          <w:tblHeader w:val="true"/>
          <w:cantSplit/>
        </w:trPr>
        <w:tc>
          <w:tcPr>
            <w:tcW w:type="dxa" w:w="1814"/>
            <w:shd w:fill="163658"/>
          </w:tcPr>
          <w:p>
            <w:pPr>
              <w:spacing w:after="40" w:before="40"/>
            </w:pPr>
            <w:r/>
            <w:r>
              <w:rPr>
                <w:rFonts w:ascii="Arial" w:hAnsi="Arial"/>
                <w:b/>
                <w:color w:val="FFFFFF"/>
                <w:sz w:val="17"/>
              </w:rPr>
              <w:t>Domaine</w:t>
            </w:r>
          </w:p>
        </w:tc>
        <w:tc>
          <w:tcPr>
            <w:tcW w:type="dxa" w:w="5329"/>
            <w:shd w:fill="163658"/>
          </w:tcPr>
          <w:p>
            <w:pPr>
              <w:spacing w:after="40" w:before="40"/>
            </w:pPr>
            <w:r/>
            <w:r>
              <w:rPr>
                <w:rFonts w:ascii="Arial" w:hAnsi="Arial"/>
                <w:b/>
                <w:color w:val="FFFFFF"/>
                <w:sz w:val="17"/>
              </w:rPr>
              <w:t>Texte applicable</w:t>
            </w:r>
          </w:p>
        </w:tc>
        <w:tc>
          <w:tcPr>
            <w:tcW w:type="dxa" w:w="2494"/>
            <w:shd w:fill="163658"/>
          </w:tcPr>
          <w:p>
            <w:pPr>
              <w:spacing w:after="40" w:before="40"/>
            </w:pPr>
            <w:r/>
            <w:r>
              <w:rPr>
                <w:rFonts w:ascii="Arial" w:hAnsi="Arial"/>
                <w:b/>
                <w:color w:val="FFFFFF"/>
                <w:sz w:val="17"/>
              </w:rPr>
              <w:t>Autorité compétente</w:t>
            </w:r>
          </w:p>
        </w:tc>
      </w:tr>
      <w:tr>
        <w:trPr>
          <w:cantSplit/>
        </w:trPr>
        <w:tc>
          <w:tcPr>
            <w:tcW w:type="dxa" w:w="1814"/>
          </w:tcPr>
          <w:p>
            <w:pPr>
              <w:spacing w:after="40" w:before="40"/>
            </w:pPr>
            <w:r/>
            <w:r>
              <w:rPr>
                <w:rFonts w:ascii="Arial" w:hAnsi="Arial"/>
                <w:i w:val="0"/>
                <w:color w:val="202B38"/>
                <w:sz w:val="17"/>
              </w:rPr>
              <w:t>Données personnelles</w:t>
            </w:r>
          </w:p>
        </w:tc>
        <w:tc>
          <w:tcPr>
            <w:tcW w:type="dxa" w:w="5329"/>
          </w:tcPr>
          <w:p>
            <w:pPr>
              <w:spacing w:after="40" w:before="40"/>
            </w:pPr>
            <w:r/>
            <w:r>
              <w:rPr>
                <w:rFonts w:ascii="Arial" w:hAnsi="Arial"/>
                <w:i w:val="0"/>
                <w:color w:val="202B38"/>
                <w:sz w:val="17"/>
              </w:rPr>
              <w:t>Règlement (UE) 2016/679 (RGPD) ; loi du 30 juillet 2018 relative à la protection des personnes physiques à l'égard des traitements de données à caractère personnel</w:t>
            </w:r>
          </w:p>
        </w:tc>
        <w:tc>
          <w:tcPr>
            <w:tcW w:type="dxa" w:w="2494"/>
          </w:tcPr>
          <w:p>
            <w:pPr>
              <w:spacing w:after="40" w:before="40"/>
            </w:pPr>
            <w:r/>
            <w:r>
              <w:rPr>
                <w:rFonts w:ascii="Arial" w:hAnsi="Arial"/>
                <w:i w:val="0"/>
                <w:color w:val="202B38"/>
                <w:sz w:val="17"/>
              </w:rPr>
              <w:t>Autorité de protection des données (APD)</w:t>
            </w:r>
          </w:p>
        </w:tc>
      </w:tr>
      <w:tr>
        <w:trPr>
          <w:cantSplit/>
        </w:trPr>
        <w:tc>
          <w:tcPr>
            <w:tcW w:type="dxa" w:w="1814"/>
            <w:shd w:fill="F4F7FA"/>
          </w:tcPr>
          <w:p>
            <w:pPr>
              <w:spacing w:after="40" w:before="40"/>
            </w:pPr>
            <w:r/>
            <w:r>
              <w:rPr>
                <w:rFonts w:ascii="Arial" w:hAnsi="Arial"/>
                <w:i w:val="0"/>
                <w:color w:val="202B38"/>
                <w:sz w:val="17"/>
              </w:rPr>
              <w:t>Données personnelles — Conseil de l'Europe</w:t>
            </w:r>
          </w:p>
        </w:tc>
        <w:tc>
          <w:tcPr>
            <w:tcW w:type="dxa" w:w="5329"/>
            <w:shd w:fill="F4F7FA"/>
          </w:tcPr>
          <w:p>
            <w:pPr>
              <w:spacing w:after="40" w:before="40"/>
            </w:pPr>
            <w:r/>
            <w:r>
              <w:rPr>
                <w:rFonts w:ascii="Arial" w:hAnsi="Arial"/>
                <w:i w:val="0"/>
                <w:color w:val="202B38"/>
                <w:sz w:val="17"/>
              </w:rPr>
              <w:t>Convention 108 pour la protection des personnes à l'égard du traitement automatisé des données, modernisée par le Protocole 108+</w:t>
            </w:r>
          </w:p>
        </w:tc>
        <w:tc>
          <w:tcPr>
            <w:tcW w:type="dxa" w:w="2494"/>
            <w:shd w:fill="F4F7FA"/>
          </w:tcPr>
          <w:p>
            <w:pPr>
              <w:spacing w:after="40" w:before="40"/>
            </w:pPr>
            <w:r/>
            <w:r>
              <w:rPr>
                <w:rFonts w:ascii="Arial" w:hAnsi="Arial"/>
                <w:i w:val="0"/>
                <w:color w:val="202B38"/>
                <w:sz w:val="17"/>
              </w:rPr>
              <w:t>—</w:t>
            </w:r>
          </w:p>
        </w:tc>
      </w:tr>
      <w:tr>
        <w:trPr>
          <w:cantSplit/>
        </w:trPr>
        <w:tc>
          <w:tcPr>
            <w:tcW w:type="dxa" w:w="1814"/>
          </w:tcPr>
          <w:p>
            <w:pPr>
              <w:spacing w:after="40" w:before="40"/>
            </w:pPr>
            <w:r/>
            <w:r>
              <w:rPr>
                <w:rFonts w:ascii="Arial" w:hAnsi="Arial"/>
                <w:i w:val="0"/>
                <w:color w:val="202B38"/>
                <w:sz w:val="17"/>
              </w:rPr>
              <w:t>Sécurité des systèmes</w:t>
            </w:r>
          </w:p>
        </w:tc>
        <w:tc>
          <w:tcPr>
            <w:tcW w:type="dxa" w:w="5329"/>
          </w:tcPr>
          <w:p>
            <w:pPr>
              <w:spacing w:after="40" w:before="40"/>
            </w:pPr>
            <w:r/>
            <w:r>
              <w:rPr>
                <w:rFonts w:ascii="Arial" w:hAnsi="Arial"/>
                <w:i w:val="0"/>
                <w:color w:val="202B38"/>
                <w:sz w:val="17"/>
              </w:rPr>
              <w:t>Directive (UE) 2022/2555 (NIS2) ; loi du 26 avril 2024 établissant un cadre pour la cybersécurité ; arrêté royal du 9 juin 2024</w:t>
            </w:r>
          </w:p>
        </w:tc>
        <w:tc>
          <w:tcPr>
            <w:tcW w:type="dxa" w:w="2494"/>
          </w:tcPr>
          <w:p>
            <w:pPr>
              <w:spacing w:after="40" w:before="40"/>
            </w:pPr>
            <w:r/>
            <w:r>
              <w:rPr>
                <w:rFonts w:ascii="Arial" w:hAnsi="Arial"/>
                <w:i w:val="0"/>
                <w:color w:val="202B38"/>
                <w:sz w:val="17"/>
              </w:rPr>
              <w:t>Centre pour la Cybersécurité Belgique (CCB)</w:t>
            </w:r>
          </w:p>
        </w:tc>
      </w:tr>
      <w:tr>
        <w:trPr>
          <w:cantSplit/>
        </w:trPr>
        <w:tc>
          <w:tcPr>
            <w:tcW w:type="dxa" w:w="1814"/>
            <w:shd w:fill="F4F7FA"/>
          </w:tcPr>
          <w:p>
            <w:pPr>
              <w:spacing w:after="40" w:before="40"/>
            </w:pPr>
            <w:r/>
            <w:r>
              <w:rPr>
                <w:rFonts w:ascii="Arial" w:hAnsi="Arial"/>
                <w:i w:val="0"/>
                <w:color w:val="202B38"/>
                <w:sz w:val="17"/>
              </w:rPr>
              <w:t>Cookies et équipement terminal</w:t>
            </w:r>
          </w:p>
        </w:tc>
        <w:tc>
          <w:tcPr>
            <w:tcW w:type="dxa" w:w="5329"/>
            <w:shd w:fill="F4F7FA"/>
          </w:tcPr>
          <w:p>
            <w:pPr>
              <w:spacing w:after="40" w:before="40"/>
            </w:pPr>
            <w:r/>
            <w:r>
              <w:rPr>
                <w:rFonts w:ascii="Arial" w:hAnsi="Arial"/>
                <w:i w:val="0"/>
                <w:color w:val="202B38"/>
                <w:sz w:val="17"/>
              </w:rPr>
              <w:t>Article 129 de la loi du 13 juin 2005 relative aux communications électroniques, combiné au RGPD pour la définition du consentement</w:t>
            </w:r>
          </w:p>
        </w:tc>
        <w:tc>
          <w:tcPr>
            <w:tcW w:type="dxa" w:w="2494"/>
            <w:shd w:fill="F4F7FA"/>
          </w:tcPr>
          <w:p>
            <w:pPr>
              <w:spacing w:after="40" w:before="40"/>
            </w:pPr>
            <w:r/>
            <w:r>
              <w:rPr>
                <w:rFonts w:ascii="Arial" w:hAnsi="Arial"/>
                <w:i w:val="0"/>
                <w:color w:val="202B38"/>
                <w:sz w:val="17"/>
              </w:rPr>
              <w:t>Autorité de protection des données (APD)</w:t>
            </w:r>
          </w:p>
        </w:tc>
      </w:tr>
      <w:tr>
        <w:trPr>
          <w:cantSplit/>
        </w:trPr>
        <w:tc>
          <w:tcPr>
            <w:tcW w:type="dxa" w:w="1814"/>
          </w:tcPr>
          <w:p>
            <w:pPr>
              <w:spacing w:after="40" w:before="40"/>
            </w:pPr>
            <w:r/>
            <w:r>
              <w:rPr>
                <w:rFonts w:ascii="Arial" w:hAnsi="Arial"/>
                <w:i w:val="0"/>
                <w:color w:val="202B38"/>
                <w:sz w:val="17"/>
              </w:rPr>
              <w:t>Droit d'auteur et logiciels</w:t>
            </w:r>
          </w:p>
        </w:tc>
        <w:tc>
          <w:tcPr>
            <w:tcW w:type="dxa" w:w="5329"/>
          </w:tcPr>
          <w:p>
            <w:pPr>
              <w:spacing w:after="40" w:before="40"/>
            </w:pPr>
            <w:r/>
            <w:r>
              <w:rPr>
                <w:rFonts w:ascii="Arial" w:hAnsi="Arial"/>
                <w:i w:val="0"/>
                <w:color w:val="202B38"/>
                <w:sz w:val="17"/>
              </w:rPr>
              <w:t>Livre XI du Code de droit économique (CDE), titres 5 et 6</w:t>
            </w:r>
          </w:p>
        </w:tc>
        <w:tc>
          <w:tcPr>
            <w:tcW w:type="dxa" w:w="2494"/>
          </w:tcPr>
          <w:p>
            <w:pPr>
              <w:spacing w:after="40" w:before="40"/>
            </w:pPr>
            <w:r/>
            <w:r>
              <w:rPr>
                <w:rFonts w:ascii="Arial" w:hAnsi="Arial"/>
                <w:i w:val="0"/>
                <w:color w:val="202B38"/>
                <w:sz w:val="17"/>
              </w:rPr>
              <w:t>Office de la Propriété intellectuelle ; tribunaux</w:t>
            </w:r>
          </w:p>
        </w:tc>
      </w:tr>
      <w:tr>
        <w:trPr>
          <w:cantSplit/>
        </w:trPr>
        <w:tc>
          <w:tcPr>
            <w:tcW w:type="dxa" w:w="1814"/>
            <w:shd w:fill="F4F7FA"/>
          </w:tcPr>
          <w:p>
            <w:pPr>
              <w:spacing w:after="40" w:before="40"/>
            </w:pPr>
            <w:r/>
            <w:r>
              <w:rPr>
                <w:rFonts w:ascii="Arial" w:hAnsi="Arial"/>
                <w:i w:val="0"/>
                <w:color w:val="202B38"/>
                <w:sz w:val="17"/>
              </w:rPr>
              <w:t>Commerce électronique</w:t>
            </w:r>
          </w:p>
        </w:tc>
        <w:tc>
          <w:tcPr>
            <w:tcW w:type="dxa" w:w="5329"/>
            <w:shd w:fill="F4F7FA"/>
          </w:tcPr>
          <w:p>
            <w:pPr>
              <w:spacing w:after="40" w:before="40"/>
            </w:pPr>
            <w:r/>
            <w:r>
              <w:rPr>
                <w:rFonts w:ascii="Arial" w:hAnsi="Arial"/>
                <w:i w:val="0"/>
                <w:color w:val="202B38"/>
                <w:sz w:val="17"/>
              </w:rPr>
              <w:t>Livre XII du Code de droit économique (services de la société de l'information)</w:t>
            </w:r>
          </w:p>
        </w:tc>
        <w:tc>
          <w:tcPr>
            <w:tcW w:type="dxa" w:w="2494"/>
            <w:shd w:fill="F4F7FA"/>
          </w:tcPr>
          <w:p>
            <w:pPr>
              <w:spacing w:after="40" w:before="40"/>
            </w:pPr>
            <w:r/>
            <w:r>
              <w:rPr>
                <w:rFonts w:ascii="Arial" w:hAnsi="Arial"/>
                <w:i w:val="0"/>
                <w:color w:val="202B38"/>
                <w:sz w:val="17"/>
              </w:rPr>
              <w:t>SPF Économie ; Inspection économique</w:t>
            </w:r>
          </w:p>
        </w:tc>
      </w:tr>
      <w:tr>
        <w:trPr>
          <w:cantSplit/>
        </w:trPr>
        <w:tc>
          <w:tcPr>
            <w:tcW w:type="dxa" w:w="1814"/>
          </w:tcPr>
          <w:p>
            <w:pPr>
              <w:spacing w:after="40" w:before="40"/>
            </w:pPr>
            <w:r/>
            <w:r>
              <w:rPr>
                <w:rFonts w:ascii="Arial" w:hAnsi="Arial"/>
                <w:i w:val="0"/>
                <w:color w:val="202B38"/>
                <w:sz w:val="17"/>
              </w:rPr>
              <w:t>Responsabilité des intermédiaires</w:t>
            </w:r>
          </w:p>
        </w:tc>
        <w:tc>
          <w:tcPr>
            <w:tcW w:type="dxa" w:w="5329"/>
          </w:tcPr>
          <w:p>
            <w:pPr>
              <w:spacing w:after="40" w:before="40"/>
            </w:pPr>
            <w:r/>
            <w:r>
              <w:rPr>
                <w:rFonts w:ascii="Arial" w:hAnsi="Arial"/>
                <w:i w:val="0"/>
                <w:color w:val="202B38"/>
                <w:sz w:val="17"/>
              </w:rPr>
              <w:t>Articles XII.17 à XII.20 du CDE ; Règlement (UE) 2022/2065 (DSA), applicable depuis le 17 février 2024</w:t>
            </w:r>
          </w:p>
        </w:tc>
        <w:tc>
          <w:tcPr>
            <w:tcW w:type="dxa" w:w="2494"/>
          </w:tcPr>
          <w:p>
            <w:pPr>
              <w:spacing w:after="40" w:before="40"/>
            </w:pPr>
            <w:r/>
            <w:r>
              <w:rPr>
                <w:rFonts w:ascii="Arial" w:hAnsi="Arial"/>
                <w:i w:val="0"/>
                <w:color w:val="202B38"/>
                <w:sz w:val="17"/>
              </w:rPr>
              <w:t>Coordinateur pour les services numériques</w:t>
            </w:r>
          </w:p>
        </w:tc>
      </w:tr>
      <w:tr>
        <w:trPr>
          <w:cantSplit/>
        </w:trPr>
        <w:tc>
          <w:tcPr>
            <w:tcW w:type="dxa" w:w="1814"/>
            <w:shd w:fill="F4F7FA"/>
          </w:tcPr>
          <w:p>
            <w:pPr>
              <w:spacing w:after="40" w:before="40"/>
            </w:pPr>
            <w:r/>
            <w:r>
              <w:rPr>
                <w:rFonts w:ascii="Arial" w:hAnsi="Arial"/>
                <w:i w:val="0"/>
                <w:color w:val="202B38"/>
                <w:sz w:val="17"/>
              </w:rPr>
              <w:t>Relations entre entreprises</w:t>
            </w:r>
          </w:p>
        </w:tc>
        <w:tc>
          <w:tcPr>
            <w:tcW w:type="dxa" w:w="5329"/>
            <w:shd w:fill="F4F7FA"/>
          </w:tcPr>
          <w:p>
            <w:pPr>
              <w:spacing w:after="40" w:before="40"/>
            </w:pPr>
            <w:r/>
            <w:r>
              <w:rPr>
                <w:rFonts w:ascii="Arial" w:hAnsi="Arial"/>
                <w:i w:val="0"/>
                <w:color w:val="202B38"/>
                <w:sz w:val="17"/>
              </w:rPr>
              <w:t>Livre VI du CDE, clauses abusives entre entreprises (loi du 4 avril 2019)</w:t>
            </w:r>
          </w:p>
        </w:tc>
        <w:tc>
          <w:tcPr>
            <w:tcW w:type="dxa" w:w="2494"/>
            <w:shd w:fill="F4F7FA"/>
          </w:tcPr>
          <w:p>
            <w:pPr>
              <w:spacing w:after="40" w:before="40"/>
            </w:pPr>
            <w:r/>
            <w:r>
              <w:rPr>
                <w:rFonts w:ascii="Arial" w:hAnsi="Arial"/>
                <w:i w:val="0"/>
                <w:color w:val="202B38"/>
                <w:sz w:val="17"/>
              </w:rPr>
              <w:t>SPF Économie</w:t>
            </w:r>
          </w:p>
        </w:tc>
      </w:tr>
    </w:tbl>
    <w:p>
      <w:pPr>
        <w:spacing w:after="0"/>
      </w:pPr>
    </w:p>
    <w:p>
      <w:pPr>
        <w:keepNext/>
        <w:spacing w:before="180" w:after="60"/>
      </w:pPr>
      <w:r>
        <w:rPr>
          <w:rFonts w:ascii="Arial" w:hAnsi="Arial"/>
          <w:b/>
          <w:color w:val="163658"/>
          <w:sz w:val="25"/>
        </w:rPr>
        <w:t>1.3 Avertissement</w:t>
      </w:r>
    </w:p>
    <w:p>
      <w:pPr>
        <w:keepNext/>
        <w:spacing w:before="160" w:after="40"/>
        <w:shd w:val="clear" w:fill="EAF1F8"/>
        <w:pBdr>
          <w:top w:val="single" w:sz="6" w:space="6" w:color="1769AA"/>
          <w:left w:val="single" w:sz="6" w:space="8" w:color="1769AA"/>
          <w:bottom w:val="nil" w:sz="6" w:space="6" w:color="1769AA"/>
          <w:right w:val="single" w:sz="6" w:space="8" w:color="1769AA"/>
        </w:pBdr>
        <w:ind w:left="142" w:right="142"/>
      </w:pPr>
      <w:r>
        <w:rPr>
          <w:rFonts w:ascii="Arial" w:hAnsi="Arial"/>
          <w:b/>
          <w:color w:val="1769AA"/>
          <w:sz w:val="20"/>
        </w:rPr>
        <w:t>Portée de ce document</w:t>
      </w:r>
    </w:p>
    <w:p>
      <w:pPr>
        <w:spacing w:after="120"/>
        <w:ind w:left="142" w:right="142"/>
        <w:jc w:val="both"/>
        <w:shd w:val="clear" w:fill="EAF1F8"/>
        <w:pBdr>
          <w:top w:val="nil" w:sz="6" w:space="6" w:color="1769AA"/>
          <w:left w:val="single" w:sz="6" w:space="8" w:color="1769AA"/>
          <w:bottom w:val="single" w:sz="6" w:space="6" w:color="1769AA"/>
          <w:right w:val="single" w:sz="6" w:space="8" w:color="1769AA"/>
        </w:pBdr>
      </w:pPr>
      <w:r>
        <w:rPr>
          <w:rFonts w:ascii="Arial" w:hAnsi="Arial"/>
          <w:i w:val="0"/>
          <w:color w:val="202B38"/>
          <w:sz w:val="19"/>
        </w:rPr>
        <w:t xml:space="preserve">Cette analyse est un travail académique réalisé dans le cadre d'un projet de fin d'études. Elle ne constitue </w:t>
      </w:r>
      <w:r>
        <w:rPr>
          <w:rFonts w:ascii="Arial" w:hAnsi="Arial"/>
          <w:b/>
          <w:i w:val="0"/>
          <w:color w:val="202B38"/>
          <w:sz w:val="19"/>
        </w:rPr>
        <w:t>pas un avis juridique</w:t>
      </w:r>
      <w:r>
        <w:rPr>
          <w:rFonts w:ascii="Arial" w:hAnsi="Arial"/>
          <w:i w:val="0"/>
          <w:color w:val="202B38"/>
          <w:sz w:val="19"/>
        </w:rPr>
        <w:t xml:space="preserve"> et n'engage pas la responsabilité de son auteur. Une mise en service réelle de TrackIT, et plus encore une commercialisation, devraient être précédées de la validation des documents contractuels par un conseil juridique. Les textes cités sont ceux en vigueur à la date de rédaction ; leur évolution devra être suivie.</w:t>
      </w:r>
    </w:p>
    <w:p>
      <w:pPr>
        <w:spacing w:after="0"/>
      </w:pPr>
    </w:p>
    <w:p>
      <w:pPr>
        <w:keepNext/>
        <w:spacing w:before="300" w:after="100"/>
        <w:pBdr>
          <w:bottom w:val="single" w:sz="4" w:space="3" w:color="C8D4E2"/>
        </w:pBdr>
      </w:pPr>
      <w:r>
        <w:rPr>
          <w:rFonts w:ascii="Arial" w:hAnsi="Arial"/>
          <w:b/>
          <w:color w:val="163658"/>
          <w:sz w:val="32"/>
        </w:rPr>
        <w:t>2. Qualification juridique de TrackIT</w:t>
      </w:r>
    </w:p>
    <w:p>
      <w:pPr>
        <w:keepNext/>
        <w:spacing w:before="180" w:after="60"/>
      </w:pPr>
      <w:r>
        <w:rPr>
          <w:rFonts w:ascii="Arial" w:hAnsi="Arial"/>
          <w:b/>
          <w:color w:val="163658"/>
          <w:sz w:val="25"/>
        </w:rPr>
        <w:t>2.1 Nature du service</w:t>
      </w:r>
    </w:p>
    <w:p>
      <w:pPr>
        <w:spacing w:after="80"/>
        <w:jc w:val="both"/>
      </w:pPr>
      <w:r>
        <w:rPr>
          <w:rFonts w:ascii="Arial" w:hAnsi="Arial"/>
          <w:i w:val="0"/>
          <w:color w:val="202B38"/>
          <w:sz w:val="21"/>
        </w:rPr>
        <w:t xml:space="preserve">TrackIT est un </w:t>
      </w:r>
      <w:r>
        <w:rPr>
          <w:rFonts w:ascii="Arial" w:hAnsi="Arial"/>
          <w:b/>
          <w:i w:val="0"/>
          <w:color w:val="202B38"/>
          <w:sz w:val="21"/>
        </w:rPr>
        <w:t>service de la société de l'information</w:t>
      </w:r>
      <w:r>
        <w:rPr>
          <w:rFonts w:ascii="Arial" w:hAnsi="Arial"/>
          <w:i w:val="0"/>
          <w:color w:val="202B38"/>
          <w:sz w:val="21"/>
        </w:rPr>
        <w:t xml:space="preserve"> au sens du Livre XII du Code de droit économique : un service presté à distance, par voie électronique, à la demande individuelle d'un destinataire, et — dès lors qu'une offre payante existe — contre rémunération. Cette qualification emporte des obligations d'information précises, examinées au chapitre 7.</w:t>
      </w:r>
    </w:p>
    <w:p>
      <w:pPr>
        <w:spacing w:after="80"/>
        <w:jc w:val="both"/>
      </w:pPr>
      <w:r>
        <w:rPr>
          <w:rFonts w:ascii="Arial" w:hAnsi="Arial"/>
          <w:i w:val="0"/>
          <w:color w:val="202B38"/>
          <w:sz w:val="21"/>
        </w:rPr>
        <w:t xml:space="preserve">Le service est destiné à des </w:t>
      </w:r>
      <w:r>
        <w:rPr>
          <w:rFonts w:ascii="Arial" w:hAnsi="Arial"/>
          <w:b/>
          <w:i w:val="0"/>
          <w:color w:val="202B38"/>
          <w:sz w:val="21"/>
        </w:rPr>
        <w:t>organisations</w:t>
      </w:r>
      <w:r>
        <w:rPr>
          <w:rFonts w:ascii="Arial" w:hAnsi="Arial"/>
          <w:i w:val="0"/>
          <w:color w:val="202B38"/>
          <w:sz w:val="21"/>
        </w:rPr>
        <w:t>, non à des consommateurs. La relation est donc de nature professionnelle, ce qui écarte l'essentiel du droit de la consommation mais n'écarte pas le régime des clauses abusives entre entreprises, introduit par la loi du 4 avril 2019.</w:t>
      </w:r>
    </w:p>
    <w:p>
      <w:pPr>
        <w:keepNext/>
        <w:spacing w:before="180" w:after="60"/>
      </w:pPr>
      <w:r>
        <w:rPr>
          <w:rFonts w:ascii="Arial" w:hAnsi="Arial"/>
          <w:b/>
          <w:color w:val="163658"/>
          <w:sz w:val="25"/>
        </w:rPr>
        <w:t>2.2 Une double qualification au sens du RGPD</w:t>
      </w:r>
    </w:p>
    <w:p>
      <w:pPr>
        <w:spacing w:after="80"/>
        <w:jc w:val="both"/>
      </w:pPr>
      <w:r>
        <w:rPr>
          <w:rFonts w:ascii="Arial" w:hAnsi="Arial"/>
          <w:i w:val="0"/>
          <w:color w:val="202B38"/>
          <w:sz w:val="21"/>
        </w:rPr>
        <w:t xml:space="preserve">C'est le point de qualification le plus important, et celui qui est le plus souvent manqué dans les projets de ce type. TrackIT n'a pas un rôle unique au regard du RGPD : il en a </w:t>
      </w:r>
      <w:r>
        <w:rPr>
          <w:rFonts w:ascii="Arial" w:hAnsi="Arial"/>
          <w:b/>
          <w:i w:val="0"/>
          <w:color w:val="202B38"/>
          <w:sz w:val="21"/>
        </w:rPr>
        <w:t>deux</w:t>
      </w:r>
      <w:r>
        <w:rPr>
          <w:rFonts w:ascii="Arial" w:hAnsi="Arial"/>
          <w:i w:val="0"/>
          <w:color w:val="202B38"/>
          <w:sz w:val="21"/>
        </w:rPr>
        <w:t>, selon les données considérées.</w:t>
      </w:r>
    </w:p>
    <w:tbl>
      <w:tblPr>
        <w:tblStyle w:val="TableGrid"/>
        <w:tblW w:type="auto" w:w="0"/>
        <w:jc w:val="center"/>
        <w:tblLayout w:type="fixed"/>
        <w:tblLook w:firstColumn="1" w:firstRow="1" w:lastColumn="0" w:lastRow="0" w:noHBand="0" w:noVBand="1" w:val="04A0"/>
        <w:tblLayout w:type="fixed"/>
      </w:tblPr>
      <w:tblGrid>
        <w:gridCol w:w="2268"/>
        <w:gridCol w:w="2268"/>
        <w:gridCol w:w="1701"/>
        <w:gridCol w:w="3402"/>
      </w:tblGrid>
      <w:tr>
        <w:trPr>
          <w:tblHeader w:val="true"/>
          <w:cantSplit/>
        </w:trPr>
        <w:tc>
          <w:tcPr>
            <w:tcW w:type="dxa" w:w="2268"/>
            <w:shd w:fill="163658"/>
          </w:tcPr>
          <w:p>
            <w:pPr>
              <w:spacing w:after="40" w:before="40"/>
            </w:pPr>
            <w:r/>
            <w:r>
              <w:rPr>
                <w:rFonts w:ascii="Arial" w:hAnsi="Arial"/>
                <w:b/>
                <w:color w:val="FFFFFF"/>
                <w:sz w:val="17"/>
              </w:rPr>
              <w:t>Données concernées</w:t>
            </w:r>
          </w:p>
        </w:tc>
        <w:tc>
          <w:tcPr>
            <w:tcW w:type="dxa" w:w="2268"/>
            <w:shd w:fill="163658"/>
          </w:tcPr>
          <w:p>
            <w:pPr>
              <w:spacing w:after="40" w:before="40"/>
            </w:pPr>
            <w:r/>
            <w:r>
              <w:rPr>
                <w:rFonts w:ascii="Arial" w:hAnsi="Arial"/>
                <w:b/>
                <w:color w:val="FFFFFF"/>
                <w:sz w:val="17"/>
              </w:rPr>
              <w:t>Qui décide des finalités</w:t>
            </w:r>
          </w:p>
        </w:tc>
        <w:tc>
          <w:tcPr>
            <w:tcW w:type="dxa" w:w="1701"/>
            <w:shd w:fill="163658"/>
          </w:tcPr>
          <w:p>
            <w:pPr>
              <w:spacing w:after="40" w:before="40"/>
            </w:pPr>
            <w:r/>
            <w:r>
              <w:rPr>
                <w:rFonts w:ascii="Arial" w:hAnsi="Arial"/>
                <w:b/>
                <w:color w:val="FFFFFF"/>
                <w:sz w:val="17"/>
              </w:rPr>
              <w:t>Rôle de TrackIT</w:t>
            </w:r>
          </w:p>
        </w:tc>
        <w:tc>
          <w:tcPr>
            <w:tcW w:type="dxa" w:w="3402"/>
            <w:shd w:fill="163658"/>
          </w:tcPr>
          <w:p>
            <w:pPr>
              <w:spacing w:after="40" w:before="40"/>
            </w:pPr>
            <w:r/>
            <w:r>
              <w:rPr>
                <w:rFonts w:ascii="Arial" w:hAnsi="Arial"/>
                <w:b/>
                <w:color w:val="FFFFFF"/>
                <w:sz w:val="17"/>
              </w:rPr>
              <w:t>Conséquence principale</w:t>
            </w:r>
          </w:p>
        </w:tc>
      </w:tr>
      <w:tr>
        <w:trPr>
          <w:cantSplit/>
        </w:trPr>
        <w:tc>
          <w:tcPr>
            <w:tcW w:type="dxa" w:w="2268"/>
          </w:tcPr>
          <w:p>
            <w:pPr>
              <w:spacing w:after="40" w:before="40"/>
            </w:pPr>
            <w:r/>
            <w:r>
              <w:rPr>
                <w:rFonts w:ascii="Arial" w:hAnsi="Arial"/>
                <w:i w:val="0"/>
                <w:color w:val="202B38"/>
                <w:sz w:val="17"/>
              </w:rPr>
              <w:t>Comptes des utilisateurs des organisations clientes, anomalies déclarées, commentaires, pièces jointes, historique</w:t>
            </w:r>
          </w:p>
        </w:tc>
        <w:tc>
          <w:tcPr>
            <w:tcW w:type="dxa" w:w="2268"/>
          </w:tcPr>
          <w:p>
            <w:pPr>
              <w:spacing w:after="40" w:before="40"/>
            </w:pPr>
            <w:r/>
            <w:r>
              <w:rPr>
                <w:rFonts w:ascii="Arial" w:hAnsi="Arial"/>
                <w:i w:val="0"/>
                <w:color w:val="202B38"/>
                <w:sz w:val="17"/>
              </w:rPr>
              <w:t>L'organisation cliente, qui choisit d'outiller son suivi d'incidents</w:t>
            </w:r>
          </w:p>
        </w:tc>
        <w:tc>
          <w:tcPr>
            <w:tcW w:type="dxa" w:w="1701"/>
          </w:tcPr>
          <w:p>
            <w:pPr>
              <w:spacing w:after="40" w:before="40"/>
            </w:pPr>
            <w:r/>
            <w:r>
              <w:rPr>
                <w:rFonts w:ascii="Arial" w:hAnsi="Arial"/>
                <w:b/>
                <w:i w:val="0"/>
                <w:color w:val="202B38"/>
                <w:sz w:val="17"/>
              </w:rPr>
              <w:t>Sous-traitant</w:t>
            </w:r>
            <w:r>
              <w:rPr>
                <w:rFonts w:ascii="Arial" w:hAnsi="Arial"/>
                <w:i w:val="0"/>
                <w:color w:val="202B38"/>
                <w:sz w:val="17"/>
              </w:rPr>
              <w:t xml:space="preserve"> (art. 4.8 RGPD)</w:t>
            </w:r>
          </w:p>
        </w:tc>
        <w:tc>
          <w:tcPr>
            <w:tcW w:type="dxa" w:w="3402"/>
          </w:tcPr>
          <w:p>
            <w:pPr>
              <w:spacing w:after="40" w:before="40"/>
            </w:pPr>
            <w:r/>
            <w:r>
              <w:rPr>
                <w:rFonts w:ascii="Arial" w:hAnsi="Arial"/>
                <w:i w:val="0"/>
                <w:color w:val="202B38"/>
                <w:sz w:val="17"/>
              </w:rPr>
              <w:t xml:space="preserve">Un contrat de sous-traitance conforme à l'article 28 est </w:t>
            </w:r>
            <w:r>
              <w:rPr>
                <w:rFonts w:ascii="Arial" w:hAnsi="Arial"/>
                <w:b/>
                <w:i w:val="0"/>
                <w:color w:val="202B38"/>
                <w:sz w:val="17"/>
              </w:rPr>
              <w:t>obligatoire</w:t>
            </w:r>
            <w:r>
              <w:rPr>
                <w:rFonts w:ascii="Arial" w:hAnsi="Arial"/>
                <w:i w:val="0"/>
                <w:color w:val="202B38"/>
                <w:sz w:val="17"/>
              </w:rPr>
              <w:t xml:space="preserve"> avec chaque organisation cliente</w:t>
            </w:r>
          </w:p>
        </w:tc>
      </w:tr>
      <w:tr>
        <w:trPr>
          <w:cantSplit/>
        </w:trPr>
        <w:tc>
          <w:tcPr>
            <w:tcW w:type="dxa" w:w="2268"/>
            <w:shd w:fill="F4F7FA"/>
          </w:tcPr>
          <w:p>
            <w:pPr>
              <w:spacing w:after="40" w:before="40"/>
            </w:pPr>
            <w:r/>
            <w:r>
              <w:rPr>
                <w:rFonts w:ascii="Arial" w:hAnsi="Arial"/>
                <w:i w:val="0"/>
                <w:color w:val="202B38"/>
                <w:sz w:val="17"/>
              </w:rPr>
              <w:t>Compte de l'organisation elle-même, données d'abonnement et de facturation, journaux techniques</w:t>
            </w:r>
          </w:p>
        </w:tc>
        <w:tc>
          <w:tcPr>
            <w:tcW w:type="dxa" w:w="2268"/>
            <w:shd w:fill="F4F7FA"/>
          </w:tcPr>
          <w:p>
            <w:pPr>
              <w:spacing w:after="40" w:before="40"/>
            </w:pPr>
            <w:r/>
            <w:r>
              <w:rPr>
                <w:rFonts w:ascii="Arial" w:hAnsi="Arial"/>
                <w:i w:val="0"/>
                <w:color w:val="202B38"/>
                <w:sz w:val="17"/>
              </w:rPr>
              <w:t>TrackIT, pour gérer sa relation commerciale et son service</w:t>
            </w:r>
          </w:p>
        </w:tc>
        <w:tc>
          <w:tcPr>
            <w:tcW w:type="dxa" w:w="1701"/>
            <w:shd w:fill="F4F7FA"/>
          </w:tcPr>
          <w:p>
            <w:pPr>
              <w:spacing w:after="40" w:before="40"/>
            </w:pPr>
            <w:r/>
            <w:r>
              <w:rPr>
                <w:rFonts w:ascii="Arial" w:hAnsi="Arial"/>
                <w:b/>
                <w:i w:val="0"/>
                <w:color w:val="202B38"/>
                <w:sz w:val="17"/>
              </w:rPr>
              <w:t>Responsable du traitement</w:t>
            </w:r>
            <w:r>
              <w:rPr>
                <w:rFonts w:ascii="Arial" w:hAnsi="Arial"/>
                <w:i w:val="0"/>
                <w:color w:val="202B38"/>
                <w:sz w:val="17"/>
              </w:rPr>
              <w:t xml:space="preserve"> (art. 4.7 RGPD)</w:t>
            </w:r>
          </w:p>
        </w:tc>
        <w:tc>
          <w:tcPr>
            <w:tcW w:type="dxa" w:w="3402"/>
            <w:shd w:fill="F4F7FA"/>
          </w:tcPr>
          <w:p>
            <w:pPr>
              <w:spacing w:after="40" w:before="40"/>
            </w:pPr>
            <w:r/>
            <w:r>
              <w:rPr>
                <w:rFonts w:ascii="Arial" w:hAnsi="Arial"/>
                <w:i w:val="0"/>
                <w:color w:val="202B38"/>
                <w:sz w:val="17"/>
              </w:rPr>
              <w:t>TrackIT doit informer directement les personnes et répondre lui-même de leurs droits</w:t>
            </w:r>
          </w:p>
        </w:tc>
      </w:tr>
    </w:tbl>
    <w:p>
      <w:pPr>
        <w:spacing w:after="0"/>
      </w:pPr>
    </w:p>
    <w:p>
      <w:pPr>
        <w:spacing w:after="80"/>
        <w:jc w:val="both"/>
      </w:pPr>
      <w:r>
        <w:rPr>
          <w:rFonts w:ascii="Arial" w:hAnsi="Arial"/>
          <w:i w:val="0"/>
          <w:color w:val="202B38"/>
          <w:sz w:val="21"/>
        </w:rPr>
        <w:t xml:space="preserve">La distinction n'est pas théorique. Elle détermine qui informe les personnes concernées, qui répond à une demande d'accès ou d'effacement, qui notifie une violation de données et à qui. En tant que sous-traitant, TrackIT ne répond pas directement aux salariés de ses clients : il </w:t>
      </w:r>
      <w:r>
        <w:rPr>
          <w:rFonts w:ascii="Arial" w:hAnsi="Arial"/>
          <w:b/>
          <w:i w:val="0"/>
          <w:color w:val="202B38"/>
          <w:sz w:val="21"/>
        </w:rPr>
        <w:t>assiste</w:t>
      </w:r>
      <w:r>
        <w:rPr>
          <w:rFonts w:ascii="Arial" w:hAnsi="Arial"/>
          <w:i w:val="0"/>
          <w:color w:val="202B38"/>
          <w:sz w:val="21"/>
        </w:rPr>
        <w:t xml:space="preserve"> son client, qui reste l'interlocuteur des personnes. En tant que responsable, il répond directement.</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constaté</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Aucun document ne formalise aujourd'hui cette répartition. Il n'existe ni contrat de sous-traitance, ni politique de confidentialité, ni mention indiquant aux utilisateurs qui est responsable de quoi. C'est le premier manquement à corriger, car tous les autres documents en découlent.</w:t>
      </w:r>
    </w:p>
    <w:p>
      <w:pPr>
        <w:spacing w:after="0"/>
      </w:pPr>
    </w:p>
    <w:p>
      <w:pPr>
        <w:keepNext/>
        <w:spacing w:before="180" w:after="60"/>
      </w:pPr>
      <w:r>
        <w:rPr>
          <w:rFonts w:ascii="Arial" w:hAnsi="Arial"/>
          <w:b/>
          <w:color w:val="163658"/>
          <w:sz w:val="25"/>
        </w:rPr>
        <w:t>2.3 Acteurs et flux de données</w:t>
      </w:r>
    </w:p>
    <w:tbl>
      <w:tblPr>
        <w:tblStyle w:val="TableGrid"/>
        <w:tblW w:type="auto" w:w="0"/>
        <w:jc w:val="center"/>
        <w:tblLayout w:type="fixed"/>
        <w:tblLook w:firstColumn="1" w:firstRow="1" w:lastColumn="0" w:lastRow="0" w:noHBand="0" w:noVBand="1" w:val="04A0"/>
        <w:tblLayout w:type="fixed"/>
      </w:tblPr>
      <w:tblGrid>
        <w:gridCol w:w="1928"/>
        <w:gridCol w:w="3402"/>
        <w:gridCol w:w="4309"/>
      </w:tblGrid>
      <w:tr>
        <w:trPr>
          <w:tblHeader w:val="true"/>
          <w:cantSplit/>
        </w:trPr>
        <w:tc>
          <w:tcPr>
            <w:tcW w:type="dxa" w:w="1928"/>
            <w:shd w:fill="163658"/>
          </w:tcPr>
          <w:p>
            <w:pPr>
              <w:spacing w:after="40" w:before="40"/>
            </w:pPr>
            <w:r/>
            <w:r>
              <w:rPr>
                <w:rFonts w:ascii="Arial" w:hAnsi="Arial"/>
                <w:b/>
                <w:color w:val="FFFFFF"/>
                <w:sz w:val="17"/>
              </w:rPr>
              <w:t>Acteur</w:t>
            </w:r>
          </w:p>
        </w:tc>
        <w:tc>
          <w:tcPr>
            <w:tcW w:type="dxa" w:w="3402"/>
            <w:shd w:fill="163658"/>
          </w:tcPr>
          <w:p>
            <w:pPr>
              <w:spacing w:after="40" w:before="40"/>
            </w:pPr>
            <w:r/>
            <w:r>
              <w:rPr>
                <w:rFonts w:ascii="Arial" w:hAnsi="Arial"/>
                <w:b/>
                <w:color w:val="FFFFFF"/>
                <w:sz w:val="17"/>
              </w:rPr>
              <w:t>Rôle</w:t>
            </w:r>
          </w:p>
        </w:tc>
        <w:tc>
          <w:tcPr>
            <w:tcW w:type="dxa" w:w="4309"/>
            <w:shd w:fill="163658"/>
          </w:tcPr>
          <w:p>
            <w:pPr>
              <w:spacing w:after="40" w:before="40"/>
            </w:pPr>
            <w:r/>
            <w:r>
              <w:rPr>
                <w:rFonts w:ascii="Arial" w:hAnsi="Arial"/>
                <w:b/>
                <w:color w:val="FFFFFF"/>
                <w:sz w:val="17"/>
              </w:rPr>
              <w:t>Données auxquelles il accède</w:t>
            </w:r>
          </w:p>
        </w:tc>
      </w:tr>
      <w:tr>
        <w:trPr>
          <w:cantSplit/>
        </w:trPr>
        <w:tc>
          <w:tcPr>
            <w:tcW w:type="dxa" w:w="1928"/>
          </w:tcPr>
          <w:p>
            <w:pPr>
              <w:spacing w:after="40" w:before="40"/>
            </w:pPr>
            <w:r/>
            <w:r>
              <w:rPr>
                <w:rFonts w:ascii="Arial" w:hAnsi="Arial"/>
                <w:i w:val="0"/>
                <w:color w:val="202B38"/>
                <w:sz w:val="17"/>
              </w:rPr>
              <w:t>Organisation cliente</w:t>
            </w:r>
          </w:p>
        </w:tc>
        <w:tc>
          <w:tcPr>
            <w:tcW w:type="dxa" w:w="3402"/>
          </w:tcPr>
          <w:p>
            <w:pPr>
              <w:spacing w:after="40" w:before="40"/>
            </w:pPr>
            <w:r/>
            <w:r>
              <w:rPr>
                <w:rFonts w:ascii="Arial" w:hAnsi="Arial"/>
                <w:i w:val="0"/>
                <w:color w:val="202B38"/>
                <w:sz w:val="17"/>
              </w:rPr>
              <w:t>Responsable du traitement</w:t>
            </w:r>
          </w:p>
        </w:tc>
        <w:tc>
          <w:tcPr>
            <w:tcW w:type="dxa" w:w="4309"/>
          </w:tcPr>
          <w:p>
            <w:pPr>
              <w:spacing w:after="40" w:before="40"/>
            </w:pPr>
            <w:r/>
            <w:r>
              <w:rPr>
                <w:rFonts w:ascii="Arial" w:hAnsi="Arial"/>
                <w:i w:val="0"/>
                <w:color w:val="202B38"/>
                <w:sz w:val="17"/>
              </w:rPr>
              <w:t>Toutes les données de son organisation</w:t>
            </w:r>
          </w:p>
        </w:tc>
      </w:tr>
      <w:tr>
        <w:trPr>
          <w:cantSplit/>
        </w:trPr>
        <w:tc>
          <w:tcPr>
            <w:tcW w:type="dxa" w:w="1928"/>
            <w:shd w:fill="F4F7FA"/>
          </w:tcPr>
          <w:p>
            <w:pPr>
              <w:spacing w:after="40" w:before="40"/>
            </w:pPr>
            <w:r/>
            <w:r>
              <w:rPr>
                <w:rFonts w:ascii="Arial" w:hAnsi="Arial"/>
                <w:i w:val="0"/>
                <w:color w:val="202B38"/>
                <w:sz w:val="17"/>
              </w:rPr>
              <w:t>TrackIT (éditeur)</w:t>
            </w:r>
          </w:p>
        </w:tc>
        <w:tc>
          <w:tcPr>
            <w:tcW w:type="dxa" w:w="3402"/>
            <w:shd w:fill="F4F7FA"/>
          </w:tcPr>
          <w:p>
            <w:pPr>
              <w:spacing w:after="40" w:before="40"/>
            </w:pPr>
            <w:r/>
            <w:r>
              <w:rPr>
                <w:rFonts w:ascii="Arial" w:hAnsi="Arial"/>
                <w:i w:val="0"/>
                <w:color w:val="202B38"/>
                <w:sz w:val="17"/>
              </w:rPr>
              <w:t>Sous-traitant, et responsable pour ses propres traitements</w:t>
            </w:r>
          </w:p>
        </w:tc>
        <w:tc>
          <w:tcPr>
            <w:tcW w:type="dxa" w:w="4309"/>
            <w:shd w:fill="F4F7FA"/>
          </w:tcPr>
          <w:p>
            <w:pPr>
              <w:spacing w:after="40" w:before="40"/>
            </w:pPr>
            <w:r/>
            <w:r>
              <w:rPr>
                <w:rFonts w:ascii="Arial" w:hAnsi="Arial"/>
                <w:i w:val="0"/>
                <w:color w:val="202B38"/>
                <w:sz w:val="17"/>
              </w:rPr>
              <w:t>Techniquement l'ensemble des données hébergées</w:t>
            </w:r>
          </w:p>
        </w:tc>
      </w:tr>
      <w:tr>
        <w:trPr>
          <w:cantSplit/>
        </w:trPr>
        <w:tc>
          <w:tcPr>
            <w:tcW w:type="dxa" w:w="1928"/>
          </w:tcPr>
          <w:p>
            <w:pPr>
              <w:spacing w:after="40" w:before="40"/>
            </w:pPr>
            <w:r/>
            <w:r>
              <w:rPr>
                <w:rFonts w:ascii="Arial" w:hAnsi="Arial"/>
                <w:i w:val="0"/>
                <w:color w:val="202B38"/>
                <w:sz w:val="17"/>
              </w:rPr>
              <w:t>Hébergeur</w:t>
            </w:r>
          </w:p>
        </w:tc>
        <w:tc>
          <w:tcPr>
            <w:tcW w:type="dxa" w:w="3402"/>
          </w:tcPr>
          <w:p>
            <w:pPr>
              <w:spacing w:after="40" w:before="40"/>
            </w:pPr>
            <w:r/>
            <w:r>
              <w:rPr>
                <w:rFonts w:ascii="Arial" w:hAnsi="Arial"/>
                <w:i w:val="0"/>
                <w:color w:val="202B38"/>
                <w:sz w:val="17"/>
              </w:rPr>
              <w:t>Sous-traitant ultérieur de TrackIT</w:t>
            </w:r>
          </w:p>
        </w:tc>
        <w:tc>
          <w:tcPr>
            <w:tcW w:type="dxa" w:w="4309"/>
          </w:tcPr>
          <w:p>
            <w:pPr>
              <w:spacing w:after="40" w:before="40"/>
            </w:pPr>
            <w:r/>
            <w:r>
              <w:rPr>
                <w:rFonts w:ascii="Arial" w:hAnsi="Arial"/>
                <w:i w:val="0"/>
                <w:color w:val="202B38"/>
                <w:sz w:val="17"/>
              </w:rPr>
              <w:t>Données hébergées, sans accès fonctionnel</w:t>
            </w:r>
          </w:p>
        </w:tc>
      </w:tr>
      <w:tr>
        <w:trPr>
          <w:cantSplit/>
        </w:trPr>
        <w:tc>
          <w:tcPr>
            <w:tcW w:type="dxa" w:w="1928"/>
            <w:shd w:fill="F4F7FA"/>
          </w:tcPr>
          <w:p>
            <w:pPr>
              <w:spacing w:after="40" w:before="40"/>
            </w:pPr>
            <w:r/>
            <w:r>
              <w:rPr>
                <w:rFonts w:ascii="Arial" w:hAnsi="Arial"/>
                <w:i w:val="0"/>
                <w:color w:val="202B38"/>
                <w:sz w:val="17"/>
              </w:rPr>
              <w:t>Stripe</w:t>
            </w:r>
          </w:p>
        </w:tc>
        <w:tc>
          <w:tcPr>
            <w:tcW w:type="dxa" w:w="3402"/>
            <w:shd w:fill="F4F7FA"/>
          </w:tcPr>
          <w:p>
            <w:pPr>
              <w:spacing w:after="40" w:before="40"/>
            </w:pPr>
            <w:r/>
            <w:r>
              <w:rPr>
                <w:rFonts w:ascii="Arial" w:hAnsi="Arial"/>
                <w:i w:val="0"/>
                <w:color w:val="202B38"/>
                <w:sz w:val="17"/>
              </w:rPr>
              <w:t>Responsable du traitement pour les données de paiement</w:t>
            </w:r>
          </w:p>
        </w:tc>
        <w:tc>
          <w:tcPr>
            <w:tcW w:type="dxa" w:w="4309"/>
            <w:shd w:fill="F4F7FA"/>
          </w:tcPr>
          <w:p>
            <w:pPr>
              <w:spacing w:after="40" w:before="40"/>
            </w:pPr>
            <w:r/>
            <w:r>
              <w:rPr>
                <w:rFonts w:ascii="Arial" w:hAnsi="Arial"/>
                <w:i w:val="0"/>
                <w:color w:val="202B38"/>
                <w:sz w:val="17"/>
              </w:rPr>
              <w:t>Données de paiement ; TrackIT n'en conserve aucune</w:t>
            </w:r>
          </w:p>
        </w:tc>
      </w:tr>
      <w:tr>
        <w:trPr>
          <w:cantSplit/>
        </w:trPr>
        <w:tc>
          <w:tcPr>
            <w:tcW w:type="dxa" w:w="1928"/>
          </w:tcPr>
          <w:p>
            <w:pPr>
              <w:spacing w:after="40" w:before="40"/>
            </w:pPr>
            <w:r/>
            <w:r>
              <w:rPr>
                <w:rFonts w:ascii="Arial" w:hAnsi="Arial"/>
                <w:i w:val="0"/>
                <w:color w:val="202B38"/>
                <w:sz w:val="17"/>
              </w:rPr>
              <w:t>Utilisateur final</w:t>
            </w:r>
          </w:p>
        </w:tc>
        <w:tc>
          <w:tcPr>
            <w:tcW w:type="dxa" w:w="3402"/>
          </w:tcPr>
          <w:p>
            <w:pPr>
              <w:spacing w:after="40" w:before="40"/>
            </w:pPr>
            <w:r/>
            <w:r>
              <w:rPr>
                <w:rFonts w:ascii="Arial" w:hAnsi="Arial"/>
                <w:i w:val="0"/>
                <w:color w:val="202B38"/>
                <w:sz w:val="17"/>
              </w:rPr>
              <w:t>Personne concernée</w:t>
            </w:r>
          </w:p>
        </w:tc>
        <w:tc>
          <w:tcPr>
            <w:tcW w:type="dxa" w:w="4309"/>
          </w:tcPr>
          <w:p>
            <w:pPr>
              <w:spacing w:after="40" w:before="40"/>
            </w:pPr>
            <w:r/>
            <w:r>
              <w:rPr>
                <w:rFonts w:ascii="Arial" w:hAnsi="Arial"/>
                <w:i w:val="0"/>
                <w:color w:val="202B38"/>
                <w:sz w:val="17"/>
              </w:rPr>
              <w:t>Les données que ses droits lui permettent de consulter</w:t>
            </w:r>
          </w:p>
        </w:tc>
      </w:tr>
    </w:tbl>
    <w:p>
      <w:pPr>
        <w:spacing w:after="0"/>
      </w:pPr>
    </w:p>
    <w:p>
      <w:pPr>
        <w:spacing w:after="80"/>
        <w:jc w:val="both"/>
      </w:pPr>
      <w:r>
        <w:rPr>
          <w:rFonts w:ascii="Arial" w:hAnsi="Arial"/>
          <w:i w:val="0"/>
          <w:color w:val="202B38"/>
          <w:sz w:val="21"/>
        </w:rPr>
        <w:t xml:space="preserve">Le recours à un hébergeur et à Stripe constitue une </w:t>
      </w:r>
      <w:r>
        <w:rPr>
          <w:rFonts w:ascii="Arial" w:hAnsi="Arial"/>
          <w:b/>
          <w:i w:val="0"/>
          <w:color w:val="202B38"/>
          <w:sz w:val="21"/>
        </w:rPr>
        <w:t>sous-traitance ultérieure</w:t>
      </w:r>
      <w:r>
        <w:rPr>
          <w:rFonts w:ascii="Arial" w:hAnsi="Arial"/>
          <w:i w:val="0"/>
          <w:color w:val="202B38"/>
          <w:sz w:val="21"/>
        </w:rPr>
        <w:t xml:space="preserve"> au sens de l'article 28.2 du RGPD : elle suppose l'autorisation de l'organisation cliente, généralement donnée de façon générale dans le contrat, assortie d'une information préalable en cas de changement de prestataire.</w:t>
      </w:r>
    </w:p>
    <w:p>
      <w:pPr>
        <w:keepNext/>
        <w:spacing w:before="300" w:after="100"/>
        <w:pBdr>
          <w:bottom w:val="single" w:sz="4" w:space="3" w:color="C8D4E2"/>
        </w:pBdr>
      </w:pPr>
      <w:r>
        <w:rPr>
          <w:rFonts w:ascii="Arial" w:hAnsi="Arial"/>
          <w:b/>
          <w:color w:val="163658"/>
          <w:sz w:val="32"/>
        </w:rPr>
        <w:t>3. Protection des données à caractère personnel</w:t>
      </w:r>
    </w:p>
    <w:p>
      <w:pPr>
        <w:keepNext/>
        <w:spacing w:before="180" w:after="60"/>
      </w:pPr>
      <w:r>
        <w:rPr>
          <w:rFonts w:ascii="Arial" w:hAnsi="Arial"/>
          <w:b/>
          <w:color w:val="163658"/>
          <w:sz w:val="25"/>
        </w:rPr>
        <w:t>3.1 Données traitées et base de licéité</w:t>
      </w:r>
    </w:p>
    <w:p>
      <w:pPr>
        <w:spacing w:after="80"/>
        <w:jc w:val="both"/>
      </w:pPr>
      <w:r>
        <w:rPr>
          <w:rFonts w:ascii="Arial" w:hAnsi="Arial"/>
          <w:i w:val="0"/>
          <w:color w:val="202B38"/>
          <w:sz w:val="21"/>
        </w:rPr>
        <w:t>Tout traitement doit reposer sur l'une des bases de l'article 6 du RGPD. Le tableau ci-dessous recense les données effectivement présentes dans la base de TrackIT et la base qui les justifie.</w:t>
      </w:r>
    </w:p>
    <w:tbl>
      <w:tblPr>
        <w:tblStyle w:val="TableGrid"/>
        <w:tblW w:type="auto" w:w="0"/>
        <w:jc w:val="center"/>
        <w:tblLayout w:type="fixed"/>
        <w:tblLook w:firstColumn="1" w:firstRow="1" w:lastColumn="0" w:lastRow="0" w:noHBand="0" w:noVBand="1" w:val="04A0"/>
        <w:tblLayout w:type="fixed"/>
      </w:tblPr>
      <w:tblGrid>
        <w:gridCol w:w="1928"/>
        <w:gridCol w:w="2268"/>
        <w:gridCol w:w="3742"/>
        <w:gridCol w:w="1701"/>
      </w:tblGrid>
      <w:tr>
        <w:trPr>
          <w:tblHeader w:val="true"/>
          <w:cantSplit/>
        </w:trPr>
        <w:tc>
          <w:tcPr>
            <w:tcW w:type="dxa" w:w="1928"/>
            <w:shd w:fill="163658"/>
          </w:tcPr>
          <w:p>
            <w:pPr>
              <w:spacing w:after="40" w:before="40"/>
            </w:pPr>
            <w:r/>
            <w:r>
              <w:rPr>
                <w:rFonts w:ascii="Arial" w:hAnsi="Arial"/>
                <w:b/>
                <w:color w:val="FFFFFF"/>
                <w:sz w:val="17"/>
              </w:rPr>
              <w:t>Donnée</w:t>
            </w:r>
          </w:p>
        </w:tc>
        <w:tc>
          <w:tcPr>
            <w:tcW w:type="dxa" w:w="2268"/>
            <w:shd w:fill="163658"/>
          </w:tcPr>
          <w:p>
            <w:pPr>
              <w:spacing w:after="40" w:before="40"/>
            </w:pPr>
            <w:r/>
            <w:r>
              <w:rPr>
                <w:rFonts w:ascii="Arial" w:hAnsi="Arial"/>
                <w:b/>
                <w:color w:val="FFFFFF"/>
                <w:sz w:val="17"/>
              </w:rPr>
              <w:t>Finalité</w:t>
            </w:r>
          </w:p>
        </w:tc>
        <w:tc>
          <w:tcPr>
            <w:tcW w:type="dxa" w:w="3742"/>
            <w:shd w:fill="163658"/>
          </w:tcPr>
          <w:p>
            <w:pPr>
              <w:spacing w:after="40" w:before="40"/>
            </w:pPr>
            <w:r/>
            <w:r>
              <w:rPr>
                <w:rFonts w:ascii="Arial" w:hAnsi="Arial"/>
                <w:b/>
                <w:color w:val="FFFFFF"/>
                <w:sz w:val="17"/>
              </w:rPr>
              <w:t>Base de licéité</w:t>
            </w:r>
          </w:p>
        </w:tc>
        <w:tc>
          <w:tcPr>
            <w:tcW w:type="dxa" w:w="1701"/>
            <w:shd w:fill="163658"/>
          </w:tcPr>
          <w:p>
            <w:pPr>
              <w:spacing w:after="40" w:before="40"/>
            </w:pPr>
            <w:r/>
            <w:r>
              <w:rPr>
                <w:rFonts w:ascii="Arial" w:hAnsi="Arial"/>
                <w:b/>
                <w:color w:val="FFFFFF"/>
                <w:sz w:val="17"/>
              </w:rPr>
              <w:t>Rôle de TrackIT</w:t>
            </w:r>
          </w:p>
        </w:tc>
      </w:tr>
      <w:tr>
        <w:trPr>
          <w:cantSplit/>
        </w:trPr>
        <w:tc>
          <w:tcPr>
            <w:tcW w:type="dxa" w:w="1928"/>
          </w:tcPr>
          <w:p>
            <w:pPr>
              <w:spacing w:after="40" w:before="40"/>
            </w:pPr>
            <w:r/>
            <w:r>
              <w:rPr>
                <w:rFonts w:ascii="Arial" w:hAnsi="Arial"/>
                <w:i w:val="0"/>
                <w:color w:val="202B38"/>
                <w:sz w:val="17"/>
              </w:rPr>
              <w:t>Nom, prénom</w:t>
            </w:r>
          </w:p>
        </w:tc>
        <w:tc>
          <w:tcPr>
            <w:tcW w:type="dxa" w:w="2268"/>
          </w:tcPr>
          <w:p>
            <w:pPr>
              <w:spacing w:after="40" w:before="40"/>
            </w:pPr>
            <w:r/>
            <w:r>
              <w:rPr>
                <w:rFonts w:ascii="Arial" w:hAnsi="Arial"/>
                <w:i w:val="0"/>
                <w:color w:val="202B38"/>
                <w:sz w:val="17"/>
              </w:rPr>
              <w:t>Identifier l'auteur d'une déclaration ou d'une action</w:t>
            </w:r>
          </w:p>
        </w:tc>
        <w:tc>
          <w:tcPr>
            <w:tcW w:type="dxa" w:w="3742"/>
          </w:tcPr>
          <w:p>
            <w:pPr>
              <w:spacing w:after="40" w:before="40"/>
            </w:pPr>
            <w:r/>
            <w:r>
              <w:rPr>
                <w:rFonts w:ascii="Arial" w:hAnsi="Arial"/>
                <w:i w:val="0"/>
                <w:color w:val="202B38"/>
                <w:sz w:val="17"/>
              </w:rPr>
              <w:t>Exécution du contrat (art. 6.1.b) entre le client et son salarié, ou intérêt légitime (art. 6.1.f)</w:t>
            </w:r>
          </w:p>
        </w:tc>
        <w:tc>
          <w:tcPr>
            <w:tcW w:type="dxa" w:w="1701"/>
          </w:tcPr>
          <w:p>
            <w:pPr>
              <w:spacing w:after="40" w:before="40"/>
            </w:pPr>
            <w:r/>
            <w:r>
              <w:rPr>
                <w:rFonts w:ascii="Arial" w:hAnsi="Arial"/>
                <w:i w:val="0"/>
                <w:color w:val="202B38"/>
                <w:sz w:val="17"/>
              </w:rPr>
              <w:t>Sous-traitant</w:t>
            </w:r>
          </w:p>
        </w:tc>
      </w:tr>
      <w:tr>
        <w:trPr>
          <w:cantSplit/>
        </w:trPr>
        <w:tc>
          <w:tcPr>
            <w:tcW w:type="dxa" w:w="1928"/>
            <w:shd w:fill="F4F7FA"/>
          </w:tcPr>
          <w:p>
            <w:pPr>
              <w:spacing w:after="40" w:before="40"/>
            </w:pPr>
            <w:r/>
            <w:r>
              <w:rPr>
                <w:rFonts w:ascii="Arial" w:hAnsi="Arial"/>
                <w:i w:val="0"/>
                <w:color w:val="202B38"/>
                <w:sz w:val="17"/>
              </w:rPr>
              <w:t>Adresse e-mail professionnelle</w:t>
            </w:r>
          </w:p>
        </w:tc>
        <w:tc>
          <w:tcPr>
            <w:tcW w:type="dxa" w:w="2268"/>
            <w:shd w:fill="F4F7FA"/>
          </w:tcPr>
          <w:p>
            <w:pPr>
              <w:spacing w:after="40" w:before="40"/>
            </w:pPr>
            <w:r/>
            <w:r>
              <w:rPr>
                <w:rFonts w:ascii="Arial" w:hAnsi="Arial"/>
                <w:i w:val="0"/>
                <w:color w:val="202B38"/>
                <w:sz w:val="17"/>
              </w:rPr>
              <w:t>Authentifier, notifier</w:t>
            </w:r>
          </w:p>
        </w:tc>
        <w:tc>
          <w:tcPr>
            <w:tcW w:type="dxa" w:w="3742"/>
            <w:shd w:fill="F4F7FA"/>
          </w:tcPr>
          <w:p>
            <w:pPr>
              <w:spacing w:after="40" w:before="40"/>
            </w:pPr>
            <w:r/>
            <w:r>
              <w:rPr>
                <w:rFonts w:ascii="Arial" w:hAnsi="Arial"/>
                <w:i w:val="0"/>
                <w:color w:val="202B38"/>
                <w:sz w:val="17"/>
              </w:rPr>
              <w:t>Exécution du contrat (art. 6.1.b)</w:t>
            </w:r>
          </w:p>
        </w:tc>
        <w:tc>
          <w:tcPr>
            <w:tcW w:type="dxa" w:w="1701"/>
            <w:shd w:fill="F4F7FA"/>
          </w:tcPr>
          <w:p>
            <w:pPr>
              <w:spacing w:after="40" w:before="40"/>
            </w:pPr>
            <w:r/>
            <w:r>
              <w:rPr>
                <w:rFonts w:ascii="Arial" w:hAnsi="Arial"/>
                <w:i w:val="0"/>
                <w:color w:val="202B38"/>
                <w:sz w:val="17"/>
              </w:rPr>
              <w:t>Sous-traitant</w:t>
            </w:r>
          </w:p>
        </w:tc>
      </w:tr>
      <w:tr>
        <w:trPr>
          <w:cantSplit/>
        </w:trPr>
        <w:tc>
          <w:tcPr>
            <w:tcW w:type="dxa" w:w="1928"/>
          </w:tcPr>
          <w:p>
            <w:pPr>
              <w:spacing w:after="40" w:before="40"/>
            </w:pPr>
            <w:r/>
            <w:r>
              <w:rPr>
                <w:rFonts w:ascii="Arial" w:hAnsi="Arial"/>
                <w:i w:val="0"/>
                <w:color w:val="202B38"/>
                <w:sz w:val="17"/>
              </w:rPr>
              <w:t>Empreinte du mot de passe</w:t>
            </w:r>
          </w:p>
        </w:tc>
        <w:tc>
          <w:tcPr>
            <w:tcW w:type="dxa" w:w="2268"/>
          </w:tcPr>
          <w:p>
            <w:pPr>
              <w:spacing w:after="40" w:before="40"/>
            </w:pPr>
            <w:r/>
            <w:r>
              <w:rPr>
                <w:rFonts w:ascii="Arial" w:hAnsi="Arial"/>
                <w:i w:val="0"/>
                <w:color w:val="202B38"/>
                <w:sz w:val="17"/>
              </w:rPr>
              <w:t>Authentifier</w:t>
            </w:r>
          </w:p>
        </w:tc>
        <w:tc>
          <w:tcPr>
            <w:tcW w:type="dxa" w:w="3742"/>
          </w:tcPr>
          <w:p>
            <w:pPr>
              <w:spacing w:after="40" w:before="40"/>
            </w:pPr>
            <w:r/>
            <w:r>
              <w:rPr>
                <w:rFonts w:ascii="Arial" w:hAnsi="Arial"/>
                <w:i w:val="0"/>
                <w:color w:val="202B38"/>
                <w:sz w:val="17"/>
              </w:rPr>
              <w:t>Exécution du contrat (art. 6.1.b)</w:t>
            </w:r>
          </w:p>
        </w:tc>
        <w:tc>
          <w:tcPr>
            <w:tcW w:type="dxa" w:w="1701"/>
          </w:tcPr>
          <w:p>
            <w:pPr>
              <w:spacing w:after="40" w:before="40"/>
            </w:pPr>
            <w:r/>
            <w:r>
              <w:rPr>
                <w:rFonts w:ascii="Arial" w:hAnsi="Arial"/>
                <w:i w:val="0"/>
                <w:color w:val="202B38"/>
                <w:sz w:val="17"/>
              </w:rPr>
              <w:t>Sous-traitant</w:t>
            </w:r>
          </w:p>
        </w:tc>
      </w:tr>
      <w:tr>
        <w:trPr>
          <w:cantSplit/>
        </w:trPr>
        <w:tc>
          <w:tcPr>
            <w:tcW w:type="dxa" w:w="1928"/>
            <w:shd w:fill="F4F7FA"/>
          </w:tcPr>
          <w:p>
            <w:pPr>
              <w:spacing w:after="40" w:before="40"/>
            </w:pPr>
            <w:r/>
            <w:r>
              <w:rPr>
                <w:rFonts w:ascii="Arial" w:hAnsi="Arial"/>
                <w:i w:val="0"/>
                <w:color w:val="202B38"/>
                <w:sz w:val="17"/>
              </w:rPr>
              <w:t>Rôle et organisation</w:t>
            </w:r>
          </w:p>
        </w:tc>
        <w:tc>
          <w:tcPr>
            <w:tcW w:type="dxa" w:w="2268"/>
            <w:shd w:fill="F4F7FA"/>
          </w:tcPr>
          <w:p>
            <w:pPr>
              <w:spacing w:after="40" w:before="40"/>
            </w:pPr>
            <w:r/>
            <w:r>
              <w:rPr>
                <w:rFonts w:ascii="Arial" w:hAnsi="Arial"/>
                <w:i w:val="0"/>
                <w:color w:val="202B38"/>
                <w:sz w:val="17"/>
              </w:rPr>
              <w:t>Déterminer les droits d'accès</w:t>
            </w:r>
          </w:p>
        </w:tc>
        <w:tc>
          <w:tcPr>
            <w:tcW w:type="dxa" w:w="3742"/>
            <w:shd w:fill="F4F7FA"/>
          </w:tcPr>
          <w:p>
            <w:pPr>
              <w:spacing w:after="40" w:before="40"/>
            </w:pPr>
            <w:r/>
            <w:r>
              <w:rPr>
                <w:rFonts w:ascii="Arial" w:hAnsi="Arial"/>
                <w:i w:val="0"/>
                <w:color w:val="202B38"/>
                <w:sz w:val="17"/>
              </w:rPr>
              <w:t>Intérêt légitime (art. 6.1.f)</w:t>
            </w:r>
          </w:p>
        </w:tc>
        <w:tc>
          <w:tcPr>
            <w:tcW w:type="dxa" w:w="1701"/>
            <w:shd w:fill="F4F7FA"/>
          </w:tcPr>
          <w:p>
            <w:pPr>
              <w:spacing w:after="40" w:before="40"/>
            </w:pPr>
            <w:r/>
            <w:r>
              <w:rPr>
                <w:rFonts w:ascii="Arial" w:hAnsi="Arial"/>
                <w:i w:val="0"/>
                <w:color w:val="202B38"/>
                <w:sz w:val="17"/>
              </w:rPr>
              <w:t>Sous-traitant</w:t>
            </w:r>
          </w:p>
        </w:tc>
      </w:tr>
      <w:tr>
        <w:trPr>
          <w:cantSplit/>
        </w:trPr>
        <w:tc>
          <w:tcPr>
            <w:tcW w:type="dxa" w:w="1928"/>
          </w:tcPr>
          <w:p>
            <w:pPr>
              <w:spacing w:after="40" w:before="40"/>
            </w:pPr>
            <w:r/>
            <w:r>
              <w:rPr>
                <w:rFonts w:ascii="Arial" w:hAnsi="Arial"/>
                <w:i w:val="0"/>
                <w:color w:val="202B38"/>
                <w:sz w:val="17"/>
              </w:rPr>
              <w:t>Contenu des anomalies et commentaires</w:t>
            </w:r>
          </w:p>
        </w:tc>
        <w:tc>
          <w:tcPr>
            <w:tcW w:type="dxa" w:w="2268"/>
          </w:tcPr>
          <w:p>
            <w:pPr>
              <w:spacing w:after="40" w:before="40"/>
            </w:pPr>
            <w:r/>
            <w:r>
              <w:rPr>
                <w:rFonts w:ascii="Arial" w:hAnsi="Arial"/>
                <w:i w:val="0"/>
                <w:color w:val="202B38"/>
                <w:sz w:val="17"/>
              </w:rPr>
              <w:t>Traiter l'incident</w:t>
            </w:r>
          </w:p>
        </w:tc>
        <w:tc>
          <w:tcPr>
            <w:tcW w:type="dxa" w:w="3742"/>
          </w:tcPr>
          <w:p>
            <w:pPr>
              <w:spacing w:after="40" w:before="40"/>
            </w:pPr>
            <w:r/>
            <w:r>
              <w:rPr>
                <w:rFonts w:ascii="Arial" w:hAnsi="Arial"/>
                <w:i w:val="0"/>
                <w:color w:val="202B38"/>
                <w:sz w:val="17"/>
              </w:rPr>
              <w:t>Intérêt légitime de l'organisation (art. 6.1.f)</w:t>
            </w:r>
          </w:p>
        </w:tc>
        <w:tc>
          <w:tcPr>
            <w:tcW w:type="dxa" w:w="1701"/>
          </w:tcPr>
          <w:p>
            <w:pPr>
              <w:spacing w:after="40" w:before="40"/>
            </w:pPr>
            <w:r/>
            <w:r>
              <w:rPr>
                <w:rFonts w:ascii="Arial" w:hAnsi="Arial"/>
                <w:i w:val="0"/>
                <w:color w:val="202B38"/>
                <w:sz w:val="17"/>
              </w:rPr>
              <w:t>Sous-traitant</w:t>
            </w:r>
          </w:p>
        </w:tc>
      </w:tr>
      <w:tr>
        <w:trPr>
          <w:cantSplit/>
        </w:trPr>
        <w:tc>
          <w:tcPr>
            <w:tcW w:type="dxa" w:w="1928"/>
            <w:shd w:fill="F4F7FA"/>
          </w:tcPr>
          <w:p>
            <w:pPr>
              <w:spacing w:after="40" w:before="40"/>
            </w:pPr>
            <w:r/>
            <w:r>
              <w:rPr>
                <w:rFonts w:ascii="Arial" w:hAnsi="Arial"/>
                <w:i w:val="0"/>
                <w:color w:val="202B38"/>
                <w:sz w:val="17"/>
              </w:rPr>
              <w:t>Historique horodaté des actions</w:t>
            </w:r>
          </w:p>
        </w:tc>
        <w:tc>
          <w:tcPr>
            <w:tcW w:type="dxa" w:w="2268"/>
            <w:shd w:fill="F4F7FA"/>
          </w:tcPr>
          <w:p>
            <w:pPr>
              <w:spacing w:after="40" w:before="40"/>
            </w:pPr>
            <w:r/>
            <w:r>
              <w:rPr>
                <w:rFonts w:ascii="Arial" w:hAnsi="Arial"/>
                <w:i w:val="0"/>
                <w:color w:val="202B38"/>
                <w:sz w:val="17"/>
              </w:rPr>
              <w:t>Tracer, prouver, sécuriser</w:t>
            </w:r>
          </w:p>
        </w:tc>
        <w:tc>
          <w:tcPr>
            <w:tcW w:type="dxa" w:w="3742"/>
            <w:shd w:fill="F4F7FA"/>
          </w:tcPr>
          <w:p>
            <w:pPr>
              <w:spacing w:after="40" w:before="40"/>
            </w:pPr>
            <w:r/>
            <w:r>
              <w:rPr>
                <w:rFonts w:ascii="Arial" w:hAnsi="Arial"/>
                <w:i w:val="0"/>
                <w:color w:val="202B38"/>
                <w:sz w:val="17"/>
              </w:rPr>
              <w:t>Intérêt légitime (art. 6.1.f) ; obligation de sécurité (art. 32)</w:t>
            </w:r>
          </w:p>
        </w:tc>
        <w:tc>
          <w:tcPr>
            <w:tcW w:type="dxa" w:w="1701"/>
            <w:shd w:fill="F4F7FA"/>
          </w:tcPr>
          <w:p>
            <w:pPr>
              <w:spacing w:after="40" w:before="40"/>
            </w:pPr>
            <w:r/>
            <w:r>
              <w:rPr>
                <w:rFonts w:ascii="Arial" w:hAnsi="Arial"/>
                <w:i w:val="0"/>
                <w:color w:val="202B38"/>
                <w:sz w:val="17"/>
              </w:rPr>
              <w:t>Sous-traitant</w:t>
            </w:r>
          </w:p>
        </w:tc>
      </w:tr>
      <w:tr>
        <w:trPr>
          <w:cantSplit/>
        </w:trPr>
        <w:tc>
          <w:tcPr>
            <w:tcW w:type="dxa" w:w="1928"/>
          </w:tcPr>
          <w:p>
            <w:pPr>
              <w:spacing w:after="40" w:before="40"/>
            </w:pPr>
            <w:r/>
            <w:r>
              <w:rPr>
                <w:rFonts w:ascii="Arial" w:hAnsi="Arial"/>
                <w:i w:val="0"/>
                <w:color w:val="202B38"/>
                <w:sz w:val="17"/>
              </w:rPr>
              <w:t>Données d'abonnement et de facturation</w:t>
            </w:r>
          </w:p>
        </w:tc>
        <w:tc>
          <w:tcPr>
            <w:tcW w:type="dxa" w:w="2268"/>
          </w:tcPr>
          <w:p>
            <w:pPr>
              <w:spacing w:after="40" w:before="40"/>
            </w:pPr>
            <w:r/>
            <w:r>
              <w:rPr>
                <w:rFonts w:ascii="Arial" w:hAnsi="Arial"/>
                <w:i w:val="0"/>
                <w:color w:val="202B38"/>
                <w:sz w:val="17"/>
              </w:rPr>
              <w:t>Gérer la relation commerciale</w:t>
            </w:r>
          </w:p>
        </w:tc>
        <w:tc>
          <w:tcPr>
            <w:tcW w:type="dxa" w:w="3742"/>
          </w:tcPr>
          <w:p>
            <w:pPr>
              <w:spacing w:after="40" w:before="40"/>
            </w:pPr>
            <w:r/>
            <w:r>
              <w:rPr>
                <w:rFonts w:ascii="Arial" w:hAnsi="Arial"/>
                <w:i w:val="0"/>
                <w:color w:val="202B38"/>
                <w:sz w:val="17"/>
              </w:rPr>
              <w:t>Exécution du contrat (art. 6.1.b) ; obligation légale comptable (art. 6.1.c)</w:t>
            </w:r>
          </w:p>
        </w:tc>
        <w:tc>
          <w:tcPr>
            <w:tcW w:type="dxa" w:w="1701"/>
          </w:tcPr>
          <w:p>
            <w:pPr>
              <w:spacing w:after="40" w:before="40"/>
            </w:pPr>
            <w:r/>
            <w:r>
              <w:rPr>
                <w:rFonts w:ascii="Arial" w:hAnsi="Arial"/>
                <w:i w:val="0"/>
                <w:color w:val="202B38"/>
                <w:sz w:val="17"/>
              </w:rPr>
              <w:t>Responsable</w:t>
            </w:r>
          </w:p>
        </w:tc>
      </w:tr>
    </w:tbl>
    <w:p>
      <w:pPr>
        <w:spacing w:after="0"/>
      </w:pPr>
    </w:p>
    <w:p>
      <w:pPr>
        <w:spacing w:after="80"/>
        <w:jc w:val="both"/>
      </w:pPr>
      <w:r>
        <w:rPr>
          <w:rFonts w:ascii="Arial" w:hAnsi="Arial"/>
          <w:i w:val="0"/>
          <w:color w:val="202B38"/>
          <w:sz w:val="21"/>
        </w:rPr>
        <w:t xml:space="preserve">Aucune </w:t>
      </w:r>
      <w:r>
        <w:rPr>
          <w:rFonts w:ascii="Arial" w:hAnsi="Arial"/>
          <w:b/>
          <w:i w:val="0"/>
          <w:color w:val="202B38"/>
          <w:sz w:val="21"/>
        </w:rPr>
        <w:t>catégorie particulière</w:t>
      </w:r>
      <w:r>
        <w:rPr>
          <w:rFonts w:ascii="Arial" w:hAnsi="Arial"/>
          <w:i w:val="0"/>
          <w:color w:val="202B38"/>
          <w:sz w:val="21"/>
        </w:rPr>
        <w:t xml:space="preserve"> de données au sens de l'article 9 — santé, opinions, données biométriques — n'est traitée. C'est un point favorable : il écarte le régime renforcé de l'article 9 et allège l'appréciation du risque. Une vigilance subsiste toutefois sur les </w:t>
      </w:r>
      <w:r>
        <w:rPr>
          <w:rFonts w:ascii="Arial" w:hAnsi="Arial"/>
          <w:b/>
          <w:i w:val="0"/>
          <w:color w:val="202B38"/>
          <w:sz w:val="21"/>
        </w:rPr>
        <w:t>pièces jointes</w:t>
      </w:r>
      <w:r>
        <w:rPr>
          <w:rFonts w:ascii="Arial" w:hAnsi="Arial"/>
          <w:i w:val="0"/>
          <w:color w:val="202B38"/>
          <w:sz w:val="21"/>
        </w:rPr>
        <w:t xml:space="preserve"> : rien n'empêche techniquement un utilisateur d'y déposer une capture d'écran contenant des données sensibles. Les conditions générales devront l'interdire expressément.</w:t>
      </w:r>
    </w:p>
    <w:p>
      <w:pPr>
        <w:keepNext/>
        <w:spacing w:before="180" w:after="60"/>
      </w:pPr>
      <w:r>
        <w:rPr>
          <w:rFonts w:ascii="Arial" w:hAnsi="Arial"/>
          <w:b/>
          <w:color w:val="163658"/>
          <w:sz w:val="25"/>
        </w:rPr>
        <w:t>3.2 Principes de l'article 5 confrontés à l'application</w:t>
      </w:r>
    </w:p>
    <w:tbl>
      <w:tblPr>
        <w:tblStyle w:val="TableGrid"/>
        <w:tblW w:type="auto" w:w="0"/>
        <w:jc w:val="center"/>
        <w:tblLayout w:type="fixed"/>
        <w:tblLook w:firstColumn="1" w:firstRow="1" w:lastColumn="0" w:lastRow="0" w:noHBand="0" w:noVBand="1" w:val="04A0"/>
        <w:tblLayout w:type="fixed"/>
      </w:tblPr>
      <w:tblGrid>
        <w:gridCol w:w="2154"/>
        <w:gridCol w:w="4762"/>
        <w:gridCol w:w="2721"/>
      </w:tblGrid>
      <w:tr>
        <w:trPr>
          <w:tblHeader w:val="true"/>
          <w:cantSplit/>
        </w:trPr>
        <w:tc>
          <w:tcPr>
            <w:tcW w:type="dxa" w:w="2154"/>
            <w:shd w:fill="163658"/>
          </w:tcPr>
          <w:p>
            <w:pPr>
              <w:spacing w:after="40" w:before="40"/>
            </w:pPr>
            <w:r/>
            <w:r>
              <w:rPr>
                <w:rFonts w:ascii="Arial" w:hAnsi="Arial"/>
                <w:b/>
                <w:color w:val="FFFFFF"/>
                <w:sz w:val="17"/>
              </w:rPr>
              <w:t>Principe</w:t>
            </w:r>
          </w:p>
        </w:tc>
        <w:tc>
          <w:tcPr>
            <w:tcW w:type="dxa" w:w="4762"/>
            <w:shd w:fill="163658"/>
          </w:tcPr>
          <w:p>
            <w:pPr>
              <w:spacing w:after="40" w:before="40"/>
            </w:pPr>
            <w:r/>
            <w:r>
              <w:rPr>
                <w:rFonts w:ascii="Arial" w:hAnsi="Arial"/>
                <w:b/>
                <w:color w:val="FFFFFF"/>
                <w:sz w:val="17"/>
              </w:rPr>
              <w:t>État dans TrackIT</w:t>
            </w:r>
          </w:p>
        </w:tc>
        <w:tc>
          <w:tcPr>
            <w:tcW w:type="dxa" w:w="2721"/>
            <w:shd w:fill="163658"/>
          </w:tcPr>
          <w:p>
            <w:pPr>
              <w:spacing w:after="40" w:before="40"/>
            </w:pPr>
            <w:r/>
            <w:r>
              <w:rPr>
                <w:rFonts w:ascii="Arial" w:hAnsi="Arial"/>
                <w:b/>
                <w:color w:val="FFFFFF"/>
                <w:sz w:val="17"/>
              </w:rPr>
              <w:t>Appréciation</w:t>
            </w:r>
          </w:p>
        </w:tc>
      </w:tr>
      <w:tr>
        <w:trPr>
          <w:cantSplit/>
        </w:trPr>
        <w:tc>
          <w:tcPr>
            <w:tcW w:type="dxa" w:w="2154"/>
          </w:tcPr>
          <w:p>
            <w:pPr>
              <w:spacing w:after="40" w:before="40"/>
            </w:pPr>
            <w:r/>
            <w:r>
              <w:rPr>
                <w:rFonts w:ascii="Arial" w:hAnsi="Arial"/>
                <w:i w:val="0"/>
                <w:color w:val="202B38"/>
                <w:sz w:val="17"/>
              </w:rPr>
              <w:t>Licéité, loyauté, transparence</w:t>
            </w:r>
          </w:p>
        </w:tc>
        <w:tc>
          <w:tcPr>
            <w:tcW w:type="dxa" w:w="4762"/>
          </w:tcPr>
          <w:p>
            <w:pPr>
              <w:spacing w:after="40" w:before="40"/>
            </w:pPr>
            <w:r/>
            <w:r>
              <w:rPr>
                <w:rFonts w:ascii="Arial" w:hAnsi="Arial"/>
                <w:i w:val="0"/>
                <w:color w:val="202B38"/>
                <w:sz w:val="17"/>
              </w:rPr>
              <w:t>Les traitements reposent sur des bases identifiables, mais aucune information n'est délivrée aux personnes</w:t>
            </w:r>
          </w:p>
        </w:tc>
        <w:tc>
          <w:tcPr>
            <w:tcW w:type="dxa" w:w="2721"/>
          </w:tcPr>
          <w:p>
            <w:pPr>
              <w:spacing w:after="40" w:before="40"/>
            </w:pPr>
            <w:r>
              <w:rPr>
                <w:b/>
              </w:rPr>
            </w:r>
            <w:r>
              <w:rPr>
                <w:rFonts w:ascii="Arial" w:hAnsi="Arial"/>
                <w:b/>
                <w:i w:val="0"/>
                <w:color w:val="B42332"/>
                <w:sz w:val="17"/>
              </w:rPr>
              <w:t>Non satisfait</w:t>
            </w:r>
          </w:p>
        </w:tc>
      </w:tr>
      <w:tr>
        <w:trPr>
          <w:cantSplit/>
        </w:trPr>
        <w:tc>
          <w:tcPr>
            <w:tcW w:type="dxa" w:w="2154"/>
            <w:shd w:fill="F4F7FA"/>
          </w:tcPr>
          <w:p>
            <w:pPr>
              <w:spacing w:after="40" w:before="40"/>
            </w:pPr>
            <w:r/>
            <w:r>
              <w:rPr>
                <w:rFonts w:ascii="Arial" w:hAnsi="Arial"/>
                <w:i w:val="0"/>
                <w:color w:val="202B38"/>
                <w:sz w:val="17"/>
              </w:rPr>
              <w:t>Limitation des finalités</w:t>
            </w:r>
          </w:p>
        </w:tc>
        <w:tc>
          <w:tcPr>
            <w:tcW w:type="dxa" w:w="4762"/>
            <w:shd w:fill="F4F7FA"/>
          </w:tcPr>
          <w:p>
            <w:pPr>
              <w:spacing w:after="40" w:before="40"/>
            </w:pPr>
            <w:r/>
            <w:r>
              <w:rPr>
                <w:rFonts w:ascii="Arial" w:hAnsi="Arial"/>
                <w:i w:val="0"/>
                <w:color w:val="202B38"/>
                <w:sz w:val="17"/>
              </w:rPr>
              <w:t>Les données ne servent qu'au suivi des anomalies et à la gestion des comptes</w:t>
            </w:r>
          </w:p>
        </w:tc>
        <w:tc>
          <w:tcPr>
            <w:tcW w:type="dxa" w:w="2721"/>
            <w:shd w:fill="F4F7FA"/>
          </w:tcPr>
          <w:p>
            <w:pPr>
              <w:spacing w:after="40" w:before="40"/>
            </w:pPr>
            <w:r/>
            <w:r>
              <w:rPr>
                <w:rFonts w:ascii="Arial" w:hAnsi="Arial"/>
                <w:i w:val="0"/>
                <w:color w:val="202B38"/>
                <w:sz w:val="17"/>
              </w:rPr>
              <w:t>Satisfait</w:t>
            </w:r>
          </w:p>
        </w:tc>
      </w:tr>
      <w:tr>
        <w:trPr>
          <w:cantSplit/>
        </w:trPr>
        <w:tc>
          <w:tcPr>
            <w:tcW w:type="dxa" w:w="2154"/>
          </w:tcPr>
          <w:p>
            <w:pPr>
              <w:spacing w:after="40" w:before="40"/>
            </w:pPr>
            <w:r/>
            <w:r>
              <w:rPr>
                <w:rFonts w:ascii="Arial" w:hAnsi="Arial"/>
                <w:i w:val="0"/>
                <w:color w:val="202B38"/>
                <w:sz w:val="17"/>
              </w:rPr>
              <w:t>Minimisation</w:t>
            </w:r>
          </w:p>
        </w:tc>
        <w:tc>
          <w:tcPr>
            <w:tcW w:type="dxa" w:w="4762"/>
          </w:tcPr>
          <w:p>
            <w:pPr>
              <w:spacing w:after="40" w:before="40"/>
            </w:pPr>
            <w:r/>
            <w:r>
              <w:rPr>
                <w:rFonts w:ascii="Arial" w:hAnsi="Arial"/>
                <w:i w:val="0"/>
                <w:color w:val="202B38"/>
                <w:sz w:val="17"/>
              </w:rPr>
              <w:t>Seuls nom, prénom, e-mail, rôle et organisation sont collectés ; ni téléphone, ni adresse, ni date de naissance</w:t>
            </w:r>
          </w:p>
        </w:tc>
        <w:tc>
          <w:tcPr>
            <w:tcW w:type="dxa" w:w="2721"/>
          </w:tcPr>
          <w:p>
            <w:pPr>
              <w:spacing w:after="40" w:before="40"/>
            </w:pPr>
            <w:r/>
            <w:r>
              <w:rPr>
                <w:rFonts w:ascii="Arial" w:hAnsi="Arial"/>
                <w:i w:val="0"/>
                <w:color w:val="202B38"/>
                <w:sz w:val="17"/>
              </w:rPr>
              <w:t>Satisfait</w:t>
            </w:r>
          </w:p>
        </w:tc>
      </w:tr>
      <w:tr>
        <w:trPr>
          <w:cantSplit/>
        </w:trPr>
        <w:tc>
          <w:tcPr>
            <w:tcW w:type="dxa" w:w="2154"/>
            <w:shd w:fill="F4F7FA"/>
          </w:tcPr>
          <w:p>
            <w:pPr>
              <w:spacing w:after="40" w:before="40"/>
            </w:pPr>
            <w:r/>
            <w:r>
              <w:rPr>
                <w:rFonts w:ascii="Arial" w:hAnsi="Arial"/>
                <w:i w:val="0"/>
                <w:color w:val="202B38"/>
                <w:sz w:val="17"/>
              </w:rPr>
              <w:t>Exactitude</w:t>
            </w:r>
          </w:p>
        </w:tc>
        <w:tc>
          <w:tcPr>
            <w:tcW w:type="dxa" w:w="4762"/>
            <w:shd w:fill="F4F7FA"/>
          </w:tcPr>
          <w:p>
            <w:pPr>
              <w:spacing w:after="40" w:before="40"/>
            </w:pPr>
            <w:r/>
            <w:r>
              <w:rPr>
                <w:rFonts w:ascii="Arial" w:hAnsi="Arial"/>
                <w:i w:val="0"/>
                <w:color w:val="202B38"/>
                <w:sz w:val="17"/>
              </w:rPr>
              <w:t>Chaque utilisateur peut corriger ses informations depuis son profil</w:t>
            </w:r>
          </w:p>
        </w:tc>
        <w:tc>
          <w:tcPr>
            <w:tcW w:type="dxa" w:w="2721"/>
            <w:shd w:fill="F4F7FA"/>
          </w:tcPr>
          <w:p>
            <w:pPr>
              <w:spacing w:after="40" w:before="40"/>
            </w:pPr>
            <w:r/>
            <w:r>
              <w:rPr>
                <w:rFonts w:ascii="Arial" w:hAnsi="Arial"/>
                <w:i w:val="0"/>
                <w:color w:val="202B38"/>
                <w:sz w:val="17"/>
              </w:rPr>
              <w:t>Satisfait</w:t>
            </w:r>
          </w:p>
        </w:tc>
      </w:tr>
      <w:tr>
        <w:trPr>
          <w:cantSplit/>
        </w:trPr>
        <w:tc>
          <w:tcPr>
            <w:tcW w:type="dxa" w:w="2154"/>
          </w:tcPr>
          <w:p>
            <w:pPr>
              <w:spacing w:after="40" w:before="40"/>
            </w:pPr>
            <w:r/>
            <w:r>
              <w:rPr>
                <w:rFonts w:ascii="Arial" w:hAnsi="Arial"/>
                <w:i w:val="0"/>
                <w:color w:val="202B38"/>
                <w:sz w:val="17"/>
              </w:rPr>
              <w:t>Limitation de la conservation</w:t>
            </w:r>
          </w:p>
        </w:tc>
        <w:tc>
          <w:tcPr>
            <w:tcW w:type="dxa" w:w="4762"/>
          </w:tcPr>
          <w:p>
            <w:pPr>
              <w:spacing w:after="40" w:before="40"/>
            </w:pPr>
            <w:r/>
            <w:r>
              <w:rPr>
                <w:rFonts w:ascii="Arial" w:hAnsi="Arial"/>
                <w:i w:val="0"/>
                <w:color w:val="202B38"/>
                <w:sz w:val="17"/>
              </w:rPr>
              <w:t>Aucune durée n'est définie ni appliquée ; les données sont conservées sans limite</w:t>
            </w:r>
          </w:p>
        </w:tc>
        <w:tc>
          <w:tcPr>
            <w:tcW w:type="dxa" w:w="2721"/>
          </w:tcPr>
          <w:p>
            <w:pPr>
              <w:spacing w:after="40" w:before="40"/>
            </w:pPr>
            <w:r>
              <w:rPr>
                <w:b/>
              </w:rPr>
            </w:r>
            <w:r>
              <w:rPr>
                <w:rFonts w:ascii="Arial" w:hAnsi="Arial"/>
                <w:b/>
                <w:i w:val="0"/>
                <w:color w:val="B42332"/>
                <w:sz w:val="17"/>
              </w:rPr>
              <w:t>Non satisfait</w:t>
            </w:r>
          </w:p>
        </w:tc>
      </w:tr>
      <w:tr>
        <w:trPr>
          <w:cantSplit/>
        </w:trPr>
        <w:tc>
          <w:tcPr>
            <w:tcW w:type="dxa" w:w="2154"/>
            <w:shd w:fill="F4F7FA"/>
          </w:tcPr>
          <w:p>
            <w:pPr>
              <w:spacing w:after="40" w:before="40"/>
            </w:pPr>
            <w:r/>
            <w:r>
              <w:rPr>
                <w:rFonts w:ascii="Arial" w:hAnsi="Arial"/>
                <w:i w:val="0"/>
                <w:color w:val="202B38"/>
                <w:sz w:val="17"/>
              </w:rPr>
              <w:t>Intégrité et confidentialité</w:t>
            </w:r>
          </w:p>
        </w:tc>
        <w:tc>
          <w:tcPr>
            <w:tcW w:type="dxa" w:w="4762"/>
            <w:shd w:fill="F4F7FA"/>
          </w:tcPr>
          <w:p>
            <w:pPr>
              <w:spacing w:after="40" w:before="40"/>
            </w:pPr>
            <w:r/>
            <w:r>
              <w:rPr>
                <w:rFonts w:ascii="Arial" w:hAnsi="Arial"/>
                <w:i w:val="0"/>
                <w:color w:val="202B38"/>
                <w:sz w:val="17"/>
              </w:rPr>
              <w:t>Cloisonnement par organisation, contrôle d'accès par rôle, mots de passe chiffrés (voir livrable 16)</w:t>
            </w:r>
          </w:p>
        </w:tc>
        <w:tc>
          <w:tcPr>
            <w:tcW w:type="dxa" w:w="2721"/>
            <w:shd w:fill="F4F7FA"/>
          </w:tcPr>
          <w:p>
            <w:pPr>
              <w:spacing w:after="40" w:before="40"/>
            </w:pPr>
            <w:r/>
            <w:r>
              <w:rPr>
                <w:rFonts w:ascii="Arial" w:hAnsi="Arial"/>
                <w:i w:val="0"/>
                <w:color w:val="202B38"/>
                <w:sz w:val="17"/>
              </w:rPr>
              <w:t>Largement satisfait</w:t>
            </w:r>
          </w:p>
        </w:tc>
      </w:tr>
      <w:tr>
        <w:trPr>
          <w:cantSplit/>
        </w:trPr>
        <w:tc>
          <w:tcPr>
            <w:tcW w:type="dxa" w:w="2154"/>
          </w:tcPr>
          <w:p>
            <w:pPr>
              <w:spacing w:after="40" w:before="40"/>
            </w:pPr>
            <w:r/>
            <w:r>
              <w:rPr>
                <w:rFonts w:ascii="Arial" w:hAnsi="Arial"/>
                <w:i w:val="0"/>
                <w:color w:val="202B38"/>
                <w:sz w:val="17"/>
              </w:rPr>
              <w:t>Responsabilité (accountability)</w:t>
            </w:r>
          </w:p>
        </w:tc>
        <w:tc>
          <w:tcPr>
            <w:tcW w:type="dxa" w:w="4762"/>
          </w:tcPr>
          <w:p>
            <w:pPr>
              <w:spacing w:after="40" w:before="40"/>
            </w:pPr>
            <w:r/>
            <w:r>
              <w:rPr>
                <w:rFonts w:ascii="Arial" w:hAnsi="Arial"/>
                <w:i w:val="0"/>
                <w:color w:val="202B38"/>
                <w:sz w:val="17"/>
              </w:rPr>
              <w:t>Aucun registre des traitements, aucune documentation des mesures</w:t>
            </w:r>
          </w:p>
        </w:tc>
        <w:tc>
          <w:tcPr>
            <w:tcW w:type="dxa" w:w="2721"/>
          </w:tcPr>
          <w:p>
            <w:pPr>
              <w:spacing w:after="40" w:before="40"/>
            </w:pPr>
            <w:r>
              <w:rPr>
                <w:b/>
              </w:rPr>
            </w:r>
            <w:r>
              <w:rPr>
                <w:rFonts w:ascii="Arial" w:hAnsi="Arial"/>
                <w:b/>
                <w:i w:val="0"/>
                <w:color w:val="B42332"/>
                <w:sz w:val="17"/>
              </w:rPr>
              <w:t>Non satisfait</w:t>
            </w:r>
          </w:p>
        </w:tc>
      </w:tr>
    </w:tbl>
    <w:p>
      <w:pPr>
        <w:spacing w:after="0"/>
      </w:pPr>
    </w:p>
    <w:p>
      <w:pPr>
        <w:keepNext/>
        <w:spacing w:before="180" w:after="60"/>
      </w:pPr>
      <w:r>
        <w:rPr>
          <w:rFonts w:ascii="Arial" w:hAnsi="Arial"/>
          <w:b/>
          <w:color w:val="163658"/>
          <w:sz w:val="25"/>
        </w:rPr>
        <w:t>3.3 Droits des personnes concernées</w:t>
      </w:r>
    </w:p>
    <w:p>
      <w:pPr>
        <w:spacing w:after="80"/>
        <w:jc w:val="both"/>
      </w:pPr>
      <w:r>
        <w:rPr>
          <w:rFonts w:ascii="Arial" w:hAnsi="Arial"/>
          <w:i w:val="0"/>
          <w:color w:val="202B38"/>
          <w:sz w:val="21"/>
        </w:rPr>
        <w:t>Les articles 12 à 22 du RGPD ouvrent aux personnes une série de droits. Le tableau indique, pour chacun, ce que TrackIT permet aujourd'hui.</w:t>
      </w:r>
    </w:p>
    <w:tbl>
      <w:tblPr>
        <w:tblStyle w:val="TableGrid"/>
        <w:tblW w:type="auto" w:w="0"/>
        <w:jc w:val="center"/>
        <w:tblLayout w:type="fixed"/>
        <w:tblLook w:firstColumn="1" w:firstRow="1" w:lastColumn="0" w:lastRow="0" w:noHBand="0" w:noVBand="1" w:val="04A0"/>
        <w:tblLayout w:type="fixed"/>
      </w:tblPr>
      <w:tblGrid>
        <w:gridCol w:w="2268"/>
        <w:gridCol w:w="1020"/>
        <w:gridCol w:w="6350"/>
      </w:tblGrid>
      <w:tr>
        <w:trPr>
          <w:tblHeader w:val="true"/>
          <w:cantSplit/>
        </w:trPr>
        <w:tc>
          <w:tcPr>
            <w:tcW w:type="dxa" w:w="2268"/>
            <w:shd w:fill="163658"/>
          </w:tcPr>
          <w:p>
            <w:pPr>
              <w:spacing w:after="40" w:before="40"/>
            </w:pPr>
            <w:r/>
            <w:r>
              <w:rPr>
                <w:rFonts w:ascii="Arial" w:hAnsi="Arial"/>
                <w:b/>
                <w:color w:val="FFFFFF"/>
                <w:sz w:val="17"/>
              </w:rPr>
              <w:t>Droit</w:t>
            </w:r>
          </w:p>
        </w:tc>
        <w:tc>
          <w:tcPr>
            <w:tcW w:type="dxa" w:w="1020"/>
            <w:shd w:fill="163658"/>
          </w:tcPr>
          <w:p>
            <w:pPr>
              <w:spacing w:after="40" w:before="40"/>
            </w:pPr>
            <w:r/>
            <w:r>
              <w:rPr>
                <w:rFonts w:ascii="Arial" w:hAnsi="Arial"/>
                <w:b/>
                <w:color w:val="FFFFFF"/>
                <w:sz w:val="17"/>
              </w:rPr>
              <w:t>Article</w:t>
            </w:r>
          </w:p>
        </w:tc>
        <w:tc>
          <w:tcPr>
            <w:tcW w:type="dxa" w:w="6350"/>
            <w:shd w:fill="163658"/>
          </w:tcPr>
          <w:p>
            <w:pPr>
              <w:spacing w:after="40" w:before="40"/>
            </w:pPr>
            <w:r/>
            <w:r>
              <w:rPr>
                <w:rFonts w:ascii="Arial" w:hAnsi="Arial"/>
                <w:b/>
                <w:color w:val="FFFFFF"/>
                <w:sz w:val="17"/>
              </w:rPr>
              <w:t>État dans l'application</w:t>
            </w:r>
          </w:p>
        </w:tc>
      </w:tr>
      <w:tr>
        <w:trPr>
          <w:cantSplit/>
        </w:trPr>
        <w:tc>
          <w:tcPr>
            <w:tcW w:type="dxa" w:w="2268"/>
          </w:tcPr>
          <w:p>
            <w:pPr>
              <w:spacing w:after="40" w:before="40"/>
            </w:pPr>
            <w:r/>
            <w:r>
              <w:rPr>
                <w:rFonts w:ascii="Arial" w:hAnsi="Arial"/>
                <w:i w:val="0"/>
                <w:color w:val="202B38"/>
                <w:sz w:val="17"/>
              </w:rPr>
              <w:t>Information</w:t>
            </w:r>
          </w:p>
        </w:tc>
        <w:tc>
          <w:tcPr>
            <w:tcW w:type="dxa" w:w="1020"/>
          </w:tcPr>
          <w:p>
            <w:pPr>
              <w:spacing w:after="40" w:before="40"/>
            </w:pPr>
            <w:r/>
            <w:r>
              <w:rPr>
                <w:rFonts w:ascii="Arial" w:hAnsi="Arial"/>
                <w:i w:val="0"/>
                <w:color w:val="202B38"/>
                <w:sz w:val="17"/>
              </w:rPr>
              <w:t>12 à 14</w:t>
            </w:r>
          </w:p>
        </w:tc>
        <w:tc>
          <w:tcPr>
            <w:tcW w:type="dxa" w:w="6350"/>
          </w:tcPr>
          <w:p>
            <w:pPr>
              <w:spacing w:after="40" w:before="40"/>
            </w:pPr>
            <w:r/>
            <w:r>
              <w:rPr>
                <w:rFonts w:ascii="Arial" w:hAnsi="Arial"/>
                <w:i w:val="0"/>
                <w:color w:val="202B38"/>
                <w:sz w:val="17"/>
              </w:rPr>
              <w:t>Aucune politique de confidentialité ni mention à la création de compte</w:t>
            </w:r>
          </w:p>
        </w:tc>
      </w:tr>
      <w:tr>
        <w:trPr>
          <w:cantSplit/>
        </w:trPr>
        <w:tc>
          <w:tcPr>
            <w:tcW w:type="dxa" w:w="2268"/>
            <w:shd w:fill="F4F7FA"/>
          </w:tcPr>
          <w:p>
            <w:pPr>
              <w:spacing w:after="40" w:before="40"/>
            </w:pPr>
            <w:r/>
            <w:r>
              <w:rPr>
                <w:rFonts w:ascii="Arial" w:hAnsi="Arial"/>
                <w:i w:val="0"/>
                <w:color w:val="202B38"/>
                <w:sz w:val="17"/>
              </w:rPr>
              <w:t>Accès</w:t>
            </w:r>
          </w:p>
        </w:tc>
        <w:tc>
          <w:tcPr>
            <w:tcW w:type="dxa" w:w="1020"/>
            <w:shd w:fill="F4F7FA"/>
          </w:tcPr>
          <w:p>
            <w:pPr>
              <w:spacing w:after="40" w:before="40"/>
            </w:pPr>
            <w:r/>
            <w:r>
              <w:rPr>
                <w:rFonts w:ascii="Arial" w:hAnsi="Arial"/>
                <w:i w:val="0"/>
                <w:color w:val="202B38"/>
                <w:sz w:val="17"/>
              </w:rPr>
              <w:t>15</w:t>
            </w:r>
          </w:p>
        </w:tc>
        <w:tc>
          <w:tcPr>
            <w:tcW w:type="dxa" w:w="6350"/>
            <w:shd w:fill="F4F7FA"/>
          </w:tcPr>
          <w:p>
            <w:pPr>
              <w:spacing w:after="40" w:before="40"/>
            </w:pPr>
            <w:r/>
            <w:r>
              <w:rPr>
                <w:rFonts w:ascii="Arial" w:hAnsi="Arial"/>
                <w:i w:val="0"/>
                <w:color w:val="202B38"/>
                <w:sz w:val="17"/>
              </w:rPr>
              <w:t>Partiellement : l'utilisateur voit son profil, mais aucun export global</w:t>
            </w:r>
          </w:p>
        </w:tc>
      </w:tr>
      <w:tr>
        <w:trPr>
          <w:cantSplit/>
        </w:trPr>
        <w:tc>
          <w:tcPr>
            <w:tcW w:type="dxa" w:w="2268"/>
          </w:tcPr>
          <w:p>
            <w:pPr>
              <w:spacing w:after="40" w:before="40"/>
            </w:pPr>
            <w:r/>
            <w:r>
              <w:rPr>
                <w:rFonts w:ascii="Arial" w:hAnsi="Arial"/>
                <w:i w:val="0"/>
                <w:color w:val="202B38"/>
                <w:sz w:val="17"/>
              </w:rPr>
              <w:t>Rectification</w:t>
            </w:r>
          </w:p>
        </w:tc>
        <w:tc>
          <w:tcPr>
            <w:tcW w:type="dxa" w:w="1020"/>
          </w:tcPr>
          <w:p>
            <w:pPr>
              <w:spacing w:after="40" w:before="40"/>
            </w:pPr>
            <w:r/>
            <w:r>
              <w:rPr>
                <w:rFonts w:ascii="Arial" w:hAnsi="Arial"/>
                <w:i w:val="0"/>
                <w:color w:val="202B38"/>
                <w:sz w:val="17"/>
              </w:rPr>
              <w:t>16</w:t>
            </w:r>
          </w:p>
        </w:tc>
        <w:tc>
          <w:tcPr>
            <w:tcW w:type="dxa" w:w="6350"/>
          </w:tcPr>
          <w:p>
            <w:pPr>
              <w:spacing w:after="40" w:before="40"/>
            </w:pPr>
            <w:r/>
            <w:r>
              <w:rPr>
                <w:rFonts w:ascii="Arial" w:hAnsi="Arial"/>
                <w:i w:val="0"/>
                <w:color w:val="202B38"/>
                <w:sz w:val="17"/>
              </w:rPr>
              <w:t>Satisfait : modification du profil en autonomie</w:t>
            </w:r>
          </w:p>
        </w:tc>
      </w:tr>
      <w:tr>
        <w:trPr>
          <w:cantSplit/>
        </w:trPr>
        <w:tc>
          <w:tcPr>
            <w:tcW w:type="dxa" w:w="2268"/>
            <w:shd w:fill="F4F7FA"/>
          </w:tcPr>
          <w:p>
            <w:pPr>
              <w:spacing w:after="40" w:before="40"/>
            </w:pPr>
            <w:r/>
            <w:r>
              <w:rPr>
                <w:rFonts w:ascii="Arial" w:hAnsi="Arial"/>
                <w:i w:val="0"/>
                <w:color w:val="202B38"/>
                <w:sz w:val="17"/>
              </w:rPr>
              <w:t>Effacement (« droit à l'oubli »)</w:t>
            </w:r>
          </w:p>
        </w:tc>
        <w:tc>
          <w:tcPr>
            <w:tcW w:type="dxa" w:w="1020"/>
            <w:shd w:fill="F4F7FA"/>
          </w:tcPr>
          <w:p>
            <w:pPr>
              <w:spacing w:after="40" w:before="40"/>
            </w:pPr>
            <w:r/>
            <w:r>
              <w:rPr>
                <w:rFonts w:ascii="Arial" w:hAnsi="Arial"/>
                <w:i w:val="0"/>
                <w:color w:val="202B38"/>
                <w:sz w:val="17"/>
              </w:rPr>
              <w:t>17</w:t>
            </w:r>
          </w:p>
        </w:tc>
        <w:tc>
          <w:tcPr>
            <w:tcW w:type="dxa" w:w="6350"/>
            <w:shd w:fill="F4F7FA"/>
          </w:tcPr>
          <w:p>
            <w:pPr>
              <w:spacing w:after="40" w:before="40"/>
            </w:pPr>
            <w:r/>
            <w:r>
              <w:rPr>
                <w:rFonts w:ascii="Arial" w:hAnsi="Arial"/>
                <w:i w:val="0"/>
                <w:color w:val="202B38"/>
                <w:sz w:val="17"/>
              </w:rPr>
              <w:t>Aucune fonction ; la suppression d'un compte par l'administrateur n'est pas documentée quant à ses effets</w:t>
            </w:r>
          </w:p>
        </w:tc>
      </w:tr>
      <w:tr>
        <w:trPr>
          <w:cantSplit/>
        </w:trPr>
        <w:tc>
          <w:tcPr>
            <w:tcW w:type="dxa" w:w="2268"/>
          </w:tcPr>
          <w:p>
            <w:pPr>
              <w:spacing w:after="40" w:before="40"/>
            </w:pPr>
            <w:r/>
            <w:r>
              <w:rPr>
                <w:rFonts w:ascii="Arial" w:hAnsi="Arial"/>
                <w:i w:val="0"/>
                <w:color w:val="202B38"/>
                <w:sz w:val="17"/>
              </w:rPr>
              <w:t>Limitation du traitement</w:t>
            </w:r>
          </w:p>
        </w:tc>
        <w:tc>
          <w:tcPr>
            <w:tcW w:type="dxa" w:w="1020"/>
          </w:tcPr>
          <w:p>
            <w:pPr>
              <w:spacing w:after="40" w:before="40"/>
            </w:pPr>
            <w:r/>
            <w:r>
              <w:rPr>
                <w:rFonts w:ascii="Arial" w:hAnsi="Arial"/>
                <w:i w:val="0"/>
                <w:color w:val="202B38"/>
                <w:sz w:val="17"/>
              </w:rPr>
              <w:t>18</w:t>
            </w:r>
          </w:p>
        </w:tc>
        <w:tc>
          <w:tcPr>
            <w:tcW w:type="dxa" w:w="6350"/>
          </w:tcPr>
          <w:p>
            <w:pPr>
              <w:spacing w:after="40" w:before="40"/>
            </w:pPr>
            <w:r/>
            <w:r>
              <w:rPr>
                <w:rFonts w:ascii="Arial" w:hAnsi="Arial"/>
                <w:i w:val="0"/>
                <w:color w:val="202B38"/>
                <w:sz w:val="17"/>
              </w:rPr>
              <w:t>Aucune fonction ; la désactivation du compte s'en approche sans la réaliser</w:t>
            </w:r>
          </w:p>
        </w:tc>
      </w:tr>
      <w:tr>
        <w:trPr>
          <w:cantSplit/>
        </w:trPr>
        <w:tc>
          <w:tcPr>
            <w:tcW w:type="dxa" w:w="2268"/>
            <w:shd w:fill="F4F7FA"/>
          </w:tcPr>
          <w:p>
            <w:pPr>
              <w:spacing w:after="40" w:before="40"/>
            </w:pPr>
            <w:r/>
            <w:r>
              <w:rPr>
                <w:rFonts w:ascii="Arial" w:hAnsi="Arial"/>
                <w:i w:val="0"/>
                <w:color w:val="202B38"/>
                <w:sz w:val="17"/>
              </w:rPr>
              <w:t>Portabilité</w:t>
            </w:r>
          </w:p>
        </w:tc>
        <w:tc>
          <w:tcPr>
            <w:tcW w:type="dxa" w:w="1020"/>
            <w:shd w:fill="F4F7FA"/>
          </w:tcPr>
          <w:p>
            <w:pPr>
              <w:spacing w:after="40" w:before="40"/>
            </w:pPr>
            <w:r/>
            <w:r>
              <w:rPr>
                <w:rFonts w:ascii="Arial" w:hAnsi="Arial"/>
                <w:i w:val="0"/>
                <w:color w:val="202B38"/>
                <w:sz w:val="17"/>
              </w:rPr>
              <w:t>20</w:t>
            </w:r>
          </w:p>
        </w:tc>
        <w:tc>
          <w:tcPr>
            <w:tcW w:type="dxa" w:w="6350"/>
            <w:shd w:fill="F4F7FA"/>
          </w:tcPr>
          <w:p>
            <w:pPr>
              <w:spacing w:after="40" w:before="40"/>
            </w:pPr>
            <w:r/>
            <w:r>
              <w:rPr>
                <w:rFonts w:ascii="Arial" w:hAnsi="Arial"/>
                <w:i w:val="0"/>
                <w:color w:val="202B38"/>
                <w:sz w:val="17"/>
              </w:rPr>
              <w:t>Aucune fonction d'export des données au format réutilisable</w:t>
            </w:r>
          </w:p>
        </w:tc>
      </w:tr>
      <w:tr>
        <w:trPr>
          <w:cantSplit/>
        </w:trPr>
        <w:tc>
          <w:tcPr>
            <w:tcW w:type="dxa" w:w="2268"/>
          </w:tcPr>
          <w:p>
            <w:pPr>
              <w:spacing w:after="40" w:before="40"/>
            </w:pPr>
            <w:r/>
            <w:r>
              <w:rPr>
                <w:rFonts w:ascii="Arial" w:hAnsi="Arial"/>
                <w:i w:val="0"/>
                <w:color w:val="202B38"/>
                <w:sz w:val="17"/>
              </w:rPr>
              <w:t>Opposition</w:t>
            </w:r>
          </w:p>
        </w:tc>
        <w:tc>
          <w:tcPr>
            <w:tcW w:type="dxa" w:w="1020"/>
          </w:tcPr>
          <w:p>
            <w:pPr>
              <w:spacing w:after="40" w:before="40"/>
            </w:pPr>
            <w:r/>
            <w:r>
              <w:rPr>
                <w:rFonts w:ascii="Arial" w:hAnsi="Arial"/>
                <w:i w:val="0"/>
                <w:color w:val="202B38"/>
                <w:sz w:val="17"/>
              </w:rPr>
              <w:t>21</w:t>
            </w:r>
          </w:p>
        </w:tc>
        <w:tc>
          <w:tcPr>
            <w:tcW w:type="dxa" w:w="6350"/>
          </w:tcPr>
          <w:p>
            <w:pPr>
              <w:spacing w:after="40" w:before="40"/>
            </w:pPr>
            <w:r/>
            <w:r>
              <w:rPr>
                <w:rFonts w:ascii="Arial" w:hAnsi="Arial"/>
                <w:i w:val="0"/>
                <w:color w:val="202B38"/>
                <w:sz w:val="17"/>
              </w:rPr>
              <w:t>Sans objet pour l'essentiel : les traitements reposent sur le contrat, non sur l'intérêt légitime seul</w:t>
            </w:r>
          </w:p>
        </w:tc>
      </w:tr>
    </w:tbl>
    <w:p>
      <w:pPr>
        <w:spacing w:after="0"/>
      </w:pPr>
    </w:p>
    <w:p>
      <w:pPr>
        <w:spacing w:after="80"/>
        <w:jc w:val="both"/>
      </w:pPr>
      <w:r>
        <w:rPr>
          <w:rFonts w:ascii="Arial" w:hAnsi="Arial"/>
          <w:i w:val="0"/>
          <w:color w:val="202B38"/>
          <w:sz w:val="21"/>
        </w:rPr>
        <w:t>Une précision de méthode s'impose sur le droit à l'effacement. Supprimer purement et simplement un utilisateur viderait l'historique de son auteur et ferait perdre à l'organisation la traçabilité exigée par ailleurs. La solution conforme est l'</w:t>
      </w:r>
      <w:r>
        <w:rPr>
          <w:rFonts w:ascii="Arial" w:hAnsi="Arial"/>
          <w:b/>
          <w:i w:val="0"/>
          <w:color w:val="202B38"/>
          <w:sz w:val="21"/>
        </w:rPr>
        <w:t>anonymisation</w:t>
      </w:r>
      <w:r>
        <w:rPr>
          <w:rFonts w:ascii="Arial" w:hAnsi="Arial"/>
          <w:i w:val="0"/>
          <w:color w:val="202B38"/>
          <w:sz w:val="21"/>
        </w:rPr>
        <w:t xml:space="preserve"> : remplacer nom et adresse par une mention neutre tout en conservant l'enregistrement. Une donnée anonymisée n'étant plus une donnée personnelle, elle sort du champ du RGPD et peut être conservée.</w:t>
      </w:r>
    </w:p>
    <w:p>
      <w:pPr>
        <w:keepNext/>
        <w:spacing w:before="180" w:after="60"/>
      </w:pPr>
      <w:r>
        <w:rPr>
          <w:rFonts w:ascii="Arial" w:hAnsi="Arial"/>
          <w:b/>
          <w:color w:val="163658"/>
          <w:sz w:val="25"/>
        </w:rPr>
        <w:t>3.4 Obligations documentaires</w:t>
      </w:r>
    </w:p>
    <w:tbl>
      <w:tblPr>
        <w:tblStyle w:val="TableGrid"/>
        <w:tblW w:type="auto" w:w="0"/>
        <w:jc w:val="center"/>
        <w:tblLayout w:type="fixed"/>
        <w:tblLook w:firstColumn="1" w:firstRow="1" w:lastColumn="0" w:lastRow="0" w:noHBand="0" w:noVBand="1" w:val="04A0"/>
        <w:tblLayout w:type="fixed"/>
      </w:tblPr>
      <w:tblGrid>
        <w:gridCol w:w="2268"/>
        <w:gridCol w:w="794"/>
        <w:gridCol w:w="4649"/>
        <w:gridCol w:w="1928"/>
      </w:tblGrid>
      <w:tr>
        <w:trPr>
          <w:tblHeader w:val="true"/>
          <w:cantSplit/>
        </w:trPr>
        <w:tc>
          <w:tcPr>
            <w:tcW w:type="dxa" w:w="2268"/>
            <w:shd w:fill="163658"/>
          </w:tcPr>
          <w:p>
            <w:pPr>
              <w:spacing w:after="40" w:before="40"/>
            </w:pPr>
            <w:r/>
            <w:r>
              <w:rPr>
                <w:rFonts w:ascii="Arial" w:hAnsi="Arial"/>
                <w:b/>
                <w:color w:val="FFFFFF"/>
                <w:sz w:val="17"/>
              </w:rPr>
              <w:t>Obligation</w:t>
            </w:r>
          </w:p>
        </w:tc>
        <w:tc>
          <w:tcPr>
            <w:tcW w:type="dxa" w:w="794"/>
            <w:shd w:fill="163658"/>
          </w:tcPr>
          <w:p>
            <w:pPr>
              <w:spacing w:after="40" w:before="40"/>
            </w:pPr>
            <w:r/>
            <w:r>
              <w:rPr>
                <w:rFonts w:ascii="Arial" w:hAnsi="Arial"/>
                <w:b/>
                <w:color w:val="FFFFFF"/>
                <w:sz w:val="17"/>
              </w:rPr>
              <w:t>Article</w:t>
            </w:r>
          </w:p>
        </w:tc>
        <w:tc>
          <w:tcPr>
            <w:tcW w:type="dxa" w:w="4649"/>
            <w:shd w:fill="163658"/>
          </w:tcPr>
          <w:p>
            <w:pPr>
              <w:spacing w:after="40" w:before="40"/>
            </w:pPr>
            <w:r/>
            <w:r>
              <w:rPr>
                <w:rFonts w:ascii="Arial" w:hAnsi="Arial"/>
                <w:b/>
                <w:color w:val="FFFFFF"/>
                <w:sz w:val="17"/>
              </w:rPr>
              <w:t>Applicable à TrackIT ?</w:t>
            </w:r>
          </w:p>
        </w:tc>
        <w:tc>
          <w:tcPr>
            <w:tcW w:type="dxa" w:w="1928"/>
            <w:shd w:fill="163658"/>
          </w:tcPr>
          <w:p>
            <w:pPr>
              <w:spacing w:after="40" w:before="40"/>
            </w:pPr>
            <w:r/>
            <w:r>
              <w:rPr>
                <w:rFonts w:ascii="Arial" w:hAnsi="Arial"/>
                <w:b/>
                <w:color w:val="FFFFFF"/>
                <w:sz w:val="17"/>
              </w:rPr>
              <w:t>État</w:t>
            </w:r>
          </w:p>
        </w:tc>
      </w:tr>
      <w:tr>
        <w:trPr>
          <w:cantSplit/>
        </w:trPr>
        <w:tc>
          <w:tcPr>
            <w:tcW w:type="dxa" w:w="2268"/>
          </w:tcPr>
          <w:p>
            <w:pPr>
              <w:spacing w:after="40" w:before="40"/>
            </w:pPr>
            <w:r/>
            <w:r>
              <w:rPr>
                <w:rFonts w:ascii="Arial" w:hAnsi="Arial"/>
                <w:i w:val="0"/>
                <w:color w:val="202B38"/>
                <w:sz w:val="17"/>
              </w:rPr>
              <w:t>Registre des activités de traitement</w:t>
            </w:r>
          </w:p>
        </w:tc>
        <w:tc>
          <w:tcPr>
            <w:tcW w:type="dxa" w:w="794"/>
          </w:tcPr>
          <w:p>
            <w:pPr>
              <w:spacing w:after="40" w:before="40"/>
            </w:pPr>
            <w:r/>
            <w:r>
              <w:rPr>
                <w:rFonts w:ascii="Arial" w:hAnsi="Arial"/>
                <w:i w:val="0"/>
                <w:color w:val="202B38"/>
                <w:sz w:val="17"/>
              </w:rPr>
              <w:t>30</w:t>
            </w:r>
          </w:p>
        </w:tc>
        <w:tc>
          <w:tcPr>
            <w:tcW w:type="dxa" w:w="4649"/>
          </w:tcPr>
          <w:p>
            <w:pPr>
              <w:spacing w:after="40" w:before="40"/>
            </w:pPr>
            <w:r/>
            <w:r>
              <w:rPr>
                <w:rFonts w:ascii="Arial" w:hAnsi="Arial"/>
                <w:i w:val="0"/>
                <w:color w:val="202B38"/>
                <w:sz w:val="17"/>
              </w:rPr>
              <w:t>Oui, pour les deux rôles. L'exemption des moins de 250 salariés ne joue pas : le traitement n'est pas occasionnel</w:t>
            </w:r>
          </w:p>
        </w:tc>
        <w:tc>
          <w:tcPr>
            <w:tcW w:type="dxa" w:w="1928"/>
          </w:tcPr>
          <w:p>
            <w:pPr>
              <w:spacing w:after="40" w:before="40"/>
            </w:pPr>
            <w:r>
              <w:rPr>
                <w:b/>
              </w:rPr>
            </w:r>
            <w:r>
              <w:rPr>
                <w:rFonts w:ascii="Arial" w:hAnsi="Arial"/>
                <w:b/>
                <w:i w:val="0"/>
                <w:color w:val="B42332"/>
                <w:sz w:val="17"/>
              </w:rPr>
              <w:t>Absent</w:t>
            </w:r>
          </w:p>
        </w:tc>
      </w:tr>
      <w:tr>
        <w:trPr>
          <w:cantSplit/>
        </w:trPr>
        <w:tc>
          <w:tcPr>
            <w:tcW w:type="dxa" w:w="2268"/>
            <w:shd w:fill="F4F7FA"/>
          </w:tcPr>
          <w:p>
            <w:pPr>
              <w:spacing w:after="40" w:before="40"/>
            </w:pPr>
            <w:r/>
            <w:r>
              <w:rPr>
                <w:rFonts w:ascii="Arial" w:hAnsi="Arial"/>
                <w:i w:val="0"/>
                <w:color w:val="202B38"/>
                <w:sz w:val="17"/>
              </w:rPr>
              <w:t>Contrat de sous-traitance</w:t>
            </w:r>
          </w:p>
        </w:tc>
        <w:tc>
          <w:tcPr>
            <w:tcW w:type="dxa" w:w="794"/>
            <w:shd w:fill="F4F7FA"/>
          </w:tcPr>
          <w:p>
            <w:pPr>
              <w:spacing w:after="40" w:before="40"/>
            </w:pPr>
            <w:r/>
            <w:r>
              <w:rPr>
                <w:rFonts w:ascii="Arial" w:hAnsi="Arial"/>
                <w:i w:val="0"/>
                <w:color w:val="202B38"/>
                <w:sz w:val="17"/>
              </w:rPr>
              <w:t>28</w:t>
            </w:r>
          </w:p>
        </w:tc>
        <w:tc>
          <w:tcPr>
            <w:tcW w:type="dxa" w:w="4649"/>
            <w:shd w:fill="F4F7FA"/>
          </w:tcPr>
          <w:p>
            <w:pPr>
              <w:spacing w:after="40" w:before="40"/>
            </w:pPr>
            <w:r/>
            <w:r>
              <w:rPr>
                <w:rFonts w:ascii="Arial" w:hAnsi="Arial"/>
                <w:i w:val="0"/>
                <w:color w:val="202B38"/>
                <w:sz w:val="17"/>
              </w:rPr>
              <w:t>Oui, avec chaque organisation cliente et avec l'hébergeur</w:t>
            </w:r>
          </w:p>
        </w:tc>
        <w:tc>
          <w:tcPr>
            <w:tcW w:type="dxa" w:w="1928"/>
            <w:shd w:fill="F4F7FA"/>
          </w:tcPr>
          <w:p>
            <w:pPr>
              <w:spacing w:after="40" w:before="40"/>
            </w:pPr>
            <w:r>
              <w:rPr>
                <w:b/>
              </w:rPr>
            </w:r>
            <w:r>
              <w:rPr>
                <w:rFonts w:ascii="Arial" w:hAnsi="Arial"/>
                <w:b/>
                <w:i w:val="0"/>
                <w:color w:val="B42332"/>
                <w:sz w:val="17"/>
              </w:rPr>
              <w:t>Absent</w:t>
            </w:r>
          </w:p>
        </w:tc>
      </w:tr>
      <w:tr>
        <w:trPr>
          <w:cantSplit/>
        </w:trPr>
        <w:tc>
          <w:tcPr>
            <w:tcW w:type="dxa" w:w="2268"/>
          </w:tcPr>
          <w:p>
            <w:pPr>
              <w:spacing w:after="40" w:before="40"/>
            </w:pPr>
            <w:r/>
            <w:r>
              <w:rPr>
                <w:rFonts w:ascii="Arial" w:hAnsi="Arial"/>
                <w:i w:val="0"/>
                <w:color w:val="202B38"/>
                <w:sz w:val="17"/>
              </w:rPr>
              <w:t>Analyse d'impact (AIPD)</w:t>
            </w:r>
          </w:p>
        </w:tc>
        <w:tc>
          <w:tcPr>
            <w:tcW w:type="dxa" w:w="794"/>
          </w:tcPr>
          <w:p>
            <w:pPr>
              <w:spacing w:after="40" w:before="40"/>
            </w:pPr>
            <w:r/>
            <w:r>
              <w:rPr>
                <w:rFonts w:ascii="Arial" w:hAnsi="Arial"/>
                <w:i w:val="0"/>
                <w:color w:val="202B38"/>
                <w:sz w:val="17"/>
              </w:rPr>
              <w:t>35</w:t>
            </w:r>
          </w:p>
        </w:tc>
        <w:tc>
          <w:tcPr>
            <w:tcW w:type="dxa" w:w="4649"/>
          </w:tcPr>
          <w:p>
            <w:pPr>
              <w:spacing w:after="40" w:before="40"/>
            </w:pPr>
            <w:r/>
            <w:r>
              <w:rPr>
                <w:rFonts w:ascii="Arial" w:hAnsi="Arial"/>
                <w:i w:val="0"/>
                <w:color w:val="202B38"/>
                <w:sz w:val="17"/>
              </w:rPr>
              <w:t>A priori non : pas de données sensibles, pas de profilage, pas de surveillance systématique. À réévaluer en cas d'évolution</w:t>
            </w:r>
          </w:p>
        </w:tc>
        <w:tc>
          <w:tcPr>
            <w:tcW w:type="dxa" w:w="1928"/>
          </w:tcPr>
          <w:p>
            <w:pPr>
              <w:spacing w:after="40" w:before="40"/>
            </w:pPr>
            <w:r>
              <w:rPr>
                <w:b/>
              </w:rPr>
            </w:r>
            <w:r>
              <w:rPr>
                <w:rFonts w:ascii="Arial" w:hAnsi="Arial"/>
                <w:b/>
                <w:i w:val="0"/>
                <w:color w:val="B42332"/>
                <w:sz w:val="17"/>
              </w:rPr>
              <w:t>Non requise</w:t>
            </w:r>
          </w:p>
        </w:tc>
      </w:tr>
      <w:tr>
        <w:trPr>
          <w:cantSplit/>
        </w:trPr>
        <w:tc>
          <w:tcPr>
            <w:tcW w:type="dxa" w:w="2268"/>
            <w:shd w:fill="F4F7FA"/>
          </w:tcPr>
          <w:p>
            <w:pPr>
              <w:spacing w:after="40" w:before="40"/>
            </w:pPr>
            <w:r/>
            <w:r>
              <w:rPr>
                <w:rFonts w:ascii="Arial" w:hAnsi="Arial"/>
                <w:i w:val="0"/>
                <w:color w:val="202B38"/>
                <w:sz w:val="17"/>
              </w:rPr>
              <w:t>Délégué à la protection des données</w:t>
            </w:r>
          </w:p>
        </w:tc>
        <w:tc>
          <w:tcPr>
            <w:tcW w:type="dxa" w:w="794"/>
            <w:shd w:fill="F4F7FA"/>
          </w:tcPr>
          <w:p>
            <w:pPr>
              <w:spacing w:after="40" w:before="40"/>
            </w:pPr>
            <w:r/>
            <w:r>
              <w:rPr>
                <w:rFonts w:ascii="Arial" w:hAnsi="Arial"/>
                <w:i w:val="0"/>
                <w:color w:val="202B38"/>
                <w:sz w:val="17"/>
              </w:rPr>
              <w:t>37</w:t>
            </w:r>
          </w:p>
        </w:tc>
        <w:tc>
          <w:tcPr>
            <w:tcW w:type="dxa" w:w="4649"/>
            <w:shd w:fill="F4F7FA"/>
          </w:tcPr>
          <w:p>
            <w:pPr>
              <w:spacing w:after="40" w:before="40"/>
            </w:pPr>
            <w:r/>
            <w:r>
              <w:rPr>
                <w:rFonts w:ascii="Arial" w:hAnsi="Arial"/>
                <w:i w:val="0"/>
                <w:color w:val="202B38"/>
                <w:sz w:val="17"/>
              </w:rPr>
              <w:t>Non : ni autorité publique, ni suivi à grande échelle, ni données de l'article 9</w:t>
            </w:r>
          </w:p>
        </w:tc>
        <w:tc>
          <w:tcPr>
            <w:tcW w:type="dxa" w:w="1928"/>
            <w:shd w:fill="F4F7FA"/>
          </w:tcPr>
          <w:p>
            <w:pPr>
              <w:spacing w:after="40" w:before="40"/>
            </w:pPr>
            <w:r>
              <w:rPr>
                <w:b/>
              </w:rPr>
            </w:r>
            <w:r>
              <w:rPr>
                <w:rFonts w:ascii="Arial" w:hAnsi="Arial"/>
                <w:b/>
                <w:i w:val="0"/>
                <w:color w:val="B42332"/>
                <w:sz w:val="17"/>
              </w:rPr>
              <w:t>Non requis</w:t>
            </w:r>
          </w:p>
        </w:tc>
      </w:tr>
      <w:tr>
        <w:trPr>
          <w:cantSplit/>
        </w:trPr>
        <w:tc>
          <w:tcPr>
            <w:tcW w:type="dxa" w:w="2268"/>
          </w:tcPr>
          <w:p>
            <w:pPr>
              <w:spacing w:after="40" w:before="40"/>
            </w:pPr>
            <w:r/>
            <w:r>
              <w:rPr>
                <w:rFonts w:ascii="Arial" w:hAnsi="Arial"/>
                <w:i w:val="0"/>
                <w:color w:val="202B38"/>
                <w:sz w:val="17"/>
              </w:rPr>
              <w:t>Information des personnes</w:t>
            </w:r>
          </w:p>
        </w:tc>
        <w:tc>
          <w:tcPr>
            <w:tcW w:type="dxa" w:w="794"/>
          </w:tcPr>
          <w:p>
            <w:pPr>
              <w:spacing w:after="40" w:before="40"/>
            </w:pPr>
            <w:r/>
            <w:r>
              <w:rPr>
                <w:rFonts w:ascii="Arial" w:hAnsi="Arial"/>
                <w:i w:val="0"/>
                <w:color w:val="202B38"/>
                <w:sz w:val="17"/>
              </w:rPr>
              <w:t>13 et 14</w:t>
            </w:r>
          </w:p>
        </w:tc>
        <w:tc>
          <w:tcPr>
            <w:tcW w:type="dxa" w:w="4649"/>
          </w:tcPr>
          <w:p>
            <w:pPr>
              <w:spacing w:after="40" w:before="40"/>
            </w:pPr>
            <w:r/>
            <w:r>
              <w:rPr>
                <w:rFonts w:ascii="Arial" w:hAnsi="Arial"/>
                <w:i w:val="0"/>
                <w:color w:val="202B38"/>
                <w:sz w:val="17"/>
              </w:rPr>
              <w:t>Oui, pour les traitements dont TrackIT est responsable</w:t>
            </w:r>
          </w:p>
        </w:tc>
        <w:tc>
          <w:tcPr>
            <w:tcW w:type="dxa" w:w="1928"/>
          </w:tcPr>
          <w:p>
            <w:pPr>
              <w:spacing w:after="40" w:before="40"/>
            </w:pPr>
            <w:r>
              <w:rPr>
                <w:b/>
              </w:rPr>
            </w:r>
            <w:r>
              <w:rPr>
                <w:rFonts w:ascii="Arial" w:hAnsi="Arial"/>
                <w:b/>
                <w:i w:val="0"/>
                <w:color w:val="B42332"/>
                <w:sz w:val="17"/>
              </w:rPr>
              <w:t>Absent</w:t>
            </w:r>
          </w:p>
        </w:tc>
      </w:tr>
      <w:tr>
        <w:trPr>
          <w:cantSplit/>
        </w:trPr>
        <w:tc>
          <w:tcPr>
            <w:tcW w:type="dxa" w:w="2268"/>
            <w:shd w:fill="F4F7FA"/>
          </w:tcPr>
          <w:p>
            <w:pPr>
              <w:spacing w:after="40" w:before="40"/>
            </w:pPr>
            <w:r/>
            <w:r>
              <w:rPr>
                <w:rFonts w:ascii="Arial" w:hAnsi="Arial"/>
                <w:i w:val="0"/>
                <w:color w:val="202B38"/>
                <w:sz w:val="17"/>
              </w:rPr>
              <w:t>Notification des violations à l'APD</w:t>
            </w:r>
          </w:p>
        </w:tc>
        <w:tc>
          <w:tcPr>
            <w:tcW w:type="dxa" w:w="794"/>
            <w:shd w:fill="F4F7FA"/>
          </w:tcPr>
          <w:p>
            <w:pPr>
              <w:spacing w:after="40" w:before="40"/>
            </w:pPr>
            <w:r/>
            <w:r>
              <w:rPr>
                <w:rFonts w:ascii="Arial" w:hAnsi="Arial"/>
                <w:i w:val="0"/>
                <w:color w:val="202B38"/>
                <w:sz w:val="17"/>
              </w:rPr>
              <w:t>33</w:t>
            </w:r>
          </w:p>
        </w:tc>
        <w:tc>
          <w:tcPr>
            <w:tcW w:type="dxa" w:w="4649"/>
            <w:shd w:fill="F4F7FA"/>
          </w:tcPr>
          <w:p>
            <w:pPr>
              <w:spacing w:after="40" w:before="40"/>
            </w:pPr>
            <w:r/>
            <w:r>
              <w:rPr>
                <w:rFonts w:ascii="Arial" w:hAnsi="Arial"/>
                <w:i w:val="0"/>
                <w:color w:val="202B38"/>
                <w:sz w:val="17"/>
              </w:rPr>
              <w:t>Oui, dans les 72 heures ; en tant que sous-traitant, TrackIT doit alerter son client « dans les meilleurs délais »</w:t>
            </w:r>
          </w:p>
        </w:tc>
        <w:tc>
          <w:tcPr>
            <w:tcW w:type="dxa" w:w="1928"/>
            <w:shd w:fill="F4F7FA"/>
          </w:tcPr>
          <w:p>
            <w:pPr>
              <w:spacing w:after="40" w:before="40"/>
            </w:pPr>
            <w:r/>
            <w:r>
              <w:rPr>
                <w:rFonts w:ascii="Arial" w:hAnsi="Arial"/>
                <w:i w:val="0"/>
                <w:color w:val="202B38"/>
                <w:sz w:val="17"/>
              </w:rPr>
              <w:t>Procédure absente</w:t>
            </w:r>
          </w:p>
        </w:tc>
      </w:tr>
      <w:tr>
        <w:trPr>
          <w:cantSplit/>
        </w:trPr>
        <w:tc>
          <w:tcPr>
            <w:tcW w:type="dxa" w:w="2268"/>
          </w:tcPr>
          <w:p>
            <w:pPr>
              <w:spacing w:after="40" w:before="40"/>
            </w:pPr>
            <w:r/>
            <w:r>
              <w:rPr>
                <w:rFonts w:ascii="Arial" w:hAnsi="Arial"/>
                <w:i w:val="0"/>
                <w:color w:val="202B38"/>
                <w:sz w:val="17"/>
              </w:rPr>
              <w:t>Communication aux personnes</w:t>
            </w:r>
          </w:p>
        </w:tc>
        <w:tc>
          <w:tcPr>
            <w:tcW w:type="dxa" w:w="794"/>
          </w:tcPr>
          <w:p>
            <w:pPr>
              <w:spacing w:after="40" w:before="40"/>
            </w:pPr>
            <w:r/>
            <w:r>
              <w:rPr>
                <w:rFonts w:ascii="Arial" w:hAnsi="Arial"/>
                <w:i w:val="0"/>
                <w:color w:val="202B38"/>
                <w:sz w:val="17"/>
              </w:rPr>
              <w:t>34</w:t>
            </w:r>
          </w:p>
        </w:tc>
        <w:tc>
          <w:tcPr>
            <w:tcW w:type="dxa" w:w="4649"/>
          </w:tcPr>
          <w:p>
            <w:pPr>
              <w:spacing w:after="40" w:before="40"/>
            </w:pPr>
            <w:r/>
            <w:r>
              <w:rPr>
                <w:rFonts w:ascii="Arial" w:hAnsi="Arial"/>
                <w:i w:val="0"/>
                <w:color w:val="202B38"/>
                <w:sz w:val="17"/>
              </w:rPr>
              <w:t>Oui, si le risque est élevé pour les droits et libertés</w:t>
            </w:r>
          </w:p>
        </w:tc>
        <w:tc>
          <w:tcPr>
            <w:tcW w:type="dxa" w:w="1928"/>
          </w:tcPr>
          <w:p>
            <w:pPr>
              <w:spacing w:after="40" w:before="40"/>
            </w:pPr>
            <w:r/>
            <w:r>
              <w:rPr>
                <w:rFonts w:ascii="Arial" w:hAnsi="Arial"/>
                <w:i w:val="0"/>
                <w:color w:val="202B38"/>
                <w:sz w:val="17"/>
              </w:rPr>
              <w:t>Procédure absente</w:t>
            </w:r>
          </w:p>
        </w:tc>
      </w:tr>
    </w:tbl>
    <w:p>
      <w:pPr>
        <w:spacing w:after="0"/>
      </w:pPr>
    </w:p>
    <w:p>
      <w:pPr>
        <w:keepNext/>
        <w:spacing w:before="180" w:after="60"/>
      </w:pPr>
      <w:r>
        <w:rPr>
          <w:rFonts w:ascii="Arial" w:hAnsi="Arial"/>
          <w:b/>
          <w:color w:val="163658"/>
          <w:sz w:val="25"/>
        </w:rPr>
        <w:t>3.5 Transferts hors Union européenne</w:t>
      </w:r>
    </w:p>
    <w:p>
      <w:pPr>
        <w:spacing w:after="80"/>
        <w:jc w:val="both"/>
      </w:pPr>
      <w:r>
        <w:rPr>
          <w:rFonts w:ascii="Arial" w:hAnsi="Arial"/>
          <w:i w:val="0"/>
          <w:color w:val="202B38"/>
          <w:sz w:val="21"/>
        </w:rPr>
        <w:t>L'application fait appel à Stripe pour l'encaissement des abonnements. Ce point mérite un examen, car le chapitre V du RGPD encadre strictement les transferts hors de l'Union.</w:t>
      </w:r>
    </w:p>
    <w:p>
      <w:pPr>
        <w:spacing w:after="80"/>
        <w:jc w:val="both"/>
      </w:pPr>
      <w:r>
        <w:rPr>
          <w:rFonts w:ascii="Arial" w:hAnsi="Arial"/>
          <w:i w:val="0"/>
          <w:color w:val="202B38"/>
          <w:sz w:val="21"/>
        </w:rPr>
        <w:t xml:space="preserve">Deux éléments jouent en faveur de TrackIT. D'une part, </w:t>
      </w:r>
      <w:r>
        <w:rPr>
          <w:rFonts w:ascii="Arial" w:hAnsi="Arial"/>
          <w:b/>
          <w:i w:val="0"/>
          <w:color w:val="202B38"/>
          <w:sz w:val="21"/>
        </w:rPr>
        <w:t>aucune donnée bancaire n'est stockée</w:t>
      </w:r>
      <w:r>
        <w:rPr>
          <w:rFonts w:ascii="Arial" w:hAnsi="Arial"/>
          <w:i w:val="0"/>
          <w:color w:val="202B38"/>
          <w:sz w:val="21"/>
        </w:rPr>
        <w:t xml:space="preserve"> par l'application : le paiement est entièrement délégué, ce qui réduit du même coup le périmètre des exigences du standard PCI-DSS. D'autre part, Stripe opère ses services européens depuis une entité établie en Irlande. Il n'en demeure pas moins qu'un transfert vers les États-Unis peut intervenir au sein du groupe : il doit alors reposer sur un fondement du chapitre V — décision d'adéquation ou clauses contractuelles types.</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À documenter</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La localisation de l'hébergement n'est pas davantage déterminée dans le projet. Un hébergement dans l'Union évite toute question de transfert et constitue, pour une clientèle professionnelle européenne, un argument commercial. Ce choix doit être arrêté puis mentionné dans le contrat de sous-traitance et dans la politique de confidentialité.</w:t>
      </w:r>
    </w:p>
    <w:p>
      <w:pPr>
        <w:spacing w:after="0"/>
      </w:pPr>
    </w:p>
    <w:p>
      <w:pPr>
        <w:keepNext/>
        <w:spacing w:before="300" w:after="100"/>
        <w:pBdr>
          <w:bottom w:val="single" w:sz="4" w:space="3" w:color="C8D4E2"/>
        </w:pBdr>
      </w:pPr>
      <w:r>
        <w:rPr>
          <w:rFonts w:ascii="Arial" w:hAnsi="Arial"/>
          <w:b/>
          <w:color w:val="163658"/>
          <w:sz w:val="32"/>
        </w:rPr>
        <w:t>4. Sécurité des réseaux et des systèmes d'information (NIS2)</w:t>
      </w:r>
    </w:p>
    <w:p>
      <w:pPr>
        <w:keepNext/>
        <w:spacing w:before="180" w:after="60"/>
      </w:pPr>
      <w:r>
        <w:rPr>
          <w:rFonts w:ascii="Arial" w:hAnsi="Arial"/>
          <w:b/>
          <w:color w:val="163658"/>
          <w:sz w:val="25"/>
        </w:rPr>
        <w:t>4.1 Cadre applicable</w:t>
      </w:r>
    </w:p>
    <w:p>
      <w:pPr>
        <w:spacing w:after="80"/>
        <w:jc w:val="both"/>
      </w:pPr>
      <w:r>
        <w:rPr>
          <w:rFonts w:ascii="Arial" w:hAnsi="Arial"/>
          <w:i w:val="0"/>
          <w:color w:val="202B38"/>
          <w:sz w:val="21"/>
        </w:rPr>
        <w:t xml:space="preserve">La directive (UE) 2022/2555, dite </w:t>
      </w:r>
      <w:r>
        <w:rPr>
          <w:rFonts w:ascii="Arial" w:hAnsi="Arial"/>
          <w:b/>
          <w:i w:val="0"/>
          <w:color w:val="202B38"/>
          <w:sz w:val="21"/>
        </w:rPr>
        <w:t>NIS2</w:t>
      </w:r>
      <w:r>
        <w:rPr>
          <w:rFonts w:ascii="Arial" w:hAnsi="Arial"/>
          <w:i w:val="0"/>
          <w:color w:val="202B38"/>
          <w:sz w:val="21"/>
        </w:rPr>
        <w:t xml:space="preserve">, a été transposée en droit belge par la </w:t>
      </w:r>
      <w:r>
        <w:rPr>
          <w:rFonts w:ascii="Arial" w:hAnsi="Arial"/>
          <w:b/>
          <w:i w:val="0"/>
          <w:color w:val="202B38"/>
          <w:sz w:val="21"/>
        </w:rPr>
        <w:t>loi du 26 avril 2024</w:t>
      </w:r>
      <w:r>
        <w:rPr>
          <w:rFonts w:ascii="Arial" w:hAnsi="Arial"/>
          <w:i w:val="0"/>
          <w:color w:val="202B38"/>
          <w:sz w:val="21"/>
        </w:rPr>
        <w:t xml:space="preserve"> établissant un cadre pour la cybersécurité des réseaux et des systèmes d'information d'intérêt général pour la sécurité publique, entrée en vigueur le </w:t>
      </w:r>
      <w:r>
        <w:rPr>
          <w:rFonts w:ascii="Arial" w:hAnsi="Arial"/>
          <w:b/>
          <w:i w:val="0"/>
          <w:color w:val="202B38"/>
          <w:sz w:val="21"/>
        </w:rPr>
        <w:t>18 octobre 2024</w:t>
      </w:r>
      <w:r>
        <w:rPr>
          <w:rFonts w:ascii="Arial" w:hAnsi="Arial"/>
          <w:i w:val="0"/>
          <w:color w:val="202B38"/>
          <w:sz w:val="21"/>
        </w:rPr>
        <w:t xml:space="preserve"> et complétée par l'arrêté royal du 9 juin 2024. Le </w:t>
      </w:r>
      <w:r>
        <w:rPr>
          <w:rFonts w:ascii="Arial" w:hAnsi="Arial"/>
          <w:b/>
          <w:i w:val="0"/>
          <w:color w:val="202B38"/>
          <w:sz w:val="21"/>
        </w:rPr>
        <w:t>Centre pour la Cybersécurité Belgique (CCB)</w:t>
      </w:r>
      <w:r>
        <w:rPr>
          <w:rFonts w:ascii="Arial" w:hAnsi="Arial"/>
          <w:i w:val="0"/>
          <w:color w:val="202B38"/>
          <w:sz w:val="21"/>
        </w:rPr>
        <w:t xml:space="preserve"> en est l'autorité nationale ; c'est à lui que les incidents significatifs doivent être notifiés.</w:t>
      </w:r>
    </w:p>
    <w:p>
      <w:pPr>
        <w:keepNext/>
        <w:spacing w:before="180" w:after="60"/>
      </w:pPr>
      <w:r>
        <w:rPr>
          <w:rFonts w:ascii="Arial" w:hAnsi="Arial"/>
          <w:b/>
          <w:color w:val="163658"/>
          <w:sz w:val="25"/>
        </w:rPr>
        <w:t>4.2 TrackIT entre-t-il dans le champ d'application ?</w:t>
      </w:r>
    </w:p>
    <w:p>
      <w:pPr>
        <w:spacing w:after="80"/>
        <w:jc w:val="both"/>
      </w:pPr>
      <w:r>
        <w:rPr>
          <w:rFonts w:ascii="Arial" w:hAnsi="Arial"/>
          <w:i w:val="0"/>
          <w:color w:val="202B38"/>
          <w:sz w:val="21"/>
        </w:rPr>
        <w:t xml:space="preserve">La réponse est </w:t>
      </w:r>
      <w:r>
        <w:rPr>
          <w:rFonts w:ascii="Arial" w:hAnsi="Arial"/>
          <w:b/>
          <w:i w:val="0"/>
          <w:color w:val="202B38"/>
          <w:sz w:val="21"/>
        </w:rPr>
        <w:t>non en l'état</w:t>
      </w:r>
      <w:r>
        <w:rPr>
          <w:rFonts w:ascii="Arial" w:hAnsi="Arial"/>
          <w:i w:val="0"/>
          <w:color w:val="202B38"/>
          <w:sz w:val="21"/>
        </w:rPr>
        <w:t>, et il importe d'expliquer pourquoi plutôt que de l'affirmer. NIS2 s'applique aux entités essentielles et importantes des secteurs qu'elle énumère, sous réserve d'un critère de taille : à partir de cinquante salariés ou de dix millions d'euros de chiffre d'affaires annuel. Un éditeur de logiciel en mode service peut relever de la catégorie des fournisseurs de services numériques ou de services gérés, mais un projet de fin d'études n'atteint évidemment aucun de ces seuils.</w:t>
      </w:r>
    </w:p>
    <w:p>
      <w:pPr>
        <w:spacing w:after="80"/>
        <w:jc w:val="both"/>
      </w:pPr>
      <w:r>
        <w:rPr>
          <w:rFonts w:ascii="Arial" w:hAnsi="Arial"/>
          <w:i w:val="0"/>
          <w:color w:val="202B38"/>
          <w:sz w:val="21"/>
        </w:rPr>
        <w:t xml:space="preserve">Deux raisons justifient néanmoins de traiter le sujet. D'abord parce que les </w:t>
      </w:r>
      <w:r>
        <w:rPr>
          <w:rFonts w:ascii="Arial" w:hAnsi="Arial"/>
          <w:b/>
          <w:i w:val="0"/>
          <w:color w:val="202B38"/>
          <w:sz w:val="21"/>
        </w:rPr>
        <w:t>organisations clientes</w:t>
      </w:r>
      <w:r>
        <w:rPr>
          <w:rFonts w:ascii="Arial" w:hAnsi="Arial"/>
          <w:i w:val="0"/>
          <w:color w:val="202B38"/>
          <w:sz w:val="21"/>
        </w:rPr>
        <w:t>, elles, peuvent être soumises à NIS2 : elles exigeront alors de leurs fournisseurs des garanties de sécurité, la directive imposant expressément la maîtrise des risques liés à la chaîne d'approvisionnement. Ensuite parce que le franchissement des seuils, en cas de croissance, rendrait la conformité exigible sans délai : il est moins coûteux de concevoir en conséquence que de se mettre en conformité après coup.</w:t>
      </w:r>
    </w:p>
    <w:p>
      <w:pPr>
        <w:keepNext/>
        <w:spacing w:before="180" w:after="60"/>
      </w:pPr>
      <w:r>
        <w:rPr>
          <w:rFonts w:ascii="Arial" w:hAnsi="Arial"/>
          <w:b/>
          <w:color w:val="163658"/>
          <w:sz w:val="25"/>
        </w:rPr>
        <w:t>4.3 Articulation entre le RGPD et NIS2</w:t>
      </w:r>
    </w:p>
    <w:p>
      <w:pPr>
        <w:spacing w:after="80"/>
        <w:jc w:val="both"/>
      </w:pPr>
      <w:r>
        <w:rPr>
          <w:rFonts w:ascii="Arial" w:hAnsi="Arial"/>
          <w:i w:val="0"/>
          <w:color w:val="202B38"/>
          <w:sz w:val="21"/>
        </w:rPr>
        <w:t>Les deux textes imposent des mesures de sécurité, mais ils ne poursuivent pas le même but, et les confondre conduit à des contresens.</w:t>
      </w:r>
    </w:p>
    <w:tbl>
      <w:tblPr>
        <w:tblStyle w:val="TableGrid"/>
        <w:tblW w:type="auto" w:w="0"/>
        <w:jc w:val="center"/>
        <w:tblLayout w:type="fixed"/>
        <w:tblLook w:firstColumn="1" w:firstRow="1" w:lastColumn="0" w:lastRow="0" w:noHBand="0" w:noVBand="1" w:val="04A0"/>
        <w:tblLayout w:type="fixed"/>
      </w:tblPr>
      <w:tblGrid>
        <w:gridCol w:w="1928"/>
        <w:gridCol w:w="3628"/>
        <w:gridCol w:w="4082"/>
      </w:tblGrid>
      <w:tr>
        <w:trPr>
          <w:tblHeader w:val="true"/>
          <w:cantSplit/>
        </w:trPr>
        <w:tc>
          <w:tcPr>
            <w:tcW w:type="dxa" w:w="1928"/>
            <w:shd w:fill="163658"/>
          </w:tcPr>
          <w:p>
            <w:pPr>
              <w:spacing w:after="40" w:before="40"/>
            </w:pPr>
            <w:r/>
            <w:r>
              <w:rPr>
                <w:rFonts w:ascii="Arial" w:hAnsi="Arial"/>
                <w:b/>
                <w:color w:val="FFFFFF"/>
                <w:sz w:val="17"/>
              </w:rPr>
            </w:r>
          </w:p>
        </w:tc>
        <w:tc>
          <w:tcPr>
            <w:tcW w:type="dxa" w:w="3628"/>
            <w:shd w:fill="163658"/>
          </w:tcPr>
          <w:p>
            <w:pPr>
              <w:spacing w:after="40" w:before="40"/>
            </w:pPr>
            <w:r/>
            <w:r>
              <w:rPr>
                <w:rFonts w:ascii="Arial" w:hAnsi="Arial"/>
                <w:b/>
                <w:color w:val="FFFFFF"/>
                <w:sz w:val="17"/>
              </w:rPr>
              <w:t>RGPD</w:t>
            </w:r>
          </w:p>
        </w:tc>
        <w:tc>
          <w:tcPr>
            <w:tcW w:type="dxa" w:w="4082"/>
            <w:shd w:fill="163658"/>
          </w:tcPr>
          <w:p>
            <w:pPr>
              <w:spacing w:after="40" w:before="40"/>
            </w:pPr>
            <w:r/>
            <w:r>
              <w:rPr>
                <w:rFonts w:ascii="Arial" w:hAnsi="Arial"/>
                <w:b/>
                <w:color w:val="FFFFFF"/>
                <w:sz w:val="17"/>
              </w:rPr>
              <w:t>NIS2</w:t>
            </w:r>
          </w:p>
        </w:tc>
      </w:tr>
      <w:tr>
        <w:trPr>
          <w:cantSplit/>
        </w:trPr>
        <w:tc>
          <w:tcPr>
            <w:tcW w:type="dxa" w:w="1928"/>
          </w:tcPr>
          <w:p>
            <w:pPr>
              <w:spacing w:after="40" w:before="40"/>
            </w:pPr>
            <w:r/>
            <w:r>
              <w:rPr>
                <w:rFonts w:ascii="Arial" w:hAnsi="Arial"/>
                <w:i w:val="0"/>
                <w:color w:val="202B38"/>
                <w:sz w:val="17"/>
              </w:rPr>
              <w:t>Ce qui est protégé</w:t>
            </w:r>
          </w:p>
        </w:tc>
        <w:tc>
          <w:tcPr>
            <w:tcW w:type="dxa" w:w="3628"/>
          </w:tcPr>
          <w:p>
            <w:pPr>
              <w:spacing w:after="40" w:before="40"/>
            </w:pPr>
            <w:r/>
            <w:r>
              <w:rPr>
                <w:rFonts w:ascii="Arial" w:hAnsi="Arial"/>
                <w:i w:val="0"/>
                <w:color w:val="202B38"/>
                <w:sz w:val="17"/>
              </w:rPr>
              <w:t>Les droits et libertés des personnes</w:t>
            </w:r>
          </w:p>
        </w:tc>
        <w:tc>
          <w:tcPr>
            <w:tcW w:type="dxa" w:w="4082"/>
          </w:tcPr>
          <w:p>
            <w:pPr>
              <w:spacing w:after="40" w:before="40"/>
            </w:pPr>
            <w:r/>
            <w:r>
              <w:rPr>
                <w:rFonts w:ascii="Arial" w:hAnsi="Arial"/>
                <w:i w:val="0"/>
                <w:color w:val="202B38"/>
                <w:sz w:val="17"/>
              </w:rPr>
              <w:t>La continuité des services et la résilience des systèmes</w:t>
            </w:r>
          </w:p>
        </w:tc>
      </w:tr>
      <w:tr>
        <w:trPr>
          <w:cantSplit/>
        </w:trPr>
        <w:tc>
          <w:tcPr>
            <w:tcW w:type="dxa" w:w="1928"/>
            <w:shd w:fill="F4F7FA"/>
          </w:tcPr>
          <w:p>
            <w:pPr>
              <w:spacing w:after="40" w:before="40"/>
            </w:pPr>
            <w:r/>
            <w:r>
              <w:rPr>
                <w:rFonts w:ascii="Arial" w:hAnsi="Arial"/>
                <w:i w:val="0"/>
                <w:color w:val="202B38"/>
                <w:sz w:val="17"/>
              </w:rPr>
              <w:t>Déclencheur de notification</w:t>
            </w:r>
          </w:p>
        </w:tc>
        <w:tc>
          <w:tcPr>
            <w:tcW w:type="dxa" w:w="3628"/>
            <w:shd w:fill="F4F7FA"/>
          </w:tcPr>
          <w:p>
            <w:pPr>
              <w:spacing w:after="40" w:before="40"/>
            </w:pPr>
            <w:r/>
            <w:r>
              <w:rPr>
                <w:rFonts w:ascii="Arial" w:hAnsi="Arial"/>
                <w:i w:val="0"/>
                <w:color w:val="202B38"/>
                <w:sz w:val="17"/>
              </w:rPr>
              <w:t>Violation de données personnelles (confidentialité, intégrité, disponibilité)</w:t>
            </w:r>
          </w:p>
        </w:tc>
        <w:tc>
          <w:tcPr>
            <w:tcW w:type="dxa" w:w="4082"/>
            <w:shd w:fill="F4F7FA"/>
          </w:tcPr>
          <w:p>
            <w:pPr>
              <w:spacing w:after="40" w:before="40"/>
            </w:pPr>
            <w:r/>
            <w:r>
              <w:rPr>
                <w:rFonts w:ascii="Arial" w:hAnsi="Arial"/>
                <w:i w:val="0"/>
                <w:color w:val="202B38"/>
                <w:sz w:val="17"/>
              </w:rPr>
              <w:t>Incident ayant un impact significatif sur la fourniture du service</w:t>
            </w:r>
          </w:p>
        </w:tc>
      </w:tr>
      <w:tr>
        <w:trPr>
          <w:cantSplit/>
        </w:trPr>
        <w:tc>
          <w:tcPr>
            <w:tcW w:type="dxa" w:w="1928"/>
          </w:tcPr>
          <w:p>
            <w:pPr>
              <w:spacing w:after="40" w:before="40"/>
            </w:pPr>
            <w:r/>
            <w:r>
              <w:rPr>
                <w:rFonts w:ascii="Arial" w:hAnsi="Arial"/>
                <w:i w:val="0"/>
                <w:color w:val="202B38"/>
                <w:sz w:val="17"/>
              </w:rPr>
              <w:t>Destinataire</w:t>
            </w:r>
          </w:p>
        </w:tc>
        <w:tc>
          <w:tcPr>
            <w:tcW w:type="dxa" w:w="3628"/>
          </w:tcPr>
          <w:p>
            <w:pPr>
              <w:spacing w:after="40" w:before="40"/>
            </w:pPr>
            <w:r/>
            <w:r>
              <w:rPr>
                <w:rFonts w:ascii="Arial" w:hAnsi="Arial"/>
                <w:i w:val="0"/>
                <w:color w:val="202B38"/>
                <w:sz w:val="17"/>
              </w:rPr>
              <w:t>Autorité de protection des données, et les personnes si risque élevé</w:t>
            </w:r>
          </w:p>
        </w:tc>
        <w:tc>
          <w:tcPr>
            <w:tcW w:type="dxa" w:w="4082"/>
          </w:tcPr>
          <w:p>
            <w:pPr>
              <w:spacing w:after="40" w:before="40"/>
            </w:pPr>
            <w:r/>
            <w:r>
              <w:rPr>
                <w:rFonts w:ascii="Arial" w:hAnsi="Arial"/>
                <w:i w:val="0"/>
                <w:color w:val="202B38"/>
                <w:sz w:val="17"/>
              </w:rPr>
              <w:t>Centre pour la Cybersécurité Belgique</w:t>
            </w:r>
          </w:p>
        </w:tc>
      </w:tr>
      <w:tr>
        <w:trPr>
          <w:cantSplit/>
        </w:trPr>
        <w:tc>
          <w:tcPr>
            <w:tcW w:type="dxa" w:w="1928"/>
            <w:shd w:fill="F4F7FA"/>
          </w:tcPr>
          <w:p>
            <w:pPr>
              <w:spacing w:after="40" w:before="40"/>
            </w:pPr>
            <w:r/>
            <w:r>
              <w:rPr>
                <w:rFonts w:ascii="Arial" w:hAnsi="Arial"/>
                <w:i w:val="0"/>
                <w:color w:val="202B38"/>
                <w:sz w:val="17"/>
              </w:rPr>
              <w:t>Délai</w:t>
            </w:r>
          </w:p>
        </w:tc>
        <w:tc>
          <w:tcPr>
            <w:tcW w:type="dxa" w:w="3628"/>
            <w:shd w:fill="F4F7FA"/>
          </w:tcPr>
          <w:p>
            <w:pPr>
              <w:spacing w:after="40" w:before="40"/>
            </w:pPr>
            <w:r/>
            <w:r>
              <w:rPr>
                <w:rFonts w:ascii="Arial" w:hAnsi="Arial"/>
                <w:i w:val="0"/>
                <w:color w:val="202B38"/>
                <w:sz w:val="17"/>
              </w:rPr>
              <w:t>72 heures</w:t>
            </w:r>
          </w:p>
        </w:tc>
        <w:tc>
          <w:tcPr>
            <w:tcW w:type="dxa" w:w="4082"/>
            <w:shd w:fill="F4F7FA"/>
          </w:tcPr>
          <w:p>
            <w:pPr>
              <w:spacing w:after="40" w:before="40"/>
            </w:pPr>
            <w:r/>
            <w:r>
              <w:rPr>
                <w:rFonts w:ascii="Arial" w:hAnsi="Arial"/>
                <w:i w:val="0"/>
                <w:color w:val="202B38"/>
                <w:sz w:val="17"/>
              </w:rPr>
              <w:t>Alerte précoce sous 24 heures, puis notification sous 72 heures</w:t>
            </w:r>
          </w:p>
        </w:tc>
      </w:tr>
      <w:tr>
        <w:trPr>
          <w:cantSplit/>
        </w:trPr>
        <w:tc>
          <w:tcPr>
            <w:tcW w:type="dxa" w:w="1928"/>
          </w:tcPr>
          <w:p>
            <w:pPr>
              <w:spacing w:after="40" w:before="40"/>
            </w:pPr>
            <w:r/>
            <w:r>
              <w:rPr>
                <w:rFonts w:ascii="Arial" w:hAnsi="Arial"/>
                <w:i w:val="0"/>
                <w:color w:val="202B38"/>
                <w:sz w:val="17"/>
              </w:rPr>
              <w:t>Qui est concerné</w:t>
            </w:r>
          </w:p>
        </w:tc>
        <w:tc>
          <w:tcPr>
            <w:tcW w:type="dxa" w:w="3628"/>
          </w:tcPr>
          <w:p>
            <w:pPr>
              <w:spacing w:after="40" w:before="40"/>
            </w:pPr>
            <w:r/>
            <w:r>
              <w:rPr>
                <w:rFonts w:ascii="Arial" w:hAnsi="Arial"/>
                <w:i w:val="0"/>
                <w:color w:val="202B38"/>
                <w:sz w:val="17"/>
              </w:rPr>
              <w:t>Tout responsable ou sous-traitant</w:t>
            </w:r>
          </w:p>
        </w:tc>
        <w:tc>
          <w:tcPr>
            <w:tcW w:type="dxa" w:w="4082"/>
          </w:tcPr>
          <w:p>
            <w:pPr>
              <w:spacing w:after="40" w:before="40"/>
            </w:pPr>
            <w:r/>
            <w:r>
              <w:rPr>
                <w:rFonts w:ascii="Arial" w:hAnsi="Arial"/>
                <w:i w:val="0"/>
                <w:color w:val="202B38"/>
                <w:sz w:val="17"/>
              </w:rPr>
              <w:t>Les entités des secteurs visés dépassant les seuils</w:t>
            </w:r>
          </w:p>
        </w:tc>
      </w:tr>
    </w:tbl>
    <w:p>
      <w:pPr>
        <w:spacing w:after="0"/>
      </w:pPr>
    </w:p>
    <w:p>
      <w:pPr>
        <w:spacing w:after="80"/>
        <w:jc w:val="both"/>
      </w:pPr>
      <w:r>
        <w:rPr>
          <w:rFonts w:ascii="Arial" w:hAnsi="Arial"/>
          <w:i w:val="0"/>
          <w:color w:val="202B38"/>
          <w:sz w:val="21"/>
        </w:rPr>
        <w:t xml:space="preserve">Un même incident — une intrusion conduisant au vol de la base — peut relever des deux régimes et appeler </w:t>
      </w:r>
      <w:r>
        <w:rPr>
          <w:rFonts w:ascii="Arial" w:hAnsi="Arial"/>
          <w:b/>
          <w:i w:val="0"/>
          <w:color w:val="202B38"/>
          <w:sz w:val="21"/>
        </w:rPr>
        <w:t>deux notifications distinctes</w:t>
      </w:r>
      <w:r>
        <w:rPr>
          <w:rFonts w:ascii="Arial" w:hAnsi="Arial"/>
          <w:i w:val="0"/>
          <w:color w:val="202B38"/>
          <w:sz w:val="21"/>
        </w:rPr>
        <w:t>, à deux autorités différentes et selon deux calendriers. La procédure de gestion des violations proposée au livrable 16 devra donc prévoir les deux branches.</w:t>
      </w:r>
    </w:p>
    <w:p>
      <w:pPr>
        <w:keepNext/>
        <w:spacing w:before="300" w:after="100"/>
        <w:pBdr>
          <w:bottom w:val="single" w:sz="4" w:space="3" w:color="C8D4E2"/>
        </w:pBdr>
      </w:pPr>
      <w:r>
        <w:rPr>
          <w:rFonts w:ascii="Arial" w:hAnsi="Arial"/>
          <w:b/>
          <w:color w:val="163658"/>
          <w:sz w:val="32"/>
        </w:rPr>
        <w:t>5. Cookies et stockage sur l'équipement terminal</w:t>
      </w:r>
    </w:p>
    <w:p>
      <w:pPr>
        <w:keepNext/>
        <w:spacing w:before="180" w:after="60"/>
      </w:pPr>
      <w:r>
        <w:rPr>
          <w:rFonts w:ascii="Arial" w:hAnsi="Arial"/>
          <w:b/>
          <w:color w:val="163658"/>
          <w:sz w:val="25"/>
        </w:rPr>
        <w:t>5.1 Cadre applicable</w:t>
      </w:r>
    </w:p>
    <w:p>
      <w:pPr>
        <w:spacing w:after="80"/>
        <w:jc w:val="both"/>
      </w:pPr>
      <w:r>
        <w:rPr>
          <w:rFonts w:ascii="Arial" w:hAnsi="Arial"/>
          <w:i w:val="0"/>
          <w:color w:val="202B38"/>
          <w:sz w:val="21"/>
        </w:rPr>
        <w:t>La matière est régie par l'</w:t>
      </w:r>
      <w:r>
        <w:rPr>
          <w:rFonts w:ascii="Arial" w:hAnsi="Arial"/>
          <w:b/>
          <w:i w:val="0"/>
          <w:color w:val="202B38"/>
          <w:sz w:val="21"/>
        </w:rPr>
        <w:t>article 129 de la loi du 13 juin 2005</w:t>
      </w:r>
      <w:r>
        <w:rPr>
          <w:rFonts w:ascii="Arial" w:hAnsi="Arial"/>
          <w:i w:val="0"/>
          <w:color w:val="202B38"/>
          <w:sz w:val="21"/>
        </w:rPr>
        <w:t xml:space="preserve"> relative aux communications électroniques, qui transpose la directive « vie privée et communications électroniques ». La règle est plus large que ce que le terme « cookies » laisse entendre : elle vise </w:t>
      </w:r>
      <w:r>
        <w:rPr>
          <w:rFonts w:ascii="Arial" w:hAnsi="Arial"/>
          <w:b/>
          <w:i w:val="0"/>
          <w:color w:val="202B38"/>
          <w:sz w:val="21"/>
        </w:rPr>
        <w:t>tout stockage d'informations, ou tout accès à des informations déjà stockées, dans l'équipement terminal</w:t>
      </w:r>
      <w:r>
        <w:rPr>
          <w:rFonts w:ascii="Arial" w:hAnsi="Arial"/>
          <w:i w:val="0"/>
          <w:color w:val="202B38"/>
          <w:sz w:val="21"/>
        </w:rPr>
        <w:t xml:space="preserve"> de l'utilisateur. Le stockage local d'un navigateur y est donc soumis au même titre qu'un cookie.</w:t>
      </w:r>
    </w:p>
    <w:p>
      <w:pPr>
        <w:spacing w:after="80"/>
        <w:jc w:val="both"/>
      </w:pPr>
      <w:r>
        <w:rPr>
          <w:rFonts w:ascii="Arial" w:hAnsi="Arial"/>
          <w:i w:val="0"/>
          <w:color w:val="202B38"/>
          <w:sz w:val="21"/>
        </w:rPr>
        <w:t xml:space="preserve">Le principe est le consentement préalable, assorti d'une exception : les dispositifs </w:t>
      </w:r>
      <w:r>
        <w:rPr>
          <w:rFonts w:ascii="Arial" w:hAnsi="Arial"/>
          <w:b/>
          <w:i w:val="0"/>
          <w:color w:val="202B38"/>
          <w:sz w:val="21"/>
        </w:rPr>
        <w:t>strictement nécessaires</w:t>
      </w:r>
      <w:r>
        <w:rPr>
          <w:rFonts w:ascii="Arial" w:hAnsi="Arial"/>
          <w:i w:val="0"/>
          <w:color w:val="202B38"/>
          <w:sz w:val="21"/>
        </w:rPr>
        <w:t xml:space="preserve"> à la fourniture d'un service expressément demandé par l'utilisateur en sont dispensés. Depuis le RGPD, le consentement requis doit être libre, spécifique, éclairé et univoque — ce qui exclut les cases pré-cochées et la poursuite de la navigation comme forme d'acceptation.</w:t>
      </w:r>
    </w:p>
    <w:p>
      <w:pPr>
        <w:keepNext/>
        <w:spacing w:before="180" w:after="60"/>
      </w:pPr>
      <w:r>
        <w:rPr>
          <w:rFonts w:ascii="Arial" w:hAnsi="Arial"/>
          <w:b/>
          <w:color w:val="163658"/>
          <w:sz w:val="25"/>
        </w:rPr>
        <w:t>5.2 Analyse de TrackIT</w:t>
      </w:r>
    </w:p>
    <w:p>
      <w:pPr>
        <w:keepNext/>
        <w:spacing w:before="160" w:after="40"/>
        <w:shd w:val="clear" w:fill="EAF4EC"/>
        <w:pBdr>
          <w:top w:val="single" w:sz="6" w:space="6" w:color="237A53"/>
          <w:left w:val="single" w:sz="6" w:space="8" w:color="237A53"/>
          <w:bottom w:val="nil" w:sz="6" w:space="6" w:color="237A53"/>
          <w:right w:val="single" w:sz="6" w:space="8" w:color="237A53"/>
        </w:pBdr>
        <w:ind w:left="142" w:right="142"/>
      </w:pPr>
      <w:r>
        <w:rPr>
          <w:rFonts w:ascii="Arial" w:hAnsi="Arial"/>
          <w:b/>
          <w:color w:val="237A53"/>
          <w:sz w:val="20"/>
        </w:rPr>
        <w:t>Situation favorable</w:t>
      </w:r>
    </w:p>
    <w:p>
      <w:pPr>
        <w:spacing w:after="120"/>
        <w:ind w:left="142" w:right="142"/>
        <w:jc w:val="both"/>
        <w:shd w:val="clear" w:fill="EAF4EC"/>
        <w:pBdr>
          <w:top w:val="nil" w:sz="6" w:space="6" w:color="237A53"/>
          <w:left w:val="single" w:sz="6" w:space="8" w:color="237A53"/>
          <w:bottom w:val="single" w:sz="6" w:space="6" w:color="237A53"/>
          <w:right w:val="single" w:sz="6" w:space="8" w:color="237A53"/>
        </w:pBdr>
      </w:pPr>
      <w:r>
        <w:rPr>
          <w:rFonts w:ascii="Arial" w:hAnsi="Arial"/>
          <w:i w:val="0"/>
          <w:color w:val="202B38"/>
          <w:sz w:val="19"/>
        </w:rPr>
        <w:t xml:space="preserve">L'examen du code établit que l'application </w:t>
      </w:r>
      <w:r>
        <w:rPr>
          <w:rFonts w:ascii="Arial" w:hAnsi="Arial"/>
          <w:b/>
          <w:i w:val="0"/>
          <w:color w:val="202B38"/>
          <w:sz w:val="19"/>
        </w:rPr>
        <w:t>ne dépose aucun cookie</w:t>
      </w:r>
      <w:r>
        <w:rPr>
          <w:rFonts w:ascii="Arial" w:hAnsi="Arial"/>
          <w:i w:val="0"/>
          <w:color w:val="202B38"/>
          <w:sz w:val="19"/>
        </w:rPr>
        <w:t xml:space="preserve"> et n'intègre </w:t>
      </w:r>
      <w:r>
        <w:rPr>
          <w:rFonts w:ascii="Arial" w:hAnsi="Arial"/>
          <w:b/>
          <w:i w:val="0"/>
          <w:color w:val="202B38"/>
          <w:sz w:val="19"/>
        </w:rPr>
        <w:t>aucun traceur publicitaire ni outil de mesure d'audience</w:t>
      </w:r>
      <w:r>
        <w:rPr>
          <w:rFonts w:ascii="Arial" w:hAnsi="Arial"/>
          <w:i w:val="0"/>
          <w:color w:val="202B38"/>
          <w:sz w:val="19"/>
        </w:rPr>
        <w:t>. Le seul stockage sur le poste de l'utilisateur est le jeton de session, placé dans le stockage local ou de session du navigateur selon que l'option « Se souvenir de moi » est cochée, ainsi que quelques préférences d'affichage.</w:t>
      </w:r>
    </w:p>
    <w:p>
      <w:pPr>
        <w:spacing w:after="0"/>
      </w:pPr>
    </w:p>
    <w:p>
      <w:pPr>
        <w:spacing w:after="80"/>
        <w:jc w:val="both"/>
      </w:pPr>
      <w:r>
        <w:rPr>
          <w:rFonts w:ascii="Arial" w:hAnsi="Arial"/>
          <w:i w:val="0"/>
          <w:color w:val="202B38"/>
          <w:sz w:val="21"/>
        </w:rPr>
        <w:t xml:space="preserve">Ce stockage relève de l'exception : il est strictement nécessaire au maintien de la session d'un service que l'utilisateur a expressément demandé en se connectant. </w:t>
      </w:r>
      <w:r>
        <w:rPr>
          <w:rFonts w:ascii="Arial" w:hAnsi="Arial"/>
          <w:b/>
          <w:i w:val="0"/>
          <w:color w:val="202B38"/>
          <w:sz w:val="21"/>
        </w:rPr>
        <w:t>Aucun bandeau de consentement n'est donc requis en l'état.</w:t>
      </w:r>
      <w:r>
        <w:rPr>
          <w:rFonts w:ascii="Arial" w:hAnsi="Arial"/>
          <w:i w:val="0"/>
          <w:color w:val="202B38"/>
          <w:sz w:val="21"/>
        </w:rPr>
        <w:t xml:space="preserve"> Une information demeure néanmoins due au titre de la transparence : la politique de confidentialité devra décrire ce stockage, sa finalité et sa durée.</w:t>
      </w:r>
    </w:p>
    <w:p>
      <w:pPr>
        <w:keepNext/>
        <w:spacing w:before="180" w:after="60"/>
      </w:pPr>
      <w:r>
        <w:rPr>
          <w:rFonts w:ascii="Arial" w:hAnsi="Arial"/>
          <w:b/>
          <w:color w:val="163658"/>
          <w:sz w:val="25"/>
        </w:rPr>
        <w:t>5.3 Conséquence directe du livrable 17</w:t>
      </w:r>
    </w:p>
    <w:p>
      <w:pPr>
        <w:spacing w:after="80"/>
        <w:jc w:val="both"/>
      </w:pPr>
      <w:r>
        <w:rPr>
          <w:rFonts w:ascii="Arial" w:hAnsi="Arial"/>
          <w:i w:val="0"/>
          <w:color w:val="202B38"/>
          <w:sz w:val="21"/>
        </w:rPr>
        <w:t xml:space="preserve">Ce constat favorable est fragile, et il faut le signaler explicitement car les deux livrables se contrediraient sans cette précision. La stratégie de référencement propose d'installer un </w:t>
      </w:r>
      <w:r>
        <w:rPr>
          <w:rFonts w:ascii="Arial" w:hAnsi="Arial"/>
          <w:b/>
          <w:i w:val="0"/>
          <w:color w:val="202B38"/>
          <w:sz w:val="21"/>
        </w:rPr>
        <w:t>outil d'analyse d'audience</w:t>
      </w:r>
      <w:r>
        <w:rPr>
          <w:rFonts w:ascii="Arial" w:hAnsi="Arial"/>
          <w:i w:val="0"/>
          <w:color w:val="202B38"/>
          <w:sz w:val="21"/>
        </w:rPr>
        <w:t xml:space="preserve"> pour mesurer le taux de conversion. Un tel outil dépose des identifiants qui ne sont pas strictement nécessaires au service demandé.</w:t>
      </w:r>
    </w:p>
    <w:p>
      <w:pPr>
        <w:spacing w:after="80"/>
        <w:jc w:val="both"/>
      </w:pPr>
      <w:r>
        <w:rPr>
          <w:rFonts w:ascii="Arial" w:hAnsi="Arial"/>
          <w:i w:val="0"/>
          <w:color w:val="202B38"/>
          <w:sz w:val="21"/>
        </w:rPr>
        <w:t xml:space="preserve">Le jour où cette mesure sera mise en œuvre, l'exception cessera de s'appliquer et l'application devra se doter d'un </w:t>
      </w:r>
      <w:r>
        <w:rPr>
          <w:rFonts w:ascii="Arial" w:hAnsi="Arial"/>
          <w:b/>
          <w:i w:val="0"/>
          <w:color w:val="202B38"/>
          <w:sz w:val="21"/>
        </w:rPr>
        <w:t>bandeau de consentement conforme</w:t>
      </w:r>
      <w:r>
        <w:rPr>
          <w:rFonts w:ascii="Arial" w:hAnsi="Arial"/>
          <w:i w:val="0"/>
          <w:color w:val="202B38"/>
          <w:sz w:val="21"/>
        </w:rPr>
        <w:t xml:space="preserve"> : refus aussi simple que l'acceptation, aucun dépôt avant le choix, conservation de la preuve du consentement et possibilité de le retirer. Deux voies permettent de l'éviter : retenir une solution de mesure d'audience exemptée de consentement, configurée sans suivi individuel, ou se limiter à l'analyse des journaux du serveur.</w:t>
      </w:r>
    </w:p>
    <w:p>
      <w:pPr>
        <w:keepNext/>
        <w:spacing w:before="300" w:after="100"/>
        <w:pBdr>
          <w:bottom w:val="single" w:sz="4" w:space="3" w:color="C8D4E2"/>
        </w:pBdr>
      </w:pPr>
      <w:r>
        <w:rPr>
          <w:rFonts w:ascii="Arial" w:hAnsi="Arial"/>
          <w:b/>
          <w:color w:val="163658"/>
          <w:sz w:val="32"/>
        </w:rPr>
        <w:t>6. Droit d'auteur et propriété intellectuelle</w:t>
      </w:r>
    </w:p>
    <w:p>
      <w:pPr>
        <w:keepNext/>
        <w:spacing w:before="180" w:after="60"/>
      </w:pPr>
      <w:r>
        <w:rPr>
          <w:rFonts w:ascii="Arial" w:hAnsi="Arial"/>
          <w:b/>
          <w:color w:val="163658"/>
          <w:sz w:val="25"/>
        </w:rPr>
        <w:t>6.1 Protection du logiciel</w:t>
      </w:r>
    </w:p>
    <w:p>
      <w:pPr>
        <w:spacing w:after="80"/>
        <w:jc w:val="both"/>
      </w:pPr>
      <w:r>
        <w:rPr>
          <w:rFonts w:ascii="Arial" w:hAnsi="Arial"/>
          <w:i w:val="0"/>
          <w:color w:val="202B38"/>
          <w:sz w:val="21"/>
        </w:rPr>
        <w:t xml:space="preserve">En droit belge, les programmes d'ordinateur sont protégés par le droit d'auteur, au titre du </w:t>
      </w:r>
      <w:r>
        <w:rPr>
          <w:rFonts w:ascii="Arial" w:hAnsi="Arial"/>
          <w:b/>
          <w:i w:val="0"/>
          <w:color w:val="202B38"/>
          <w:sz w:val="21"/>
        </w:rPr>
        <w:t>Livre XI du Code de droit économique</w:t>
      </w:r>
      <w:r>
        <w:rPr>
          <w:rFonts w:ascii="Arial" w:hAnsi="Arial"/>
          <w:i w:val="0"/>
          <w:color w:val="202B38"/>
          <w:sz w:val="21"/>
        </w:rPr>
        <w:t xml:space="preserve">. La protection naît du seul fait de la création, sans dépôt ni formalité, dès lors que l'œuvre est </w:t>
      </w:r>
      <w:r>
        <w:rPr>
          <w:rFonts w:ascii="Arial" w:hAnsi="Arial"/>
          <w:b/>
          <w:i w:val="0"/>
          <w:color w:val="202B38"/>
          <w:sz w:val="21"/>
        </w:rPr>
        <w:t>originale</w:t>
      </w:r>
      <w:r>
        <w:rPr>
          <w:rFonts w:ascii="Arial" w:hAnsi="Arial"/>
          <w:i w:val="0"/>
          <w:color w:val="202B38"/>
          <w:sz w:val="21"/>
        </w:rPr>
        <w:t xml:space="preserve"> — c'est-à-dire qu'elle porte l'empreinte de la personnalité de son auteur. Elle couvre le code source et le code objet, ainsi que le matériel de conception préparatoire, mais </w:t>
      </w:r>
      <w:r>
        <w:rPr>
          <w:rFonts w:ascii="Arial" w:hAnsi="Arial"/>
          <w:b/>
          <w:i w:val="0"/>
          <w:color w:val="202B38"/>
          <w:sz w:val="21"/>
        </w:rPr>
        <w:t>non les idées ni les principes</w:t>
      </w:r>
      <w:r>
        <w:rPr>
          <w:rFonts w:ascii="Arial" w:hAnsi="Arial"/>
          <w:i w:val="0"/>
          <w:color w:val="202B38"/>
          <w:sz w:val="21"/>
        </w:rPr>
        <w:t xml:space="preserve"> qui sont à la base du logiciel : un concurrent reste libre de développer un outil de gestion d'anomalies, pourvu qu'il n'en reprenne pas le code.</w:t>
      </w:r>
    </w:p>
    <w:p>
      <w:pPr>
        <w:spacing w:after="80"/>
        <w:jc w:val="both"/>
      </w:pPr>
      <w:r>
        <w:rPr>
          <w:rFonts w:ascii="Arial" w:hAnsi="Arial"/>
          <w:i w:val="0"/>
          <w:color w:val="202B38"/>
          <w:sz w:val="21"/>
        </w:rPr>
        <w:t>Les droits patrimoniaux durent soixante-dix ans après la mort de l'auteur. S'y ajoutent des droits moraux, dont le droit à la paternité, qui ne se cèdent pas.</w:t>
      </w:r>
    </w:p>
    <w:p>
      <w:pPr>
        <w:keepNext/>
        <w:spacing w:before="180" w:after="60"/>
      </w:pPr>
      <w:r>
        <w:rPr>
          <w:rFonts w:ascii="Arial" w:hAnsi="Arial"/>
          <w:b/>
          <w:color w:val="163658"/>
          <w:sz w:val="25"/>
        </w:rPr>
        <w:t>6.2 Titularité des droits sur TrackIT</w:t>
      </w:r>
    </w:p>
    <w:p>
      <w:pPr>
        <w:spacing w:after="80"/>
        <w:jc w:val="both"/>
      </w:pPr>
      <w:r>
        <w:rPr>
          <w:rFonts w:ascii="Arial" w:hAnsi="Arial"/>
          <w:i w:val="0"/>
          <w:color w:val="202B38"/>
          <w:sz w:val="21"/>
        </w:rPr>
        <w:t xml:space="preserve">Le principe est que l'auteur est la </w:t>
      </w:r>
      <w:r>
        <w:rPr>
          <w:rFonts w:ascii="Arial" w:hAnsi="Arial"/>
          <w:b/>
          <w:i w:val="0"/>
          <w:color w:val="202B38"/>
          <w:sz w:val="21"/>
        </w:rPr>
        <w:t>personne physique</w:t>
      </w:r>
      <w:r>
        <w:rPr>
          <w:rFonts w:ascii="Arial" w:hAnsi="Arial"/>
          <w:i w:val="0"/>
          <w:color w:val="202B38"/>
          <w:sz w:val="21"/>
        </w:rPr>
        <w:t xml:space="preserve"> qui a créé l'œuvre. Le Code prévoit une exception pour les logiciels créés par un salarié dans l'exercice de ses fonctions : les droits patrimoniaux sont alors présumés cédés à l'employeur, sauf convention contraire. Cette exception ne s'applique pas de plein droit à un travail d'étudiant, qui n'est pas lié par un contrat de travail.</w:t>
      </w:r>
    </w:p>
    <w:p>
      <w:pPr>
        <w:spacing w:after="80"/>
        <w:jc w:val="both"/>
      </w:pPr>
      <w:r>
        <w:rPr>
          <w:rFonts w:ascii="Arial" w:hAnsi="Arial"/>
          <w:i w:val="0"/>
          <w:color w:val="202B38"/>
          <w:sz w:val="21"/>
        </w:rPr>
        <w:t xml:space="preserve">En conséquence, </w:t>
      </w:r>
      <w:r>
        <w:rPr>
          <w:rFonts w:ascii="Arial" w:hAnsi="Arial"/>
          <w:b/>
          <w:i w:val="0"/>
          <w:color w:val="202B38"/>
          <w:sz w:val="21"/>
        </w:rPr>
        <w:t>l'étudiant demeure en principe titulaire des droits sur TrackIT</w:t>
      </w:r>
      <w:r>
        <w:rPr>
          <w:rFonts w:ascii="Arial" w:hAnsi="Arial"/>
          <w:i w:val="0"/>
          <w:color w:val="202B38"/>
          <w:sz w:val="21"/>
        </w:rPr>
        <w:t xml:space="preserve">, sous réserve du règlement des études de l'établissement, que certaines institutions assortissent de clauses de cession ou de licence. Il convient de vérifier ce règlement avant toute publication ou exploitation, et de clarifier la situation si plusieurs personnes ont contribué au code — la </w:t>
      </w:r>
      <w:r>
        <w:rPr>
          <w:rFonts w:ascii="Arial" w:hAnsi="Arial"/>
          <w:b/>
          <w:i w:val="0"/>
          <w:color w:val="202B38"/>
          <w:sz w:val="21"/>
        </w:rPr>
        <w:t>cotitularité</w:t>
      </w:r>
      <w:r>
        <w:rPr>
          <w:rFonts w:ascii="Arial" w:hAnsi="Arial"/>
          <w:i w:val="0"/>
          <w:color w:val="202B38"/>
          <w:sz w:val="21"/>
        </w:rPr>
        <w:t xml:space="preserve"> née d'une création conjointe impose l'accord de tous pour l'exploitation.</w:t>
      </w:r>
    </w:p>
    <w:p>
      <w:pPr>
        <w:keepNext/>
        <w:spacing w:before="180" w:after="60"/>
      </w:pPr>
      <w:r>
        <w:rPr>
          <w:rFonts w:ascii="Arial" w:hAnsi="Arial"/>
          <w:b/>
          <w:color w:val="163658"/>
          <w:sz w:val="25"/>
        </w:rPr>
        <w:t>6.3 Licences des composants tiers</w:t>
      </w:r>
    </w:p>
    <w:p>
      <w:pPr>
        <w:spacing w:after="80"/>
        <w:jc w:val="both"/>
      </w:pPr>
      <w:r>
        <w:rPr>
          <w:rFonts w:ascii="Arial" w:hAnsi="Arial"/>
          <w:i w:val="0"/>
          <w:color w:val="202B38"/>
          <w:sz w:val="21"/>
        </w:rPr>
        <w:t>TrackIT n'est pas écrit à partir de rien : il intègre une dizaine de bibliothèques tierces, chacune soumise à sa propre licence. Le respect de ces licences est une obligation juridique, pas une convenance. Les licences ci-dessous ont été relevées dans les fichiers de description des bibliothèques effectivement utilisées.</w:t>
      </w:r>
    </w:p>
    <w:tbl>
      <w:tblPr>
        <w:tblStyle w:val="TableGrid"/>
        <w:tblW w:type="auto" w:w="0"/>
        <w:jc w:val="center"/>
        <w:tblLayout w:type="fixed"/>
        <w:tblLook w:firstColumn="1" w:firstRow="1" w:lastColumn="0" w:lastRow="0" w:noHBand="0" w:noVBand="1" w:val="04A0"/>
        <w:tblLayout w:type="fixed"/>
      </w:tblPr>
      <w:tblGrid>
        <w:gridCol w:w="2608"/>
        <w:gridCol w:w="2381"/>
        <w:gridCol w:w="1587"/>
        <w:gridCol w:w="3061"/>
      </w:tblGrid>
      <w:tr>
        <w:trPr>
          <w:tblHeader w:val="true"/>
          <w:cantSplit/>
        </w:trPr>
        <w:tc>
          <w:tcPr>
            <w:tcW w:type="dxa" w:w="2608"/>
            <w:shd w:fill="163658"/>
          </w:tcPr>
          <w:p>
            <w:pPr>
              <w:spacing w:after="40" w:before="40"/>
            </w:pPr>
            <w:r/>
            <w:r>
              <w:rPr>
                <w:rFonts w:ascii="Arial" w:hAnsi="Arial"/>
                <w:b/>
                <w:color w:val="FFFFFF"/>
                <w:sz w:val="17"/>
              </w:rPr>
              <w:t>Composant</w:t>
            </w:r>
          </w:p>
        </w:tc>
        <w:tc>
          <w:tcPr>
            <w:tcW w:type="dxa" w:w="2381"/>
            <w:shd w:fill="163658"/>
          </w:tcPr>
          <w:p>
            <w:pPr>
              <w:spacing w:after="40" w:before="40"/>
            </w:pPr>
            <w:r/>
            <w:r>
              <w:rPr>
                <w:rFonts w:ascii="Arial" w:hAnsi="Arial"/>
                <w:b/>
                <w:color w:val="FFFFFF"/>
                <w:sz w:val="17"/>
              </w:rPr>
              <w:t>Licence</w:t>
            </w:r>
          </w:p>
        </w:tc>
        <w:tc>
          <w:tcPr>
            <w:tcW w:type="dxa" w:w="1587"/>
            <w:shd w:fill="163658"/>
          </w:tcPr>
          <w:p>
            <w:pPr>
              <w:spacing w:after="40" w:before="40"/>
            </w:pPr>
            <w:r/>
            <w:r>
              <w:rPr>
                <w:rFonts w:ascii="Arial" w:hAnsi="Arial"/>
                <w:b/>
                <w:color w:val="FFFFFF"/>
                <w:sz w:val="17"/>
              </w:rPr>
              <w:t>Nature</w:t>
            </w:r>
          </w:p>
        </w:tc>
        <w:tc>
          <w:tcPr>
            <w:tcW w:type="dxa" w:w="3061"/>
            <w:shd w:fill="163658"/>
          </w:tcPr>
          <w:p>
            <w:pPr>
              <w:spacing w:after="40" w:before="40"/>
            </w:pPr>
            <w:r/>
            <w:r>
              <w:rPr>
                <w:rFonts w:ascii="Arial" w:hAnsi="Arial"/>
                <w:b/>
                <w:color w:val="FFFFFF"/>
                <w:sz w:val="17"/>
              </w:rPr>
              <w:t>Contrainte principale</w:t>
            </w:r>
          </w:p>
        </w:tc>
      </w:tr>
      <w:tr>
        <w:trPr>
          <w:cantSplit/>
        </w:trPr>
        <w:tc>
          <w:tcPr>
            <w:tcW w:type="dxa" w:w="2608"/>
          </w:tcPr>
          <w:p>
            <w:pPr>
              <w:spacing w:after="40" w:before="40"/>
            </w:pPr>
            <w:r/>
            <w:r>
              <w:rPr>
                <w:rFonts w:ascii="Arial" w:hAnsi="Arial"/>
                <w:i w:val="0"/>
                <w:color w:val="202B38"/>
                <w:sz w:val="17"/>
              </w:rPr>
              <w:t>Spring Boot (web, data, security, validation)</w:t>
            </w:r>
          </w:p>
        </w:tc>
        <w:tc>
          <w:tcPr>
            <w:tcW w:type="dxa" w:w="2381"/>
          </w:tcPr>
          <w:p>
            <w:pPr>
              <w:spacing w:after="40" w:before="40"/>
            </w:pPr>
            <w:r/>
            <w:r>
              <w:rPr>
                <w:rFonts w:ascii="Arial" w:hAnsi="Arial"/>
                <w:i w:val="0"/>
                <w:color w:val="202B38"/>
                <w:sz w:val="17"/>
              </w:rPr>
              <w:t>Apache 2.0</w:t>
            </w:r>
          </w:p>
        </w:tc>
        <w:tc>
          <w:tcPr>
            <w:tcW w:type="dxa" w:w="1587"/>
          </w:tcPr>
          <w:p>
            <w:pPr>
              <w:spacing w:after="40" w:before="40"/>
            </w:pPr>
            <w:r/>
            <w:r>
              <w:rPr>
                <w:rFonts w:ascii="Arial" w:hAnsi="Arial"/>
                <w:i w:val="0"/>
                <w:color w:val="202B38"/>
                <w:sz w:val="17"/>
              </w:rPr>
              <w:t>Permissive</w:t>
            </w:r>
          </w:p>
        </w:tc>
        <w:tc>
          <w:tcPr>
            <w:tcW w:type="dxa" w:w="3061"/>
          </w:tcPr>
          <w:p>
            <w:pPr>
              <w:spacing w:after="40" w:before="40"/>
            </w:pPr>
            <w:r/>
            <w:r>
              <w:rPr>
                <w:rFonts w:ascii="Arial" w:hAnsi="Arial"/>
                <w:i w:val="0"/>
                <w:color w:val="202B38"/>
                <w:sz w:val="17"/>
              </w:rPr>
              <w:t>Conserver les mentions de copyright et le texte de licence</w:t>
            </w:r>
          </w:p>
        </w:tc>
      </w:tr>
      <w:tr>
        <w:trPr>
          <w:cantSplit/>
        </w:trPr>
        <w:tc>
          <w:tcPr>
            <w:tcW w:type="dxa" w:w="2608"/>
            <w:shd w:fill="F4F7FA"/>
          </w:tcPr>
          <w:p>
            <w:pPr>
              <w:spacing w:after="40" w:before="40"/>
            </w:pPr>
            <w:r/>
            <w:r>
              <w:rPr>
                <w:rFonts w:ascii="Arial" w:hAnsi="Arial"/>
                <w:i w:val="0"/>
                <w:color w:val="202B38"/>
                <w:sz w:val="17"/>
              </w:rPr>
              <w:t>Flyway</w:t>
            </w:r>
          </w:p>
        </w:tc>
        <w:tc>
          <w:tcPr>
            <w:tcW w:type="dxa" w:w="2381"/>
            <w:shd w:fill="F4F7FA"/>
          </w:tcPr>
          <w:p>
            <w:pPr>
              <w:spacing w:after="40" w:before="40"/>
            </w:pPr>
            <w:r/>
            <w:r>
              <w:rPr>
                <w:rFonts w:ascii="Arial" w:hAnsi="Arial"/>
                <w:i w:val="0"/>
                <w:color w:val="202B38"/>
                <w:sz w:val="17"/>
              </w:rPr>
              <w:t>Apache 2.0</w:t>
            </w:r>
          </w:p>
        </w:tc>
        <w:tc>
          <w:tcPr>
            <w:tcW w:type="dxa" w:w="1587"/>
            <w:shd w:fill="F4F7FA"/>
          </w:tcPr>
          <w:p>
            <w:pPr>
              <w:spacing w:after="40" w:before="40"/>
            </w:pPr>
            <w:r/>
            <w:r>
              <w:rPr>
                <w:rFonts w:ascii="Arial" w:hAnsi="Arial"/>
                <w:i w:val="0"/>
                <w:color w:val="202B38"/>
                <w:sz w:val="17"/>
              </w:rPr>
              <w:t>Permissive</w:t>
            </w:r>
          </w:p>
        </w:tc>
        <w:tc>
          <w:tcPr>
            <w:tcW w:type="dxa" w:w="3061"/>
            <w:shd w:fill="F4F7FA"/>
          </w:tcPr>
          <w:p>
            <w:pPr>
              <w:spacing w:after="40" w:before="40"/>
            </w:pPr>
            <w:r/>
            <w:r>
              <w:rPr>
                <w:rFonts w:ascii="Arial" w:hAnsi="Arial"/>
                <w:i w:val="0"/>
                <w:color w:val="202B38"/>
                <w:sz w:val="17"/>
              </w:rPr>
              <w:t>Idem</w:t>
            </w:r>
          </w:p>
        </w:tc>
      </w:tr>
      <w:tr>
        <w:trPr>
          <w:cantSplit/>
        </w:trPr>
        <w:tc>
          <w:tcPr>
            <w:tcW w:type="dxa" w:w="2608"/>
          </w:tcPr>
          <w:p>
            <w:pPr>
              <w:spacing w:after="40" w:before="40"/>
            </w:pPr>
            <w:r/>
            <w:r>
              <w:rPr>
                <w:rFonts w:ascii="Arial" w:hAnsi="Arial"/>
                <w:i w:val="0"/>
                <w:color w:val="202B38"/>
                <w:sz w:val="17"/>
              </w:rPr>
              <w:t>springdoc-openapi</w:t>
            </w:r>
          </w:p>
        </w:tc>
        <w:tc>
          <w:tcPr>
            <w:tcW w:type="dxa" w:w="2381"/>
          </w:tcPr>
          <w:p>
            <w:pPr>
              <w:spacing w:after="40" w:before="40"/>
            </w:pPr>
            <w:r/>
            <w:r>
              <w:rPr>
                <w:rFonts w:ascii="Arial" w:hAnsi="Arial"/>
                <w:i w:val="0"/>
                <w:color w:val="202B38"/>
                <w:sz w:val="17"/>
              </w:rPr>
              <w:t>Apache 2.0</w:t>
            </w:r>
          </w:p>
        </w:tc>
        <w:tc>
          <w:tcPr>
            <w:tcW w:type="dxa" w:w="1587"/>
          </w:tcPr>
          <w:p>
            <w:pPr>
              <w:spacing w:after="40" w:before="40"/>
            </w:pPr>
            <w:r/>
            <w:r>
              <w:rPr>
                <w:rFonts w:ascii="Arial" w:hAnsi="Arial"/>
                <w:i w:val="0"/>
                <w:color w:val="202B38"/>
                <w:sz w:val="17"/>
              </w:rPr>
              <w:t>Permissive</w:t>
            </w:r>
          </w:p>
        </w:tc>
        <w:tc>
          <w:tcPr>
            <w:tcW w:type="dxa" w:w="3061"/>
          </w:tcPr>
          <w:p>
            <w:pPr>
              <w:spacing w:after="40" w:before="40"/>
            </w:pPr>
            <w:r/>
            <w:r>
              <w:rPr>
                <w:rFonts w:ascii="Arial" w:hAnsi="Arial"/>
                <w:i w:val="0"/>
                <w:color w:val="202B38"/>
                <w:sz w:val="17"/>
              </w:rPr>
              <w:t>Idem</w:t>
            </w:r>
          </w:p>
        </w:tc>
      </w:tr>
      <w:tr>
        <w:trPr>
          <w:cantSplit/>
        </w:trPr>
        <w:tc>
          <w:tcPr>
            <w:tcW w:type="dxa" w:w="2608"/>
            <w:shd w:fill="F4F7FA"/>
          </w:tcPr>
          <w:p>
            <w:pPr>
              <w:spacing w:after="40" w:before="40"/>
            </w:pPr>
            <w:r/>
            <w:r>
              <w:rPr>
                <w:rFonts w:ascii="Arial" w:hAnsi="Arial"/>
                <w:i w:val="0"/>
                <w:color w:val="202B38"/>
                <w:sz w:val="17"/>
              </w:rPr>
              <w:t>jjwt (JSON Web Token)</w:t>
            </w:r>
          </w:p>
        </w:tc>
        <w:tc>
          <w:tcPr>
            <w:tcW w:type="dxa" w:w="2381"/>
            <w:shd w:fill="F4F7FA"/>
          </w:tcPr>
          <w:p>
            <w:pPr>
              <w:spacing w:after="40" w:before="40"/>
            </w:pPr>
            <w:r/>
            <w:r>
              <w:rPr>
                <w:rFonts w:ascii="Arial" w:hAnsi="Arial"/>
                <w:i w:val="0"/>
                <w:color w:val="202B38"/>
                <w:sz w:val="17"/>
              </w:rPr>
              <w:t>Apache 2.0</w:t>
            </w:r>
          </w:p>
        </w:tc>
        <w:tc>
          <w:tcPr>
            <w:tcW w:type="dxa" w:w="1587"/>
            <w:shd w:fill="F4F7FA"/>
          </w:tcPr>
          <w:p>
            <w:pPr>
              <w:spacing w:after="40" w:before="40"/>
            </w:pPr>
            <w:r/>
            <w:r>
              <w:rPr>
                <w:rFonts w:ascii="Arial" w:hAnsi="Arial"/>
                <w:i w:val="0"/>
                <w:color w:val="202B38"/>
                <w:sz w:val="17"/>
              </w:rPr>
              <w:t>Permissive</w:t>
            </w:r>
          </w:p>
        </w:tc>
        <w:tc>
          <w:tcPr>
            <w:tcW w:type="dxa" w:w="3061"/>
            <w:shd w:fill="F4F7FA"/>
          </w:tcPr>
          <w:p>
            <w:pPr>
              <w:spacing w:after="40" w:before="40"/>
            </w:pPr>
            <w:r/>
            <w:r>
              <w:rPr>
                <w:rFonts w:ascii="Arial" w:hAnsi="Arial"/>
                <w:i w:val="0"/>
                <w:color w:val="202B38"/>
                <w:sz w:val="17"/>
              </w:rPr>
              <w:t>Idem</w:t>
            </w:r>
          </w:p>
        </w:tc>
      </w:tr>
      <w:tr>
        <w:trPr>
          <w:cantSplit/>
        </w:trPr>
        <w:tc>
          <w:tcPr>
            <w:tcW w:type="dxa" w:w="2608"/>
          </w:tcPr>
          <w:p>
            <w:pPr>
              <w:spacing w:after="40" w:before="40"/>
            </w:pPr>
            <w:r/>
            <w:r>
              <w:rPr>
                <w:rFonts w:ascii="Arial" w:hAnsi="Arial"/>
                <w:i w:val="0"/>
                <w:color w:val="202B38"/>
                <w:sz w:val="17"/>
              </w:rPr>
              <w:t>Apache POI</w:t>
            </w:r>
          </w:p>
        </w:tc>
        <w:tc>
          <w:tcPr>
            <w:tcW w:type="dxa" w:w="2381"/>
          </w:tcPr>
          <w:p>
            <w:pPr>
              <w:spacing w:after="40" w:before="40"/>
            </w:pPr>
            <w:r/>
            <w:r>
              <w:rPr>
                <w:rFonts w:ascii="Arial" w:hAnsi="Arial"/>
                <w:i w:val="0"/>
                <w:color w:val="202B38"/>
                <w:sz w:val="17"/>
              </w:rPr>
              <w:t>Apache 2.0</w:t>
            </w:r>
          </w:p>
        </w:tc>
        <w:tc>
          <w:tcPr>
            <w:tcW w:type="dxa" w:w="1587"/>
          </w:tcPr>
          <w:p>
            <w:pPr>
              <w:spacing w:after="40" w:before="40"/>
            </w:pPr>
            <w:r/>
            <w:r>
              <w:rPr>
                <w:rFonts w:ascii="Arial" w:hAnsi="Arial"/>
                <w:i w:val="0"/>
                <w:color w:val="202B38"/>
                <w:sz w:val="17"/>
              </w:rPr>
              <w:t>Permissive</w:t>
            </w:r>
          </w:p>
        </w:tc>
        <w:tc>
          <w:tcPr>
            <w:tcW w:type="dxa" w:w="3061"/>
          </w:tcPr>
          <w:p>
            <w:pPr>
              <w:spacing w:after="40" w:before="40"/>
            </w:pPr>
            <w:r/>
            <w:r>
              <w:rPr>
                <w:rFonts w:ascii="Arial" w:hAnsi="Arial"/>
                <w:i w:val="0"/>
                <w:color w:val="202B38"/>
                <w:sz w:val="17"/>
              </w:rPr>
              <w:t>Idem</w:t>
            </w:r>
          </w:p>
        </w:tc>
      </w:tr>
      <w:tr>
        <w:trPr>
          <w:cantSplit/>
        </w:trPr>
        <w:tc>
          <w:tcPr>
            <w:tcW w:type="dxa" w:w="2608"/>
            <w:shd w:fill="F4F7FA"/>
          </w:tcPr>
          <w:p>
            <w:pPr>
              <w:spacing w:after="40" w:before="40"/>
            </w:pPr>
            <w:r/>
            <w:r>
              <w:rPr>
                <w:rFonts w:ascii="Arial" w:hAnsi="Arial"/>
                <w:i w:val="0"/>
                <w:color w:val="202B38"/>
                <w:sz w:val="17"/>
              </w:rPr>
              <w:t>stripe-java</w:t>
            </w:r>
          </w:p>
        </w:tc>
        <w:tc>
          <w:tcPr>
            <w:tcW w:type="dxa" w:w="2381"/>
            <w:shd w:fill="F4F7FA"/>
          </w:tcPr>
          <w:p>
            <w:pPr>
              <w:spacing w:after="40" w:before="40"/>
            </w:pPr>
            <w:r/>
            <w:r>
              <w:rPr>
                <w:rFonts w:ascii="Arial" w:hAnsi="Arial"/>
                <w:i w:val="0"/>
                <w:color w:val="202B38"/>
                <w:sz w:val="17"/>
              </w:rPr>
              <w:t>MIT</w:t>
            </w:r>
          </w:p>
        </w:tc>
        <w:tc>
          <w:tcPr>
            <w:tcW w:type="dxa" w:w="1587"/>
            <w:shd w:fill="F4F7FA"/>
          </w:tcPr>
          <w:p>
            <w:pPr>
              <w:spacing w:after="40" w:before="40"/>
            </w:pPr>
            <w:r/>
            <w:r>
              <w:rPr>
                <w:rFonts w:ascii="Arial" w:hAnsi="Arial"/>
                <w:i w:val="0"/>
                <w:color w:val="202B38"/>
                <w:sz w:val="17"/>
              </w:rPr>
              <w:t>Permissive</w:t>
            </w:r>
          </w:p>
        </w:tc>
        <w:tc>
          <w:tcPr>
            <w:tcW w:type="dxa" w:w="3061"/>
            <w:shd w:fill="F4F7FA"/>
          </w:tcPr>
          <w:p>
            <w:pPr>
              <w:spacing w:after="40" w:before="40"/>
            </w:pPr>
            <w:r/>
            <w:r>
              <w:rPr>
                <w:rFonts w:ascii="Arial" w:hAnsi="Arial"/>
                <w:i w:val="0"/>
                <w:color w:val="202B38"/>
                <w:sz w:val="17"/>
              </w:rPr>
              <w:t>Conserver la mention de copyright</w:t>
            </w:r>
          </w:p>
        </w:tc>
      </w:tr>
      <w:tr>
        <w:trPr>
          <w:cantSplit/>
        </w:trPr>
        <w:tc>
          <w:tcPr>
            <w:tcW w:type="dxa" w:w="2608"/>
          </w:tcPr>
          <w:p>
            <w:pPr>
              <w:spacing w:after="40" w:before="40"/>
            </w:pPr>
            <w:r/>
            <w:r>
              <w:rPr>
                <w:rFonts w:ascii="Arial" w:hAnsi="Arial"/>
                <w:i w:val="0"/>
                <w:color w:val="202B38"/>
                <w:sz w:val="17"/>
              </w:rPr>
              <w:t>Lombok</w:t>
            </w:r>
          </w:p>
        </w:tc>
        <w:tc>
          <w:tcPr>
            <w:tcW w:type="dxa" w:w="2381"/>
          </w:tcPr>
          <w:p>
            <w:pPr>
              <w:spacing w:after="40" w:before="40"/>
            </w:pPr>
            <w:r/>
            <w:r>
              <w:rPr>
                <w:rFonts w:ascii="Arial" w:hAnsi="Arial"/>
                <w:i w:val="0"/>
                <w:color w:val="202B38"/>
                <w:sz w:val="17"/>
              </w:rPr>
              <w:t>MIT</w:t>
            </w:r>
          </w:p>
        </w:tc>
        <w:tc>
          <w:tcPr>
            <w:tcW w:type="dxa" w:w="1587"/>
          </w:tcPr>
          <w:p>
            <w:pPr>
              <w:spacing w:after="40" w:before="40"/>
            </w:pPr>
            <w:r/>
            <w:r>
              <w:rPr>
                <w:rFonts w:ascii="Arial" w:hAnsi="Arial"/>
                <w:i w:val="0"/>
                <w:color w:val="202B38"/>
                <w:sz w:val="17"/>
              </w:rPr>
              <w:t>Permissive</w:t>
            </w:r>
          </w:p>
        </w:tc>
        <w:tc>
          <w:tcPr>
            <w:tcW w:type="dxa" w:w="3061"/>
          </w:tcPr>
          <w:p>
            <w:pPr>
              <w:spacing w:after="40" w:before="40"/>
            </w:pPr>
            <w:r/>
            <w:r>
              <w:rPr>
                <w:rFonts w:ascii="Arial" w:hAnsi="Arial"/>
                <w:i w:val="0"/>
                <w:color w:val="202B38"/>
                <w:sz w:val="17"/>
              </w:rPr>
              <w:t>Idem</w:t>
            </w:r>
          </w:p>
        </w:tc>
      </w:tr>
      <w:tr>
        <w:trPr>
          <w:cantSplit/>
        </w:trPr>
        <w:tc>
          <w:tcPr>
            <w:tcW w:type="dxa" w:w="2608"/>
            <w:shd w:fill="F4F7FA"/>
          </w:tcPr>
          <w:p>
            <w:pPr>
              <w:spacing w:after="40" w:before="40"/>
            </w:pPr>
            <w:r/>
            <w:r>
              <w:rPr>
                <w:rFonts w:ascii="Arial" w:hAnsi="Arial"/>
                <w:i w:val="0"/>
                <w:color w:val="202B38"/>
                <w:sz w:val="17"/>
              </w:rPr>
              <w:t>OpenPDF</w:t>
            </w:r>
          </w:p>
        </w:tc>
        <w:tc>
          <w:tcPr>
            <w:tcW w:type="dxa" w:w="2381"/>
            <w:shd w:fill="F4F7FA"/>
          </w:tcPr>
          <w:p>
            <w:pPr>
              <w:spacing w:after="40" w:before="40"/>
            </w:pPr>
            <w:r/>
            <w:r>
              <w:rPr>
                <w:rFonts w:ascii="Arial" w:hAnsi="Arial"/>
                <w:i w:val="0"/>
                <w:color w:val="202B38"/>
                <w:sz w:val="17"/>
              </w:rPr>
              <w:t>LGPL 2.1 et MPL (double licence)</w:t>
            </w:r>
          </w:p>
        </w:tc>
        <w:tc>
          <w:tcPr>
            <w:tcW w:type="dxa" w:w="1587"/>
            <w:shd w:fill="F4F7FA"/>
          </w:tcPr>
          <w:p>
            <w:pPr>
              <w:spacing w:after="40" w:before="40"/>
            </w:pPr>
            <w:r/>
            <w:r>
              <w:rPr>
                <w:rFonts w:ascii="Arial" w:hAnsi="Arial"/>
                <w:i w:val="0"/>
                <w:color w:val="202B38"/>
                <w:sz w:val="17"/>
              </w:rPr>
              <w:t>Faiblement copyleft</w:t>
            </w:r>
          </w:p>
        </w:tc>
        <w:tc>
          <w:tcPr>
            <w:tcW w:type="dxa" w:w="3061"/>
            <w:shd w:fill="F4F7FA"/>
          </w:tcPr>
          <w:p>
            <w:pPr>
              <w:spacing w:after="40" w:before="40"/>
            </w:pPr>
            <w:r/>
            <w:r>
              <w:rPr>
                <w:rFonts w:ascii="Arial" w:hAnsi="Arial"/>
                <w:i w:val="0"/>
                <w:color w:val="202B38"/>
                <w:sz w:val="17"/>
              </w:rPr>
              <w:t>Utilisation par simple liaison admise ; modifications de la bibliothèque à republier</w:t>
            </w:r>
          </w:p>
        </w:tc>
      </w:tr>
      <w:tr>
        <w:trPr>
          <w:cantSplit/>
        </w:trPr>
        <w:tc>
          <w:tcPr>
            <w:tcW w:type="dxa" w:w="2608"/>
          </w:tcPr>
          <w:p>
            <w:pPr>
              <w:spacing w:after="40" w:before="40"/>
            </w:pPr>
            <w:r/>
            <w:r>
              <w:rPr>
                <w:rFonts w:ascii="Arial" w:hAnsi="Arial"/>
                <w:i w:val="0"/>
                <w:color w:val="202B38"/>
                <w:sz w:val="17"/>
              </w:rPr>
              <w:t>H2 (tests uniquement)</w:t>
            </w:r>
          </w:p>
        </w:tc>
        <w:tc>
          <w:tcPr>
            <w:tcW w:type="dxa" w:w="2381"/>
          </w:tcPr>
          <w:p>
            <w:pPr>
              <w:spacing w:after="40" w:before="40"/>
            </w:pPr>
            <w:r/>
            <w:r>
              <w:rPr>
                <w:rFonts w:ascii="Arial" w:hAnsi="Arial"/>
                <w:i w:val="0"/>
                <w:color w:val="202B38"/>
                <w:sz w:val="17"/>
              </w:rPr>
              <w:t>MPL 2.0 et EPL 1.0</w:t>
            </w:r>
          </w:p>
        </w:tc>
        <w:tc>
          <w:tcPr>
            <w:tcW w:type="dxa" w:w="1587"/>
          </w:tcPr>
          <w:p>
            <w:pPr>
              <w:spacing w:after="40" w:before="40"/>
            </w:pPr>
            <w:r/>
            <w:r>
              <w:rPr>
                <w:rFonts w:ascii="Arial" w:hAnsi="Arial"/>
                <w:i w:val="0"/>
                <w:color w:val="202B38"/>
                <w:sz w:val="17"/>
              </w:rPr>
              <w:t>Faiblement copyleft</w:t>
            </w:r>
          </w:p>
        </w:tc>
        <w:tc>
          <w:tcPr>
            <w:tcW w:type="dxa" w:w="3061"/>
          </w:tcPr>
          <w:p>
            <w:pPr>
              <w:spacing w:after="40" w:before="40"/>
            </w:pPr>
            <w:r/>
            <w:r>
              <w:rPr>
                <w:rFonts w:ascii="Arial" w:hAnsi="Arial"/>
                <w:i w:val="0"/>
                <w:color w:val="202B38"/>
                <w:sz w:val="17"/>
              </w:rPr>
              <w:t>Portée limitée : dépendance de test, non distribuée</w:t>
            </w:r>
          </w:p>
        </w:tc>
      </w:tr>
      <w:tr>
        <w:trPr>
          <w:cantSplit/>
        </w:trPr>
        <w:tc>
          <w:tcPr>
            <w:tcW w:type="dxa" w:w="2608"/>
            <w:shd w:fill="F4F7FA"/>
          </w:tcPr>
          <w:p>
            <w:pPr>
              <w:spacing w:after="40" w:before="40"/>
            </w:pPr>
            <w:r/>
            <w:r>
              <w:rPr>
                <w:rFonts w:ascii="Arial" w:hAnsi="Arial"/>
                <w:i w:val="0"/>
                <w:color w:val="202B38"/>
                <w:sz w:val="17"/>
              </w:rPr>
              <w:t>mysql-connector-j</w:t>
            </w:r>
          </w:p>
        </w:tc>
        <w:tc>
          <w:tcPr>
            <w:tcW w:type="dxa" w:w="2381"/>
            <w:shd w:fill="F4F7FA"/>
          </w:tcPr>
          <w:p>
            <w:pPr>
              <w:spacing w:after="40" w:before="40"/>
            </w:pPr>
            <w:r/>
            <w:r>
              <w:rPr>
                <w:rFonts w:ascii="Arial" w:hAnsi="Arial"/>
                <w:b/>
                <w:i w:val="0"/>
                <w:color w:val="202B38"/>
                <w:sz w:val="17"/>
              </w:rPr>
              <w:t>GPL v2 avec Universal FOSS Exception v1.0</w:t>
            </w:r>
          </w:p>
        </w:tc>
        <w:tc>
          <w:tcPr>
            <w:tcW w:type="dxa" w:w="1587"/>
            <w:shd w:fill="F4F7FA"/>
          </w:tcPr>
          <w:p>
            <w:pPr>
              <w:spacing w:after="40" w:before="40"/>
            </w:pPr>
            <w:r/>
            <w:r>
              <w:rPr>
                <w:rFonts w:ascii="Arial" w:hAnsi="Arial"/>
                <w:i w:val="0"/>
                <w:color w:val="202B38"/>
                <w:sz w:val="17"/>
              </w:rPr>
              <w:t>Fortement copyleft</w:t>
            </w:r>
          </w:p>
        </w:tc>
        <w:tc>
          <w:tcPr>
            <w:tcW w:type="dxa" w:w="3061"/>
            <w:shd w:fill="F4F7FA"/>
          </w:tcPr>
          <w:p>
            <w:pPr>
              <w:spacing w:after="40" w:before="40"/>
            </w:pPr>
            <w:r/>
            <w:r>
              <w:rPr>
                <w:rFonts w:ascii="Arial" w:hAnsi="Arial"/>
                <w:b/>
                <w:i w:val="0"/>
                <w:color w:val="202B38"/>
                <w:sz w:val="17"/>
              </w:rPr>
              <w:t>Voir le point 6.4</w:t>
            </w:r>
          </w:p>
        </w:tc>
      </w:tr>
    </w:tbl>
    <w:p>
      <w:pPr>
        <w:spacing w:after="0"/>
      </w:pPr>
    </w:p>
    <w:p>
      <w:pPr>
        <w:keepNext/>
        <w:spacing w:before="180" w:after="60"/>
      </w:pPr>
      <w:r>
        <w:rPr>
          <w:rFonts w:ascii="Arial" w:hAnsi="Arial"/>
          <w:b/>
          <w:color w:val="163658"/>
          <w:sz w:val="25"/>
        </w:rPr>
        <w:t>6.4 Point d'attention : le connecteur MySQL</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Incompatibilité potentielle avec une diffusion propriétaire</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 xml:space="preserve">Le pilote </w:t>
      </w:r>
      <w:r>
        <w:rPr>
          <w:rFonts w:ascii="Courier New" w:hAnsi="Courier New"/>
          <w:color w:val="1769AA"/>
          <w:sz w:val="16"/>
        </w:rPr>
        <w:t>mysql-connector-j</w:t>
      </w:r>
      <w:r>
        <w:rPr>
          <w:rFonts w:ascii="Arial" w:hAnsi="Arial"/>
          <w:i w:val="0"/>
          <w:color w:val="202B38"/>
          <w:sz w:val="19"/>
        </w:rPr>
        <w:t xml:space="preserve">, qui assure la connexion à la base de données, est distribué sous </w:t>
      </w:r>
      <w:r>
        <w:rPr>
          <w:rFonts w:ascii="Arial" w:hAnsi="Arial"/>
          <w:b/>
          <w:i w:val="0"/>
          <w:color w:val="202B38"/>
          <w:sz w:val="19"/>
        </w:rPr>
        <w:t>licence GPL version 2</w:t>
      </w:r>
      <w:r>
        <w:rPr>
          <w:rFonts w:ascii="Arial" w:hAnsi="Arial"/>
          <w:i w:val="0"/>
          <w:color w:val="202B38"/>
          <w:sz w:val="19"/>
        </w:rPr>
        <w:t xml:space="preserve">, assortie d'une exception dite « Universal FOSS Exception ». Cette exception autorise la liaison depuis une application distribuée sous une licence libre figurant sur la liste approuvée. En revanche, une distribution de TrackIT sous licence </w:t>
      </w:r>
      <w:r>
        <w:rPr>
          <w:rFonts w:ascii="Arial" w:hAnsi="Arial"/>
          <w:b/>
          <w:i w:val="0"/>
          <w:color w:val="202B38"/>
          <w:sz w:val="19"/>
        </w:rPr>
        <w:t>propriétaire</w:t>
      </w:r>
      <w:r>
        <w:rPr>
          <w:rFonts w:ascii="Arial" w:hAnsi="Arial"/>
          <w:i w:val="0"/>
          <w:color w:val="202B38"/>
          <w:sz w:val="19"/>
        </w:rPr>
        <w:t xml:space="preserve"> ne bénéficierait pas de l'exception : il faudrait alors soit acquérir une licence commerciale auprès d'Oracle, soit publier TrackIT sous une licence libre compatible, soit remplacer le pilote par une alternative permissive — MariaDB Connector/J, sous LGPL, est la voie la plus simple.</w:t>
      </w:r>
    </w:p>
    <w:p>
      <w:pPr>
        <w:spacing w:after="0"/>
      </w:pPr>
    </w:p>
    <w:p>
      <w:pPr>
        <w:spacing w:after="80"/>
        <w:jc w:val="both"/>
      </w:pPr>
      <w:r>
        <w:rPr>
          <w:rFonts w:ascii="Arial" w:hAnsi="Arial"/>
          <w:i w:val="0"/>
          <w:color w:val="202B38"/>
          <w:sz w:val="21"/>
        </w:rPr>
        <w:t>La question ne se pose pas dans le cadre académique actuel, puisqu'il n'y a pas de distribution au sens de la GPL. Elle se poserait dès la première livraison du logiciel à un tiers, et c'est le genre de point qu'il est beaucoup moins coûteux d'arbitrer avant qu'après.</w:t>
      </w:r>
    </w:p>
    <w:p>
      <w:pPr>
        <w:keepNext/>
        <w:spacing w:before="180" w:after="60"/>
      </w:pPr>
      <w:r>
        <w:rPr>
          <w:rFonts w:ascii="Arial" w:hAnsi="Arial"/>
          <w:b/>
          <w:color w:val="163658"/>
          <w:sz w:val="25"/>
        </w:rPr>
        <w:t>6.5 Licence du projet lui-même</w:t>
      </w:r>
    </w:p>
    <w:p>
      <w:pPr>
        <w:keepNext/>
        <w:spacing w:before="160" w:after="40"/>
        <w:shd w:val="clear" w:fill="FDECEE"/>
        <w:pBdr>
          <w:top w:val="single" w:sz="6" w:space="6" w:color="B42332"/>
          <w:left w:val="single" w:sz="6" w:space="8" w:color="B42332"/>
          <w:bottom w:val="nil" w:sz="6" w:space="6" w:color="B42332"/>
          <w:right w:val="single" w:sz="6" w:space="8" w:color="B42332"/>
        </w:pBdr>
        <w:ind w:left="142" w:right="142"/>
      </w:pPr>
      <w:r>
        <w:rPr>
          <w:rFonts w:ascii="Arial" w:hAnsi="Arial"/>
          <w:b/>
          <w:color w:val="B42332"/>
          <w:sz w:val="20"/>
        </w:rPr>
        <w:t>Écart — aucune licence déclarée</w:t>
      </w:r>
    </w:p>
    <w:p>
      <w:pPr>
        <w:spacing w:after="120"/>
        <w:ind w:left="142" w:right="142"/>
        <w:jc w:val="both"/>
        <w:shd w:val="clear" w:fill="FDECEE"/>
        <w:pBdr>
          <w:top w:val="nil" w:sz="6" w:space="6" w:color="B42332"/>
          <w:left w:val="single" w:sz="6" w:space="8" w:color="B42332"/>
          <w:bottom w:val="single" w:sz="6" w:space="6" w:color="B42332"/>
          <w:right w:val="single" w:sz="6" w:space="8" w:color="B42332"/>
        </w:pBdr>
      </w:pPr>
      <w:r>
        <w:rPr>
          <w:rFonts w:ascii="Arial" w:hAnsi="Arial"/>
          <w:i w:val="0"/>
          <w:color w:val="202B38"/>
          <w:sz w:val="19"/>
        </w:rPr>
        <w:t xml:space="preserve">Le projet ne comporte aucun fichier de licence. En l'absence de mention, le droit d'auteur s'applique par défaut dans toute sa rigueur : </w:t>
      </w:r>
      <w:r>
        <w:rPr>
          <w:rFonts w:ascii="Arial" w:hAnsi="Arial"/>
          <w:b/>
          <w:i w:val="0"/>
          <w:color w:val="202B38"/>
          <w:sz w:val="19"/>
        </w:rPr>
        <w:t>tous droits réservés</w:t>
      </w:r>
      <w:r>
        <w:rPr>
          <w:rFonts w:ascii="Arial" w:hAnsi="Arial"/>
          <w:i w:val="0"/>
          <w:color w:val="202B38"/>
          <w:sz w:val="19"/>
        </w:rPr>
        <w:t xml:space="preserve">. Personne n'est autorisé à copier, modifier ou réutiliser le code, même publié sur un dépôt accessible. Publier le code sans licence crée donc une situation ambiguë : le code est visible mais juridiquement inutilisable. </w:t>
      </w:r>
      <w:r>
        <w:rPr>
          <w:rFonts w:ascii="Arial" w:hAnsi="Arial"/>
          <w:b/>
          <w:i w:val="0"/>
          <w:color w:val="202B38"/>
          <w:sz w:val="19"/>
        </w:rPr>
        <w:t>Mesure proposée :</w:t>
      </w:r>
      <w:r>
        <w:rPr>
          <w:rFonts w:ascii="Arial" w:hAnsi="Arial"/>
          <w:i w:val="0"/>
          <w:color w:val="202B38"/>
          <w:sz w:val="19"/>
        </w:rPr>
        <w:t xml:space="preserve"> ajouter un fichier </w:t>
      </w:r>
      <w:r>
        <w:rPr>
          <w:rFonts w:ascii="Courier New" w:hAnsi="Courier New"/>
          <w:color w:val="1769AA"/>
          <w:sz w:val="16"/>
        </w:rPr>
        <w:t>LICENSE</w:t>
      </w:r>
      <w:r>
        <w:rPr>
          <w:rFonts w:ascii="Arial" w:hAnsi="Arial"/>
          <w:i w:val="0"/>
          <w:color w:val="202B38"/>
          <w:sz w:val="19"/>
        </w:rPr>
        <w:t xml:space="preserve"> exprimant l'intention — une licence permissive de type MIT pour autoriser la réutilisation, ou une mention explicite de tous droits réservés pour une simple consultation.</w:t>
      </w:r>
    </w:p>
    <w:p>
      <w:pPr>
        <w:spacing w:after="0"/>
      </w:pPr>
    </w:p>
    <w:p>
      <w:pPr>
        <w:spacing w:after="80"/>
        <w:jc w:val="both"/>
      </w:pPr>
      <w:r>
        <w:rPr>
          <w:rFonts w:ascii="Arial" w:hAnsi="Arial"/>
          <w:i w:val="0"/>
          <w:color w:val="202B38"/>
          <w:sz w:val="21"/>
        </w:rPr>
        <w:t>Un second fichier mérite d'accompagner le premier : un relevé des composants tiers et de leurs licences, qui satisfait l'obligation de conserver les mentions de copyright imposée par les licences Apache et MIT.</w:t>
      </w:r>
    </w:p>
    <w:p>
      <w:pPr>
        <w:keepNext/>
        <w:spacing w:before="300" w:after="100"/>
        <w:pBdr>
          <w:bottom w:val="single" w:sz="4" w:space="3" w:color="C8D4E2"/>
        </w:pBdr>
      </w:pPr>
      <w:r>
        <w:rPr>
          <w:rFonts w:ascii="Arial" w:hAnsi="Arial"/>
          <w:b/>
          <w:color w:val="163658"/>
          <w:sz w:val="32"/>
        </w:rPr>
        <w:t>7. Obligations d'information et commerce électronique</w:t>
      </w:r>
    </w:p>
    <w:p>
      <w:pPr>
        <w:keepNext/>
        <w:spacing w:before="180" w:after="60"/>
      </w:pPr>
      <w:r>
        <w:rPr>
          <w:rFonts w:ascii="Arial" w:hAnsi="Arial"/>
          <w:b/>
          <w:color w:val="163658"/>
          <w:sz w:val="25"/>
        </w:rPr>
        <w:t>7.1 Mentions légales obligatoires</w:t>
      </w:r>
    </w:p>
    <w:p>
      <w:pPr>
        <w:spacing w:after="80"/>
        <w:jc w:val="both"/>
      </w:pPr>
      <w:r>
        <w:rPr>
          <w:rFonts w:ascii="Arial" w:hAnsi="Arial"/>
          <w:i w:val="0"/>
          <w:color w:val="202B38"/>
          <w:sz w:val="21"/>
        </w:rPr>
        <w:t>Le Livre XII du Code de droit économique impose à tout prestataire de services de la société de l'information de rendre accessibles, de manière facile, directe et permanente, un ensemble d'informations d'identification.</w:t>
      </w:r>
    </w:p>
    <w:tbl>
      <w:tblPr>
        <w:tblStyle w:val="TableGrid"/>
        <w:tblW w:type="auto" w:w="0"/>
        <w:jc w:val="center"/>
        <w:tblLayout w:type="fixed"/>
        <w:tblLook w:firstColumn="1" w:firstRow="1" w:lastColumn="0" w:lastRow="0" w:noHBand="0" w:noVBand="1" w:val="04A0"/>
        <w:tblLayout w:type="fixed"/>
      </w:tblPr>
      <w:tblGrid>
        <w:gridCol w:w="4762"/>
        <w:gridCol w:w="4876"/>
      </w:tblGrid>
      <w:tr>
        <w:trPr>
          <w:tblHeader w:val="true"/>
          <w:cantSplit/>
        </w:trPr>
        <w:tc>
          <w:tcPr>
            <w:tcW w:type="dxa" w:w="4762"/>
            <w:shd w:fill="163658"/>
          </w:tcPr>
          <w:p>
            <w:pPr>
              <w:spacing w:after="40" w:before="40"/>
            </w:pPr>
            <w:r/>
            <w:r>
              <w:rPr>
                <w:rFonts w:ascii="Arial" w:hAnsi="Arial"/>
                <w:b/>
                <w:color w:val="FFFFFF"/>
                <w:sz w:val="17"/>
              </w:rPr>
              <w:t>Information exigée</w:t>
            </w:r>
          </w:p>
        </w:tc>
        <w:tc>
          <w:tcPr>
            <w:tcW w:type="dxa" w:w="4876"/>
            <w:shd w:fill="163658"/>
          </w:tcPr>
          <w:p>
            <w:pPr>
              <w:spacing w:after="40" w:before="40"/>
            </w:pPr>
            <w:r/>
            <w:r>
              <w:rPr>
                <w:rFonts w:ascii="Arial" w:hAnsi="Arial"/>
                <w:b/>
                <w:color w:val="FFFFFF"/>
                <w:sz w:val="17"/>
              </w:rPr>
              <w:t>Présente sur le site ?</w:t>
            </w:r>
          </w:p>
        </w:tc>
      </w:tr>
      <w:tr>
        <w:trPr>
          <w:cantSplit/>
        </w:trPr>
        <w:tc>
          <w:tcPr>
            <w:tcW w:type="dxa" w:w="4762"/>
          </w:tcPr>
          <w:p>
            <w:pPr>
              <w:spacing w:after="40" w:before="40"/>
            </w:pPr>
            <w:r/>
            <w:r>
              <w:rPr>
                <w:rFonts w:ascii="Arial" w:hAnsi="Arial"/>
                <w:i w:val="0"/>
                <w:color w:val="202B38"/>
                <w:sz w:val="17"/>
              </w:rPr>
              <w:t>Dénomination ou nom du prestataire</w:t>
            </w:r>
          </w:p>
        </w:tc>
        <w:tc>
          <w:tcPr>
            <w:tcW w:type="dxa" w:w="4876"/>
          </w:tcPr>
          <w:p>
            <w:pPr>
              <w:spacing w:after="40" w:before="40"/>
            </w:pPr>
            <w:r>
              <w:rPr>
                <w:b/>
              </w:rPr>
            </w:r>
            <w:r>
              <w:rPr>
                <w:rFonts w:ascii="Arial" w:hAnsi="Arial"/>
                <w:b/>
                <w:i w:val="0"/>
                <w:color w:val="B42332"/>
                <w:sz w:val="17"/>
              </w:rPr>
              <w:t>Non</w:t>
            </w:r>
          </w:p>
        </w:tc>
      </w:tr>
      <w:tr>
        <w:trPr>
          <w:cantSplit/>
        </w:trPr>
        <w:tc>
          <w:tcPr>
            <w:tcW w:type="dxa" w:w="4762"/>
            <w:shd w:fill="F4F7FA"/>
          </w:tcPr>
          <w:p>
            <w:pPr>
              <w:spacing w:after="40" w:before="40"/>
            </w:pPr>
            <w:r/>
            <w:r>
              <w:rPr>
                <w:rFonts w:ascii="Arial" w:hAnsi="Arial"/>
                <w:i w:val="0"/>
                <w:color w:val="202B38"/>
                <w:sz w:val="17"/>
              </w:rPr>
              <w:t>Adresse géographique d'établissement</w:t>
            </w:r>
          </w:p>
        </w:tc>
        <w:tc>
          <w:tcPr>
            <w:tcW w:type="dxa" w:w="4876"/>
            <w:shd w:fill="F4F7FA"/>
          </w:tcPr>
          <w:p>
            <w:pPr>
              <w:spacing w:after="40" w:before="40"/>
            </w:pPr>
            <w:r>
              <w:rPr>
                <w:b/>
              </w:rPr>
            </w:r>
            <w:r>
              <w:rPr>
                <w:rFonts w:ascii="Arial" w:hAnsi="Arial"/>
                <w:b/>
                <w:i w:val="0"/>
                <w:color w:val="B42332"/>
                <w:sz w:val="17"/>
              </w:rPr>
              <w:t>Non</w:t>
            </w:r>
          </w:p>
        </w:tc>
      </w:tr>
      <w:tr>
        <w:trPr>
          <w:cantSplit/>
        </w:trPr>
        <w:tc>
          <w:tcPr>
            <w:tcW w:type="dxa" w:w="4762"/>
          </w:tcPr>
          <w:p>
            <w:pPr>
              <w:spacing w:after="40" w:before="40"/>
            </w:pPr>
            <w:r/>
            <w:r>
              <w:rPr>
                <w:rFonts w:ascii="Arial" w:hAnsi="Arial"/>
                <w:i w:val="0"/>
                <w:color w:val="202B38"/>
                <w:sz w:val="17"/>
              </w:rPr>
              <w:t>Adresse électronique de contact</w:t>
            </w:r>
          </w:p>
        </w:tc>
        <w:tc>
          <w:tcPr>
            <w:tcW w:type="dxa" w:w="4876"/>
          </w:tcPr>
          <w:p>
            <w:pPr>
              <w:spacing w:after="40" w:before="40"/>
            </w:pPr>
            <w:r>
              <w:rPr>
                <w:b/>
              </w:rPr>
            </w:r>
            <w:r>
              <w:rPr>
                <w:rFonts w:ascii="Arial" w:hAnsi="Arial"/>
                <w:b/>
                <w:i w:val="0"/>
                <w:color w:val="237A53"/>
                <w:sz w:val="17"/>
              </w:rPr>
              <w:t>Oui : une adresse figure en bas de la page d'accueil</w:t>
            </w:r>
          </w:p>
        </w:tc>
      </w:tr>
      <w:tr>
        <w:trPr>
          <w:cantSplit/>
        </w:trPr>
        <w:tc>
          <w:tcPr>
            <w:tcW w:type="dxa" w:w="4762"/>
            <w:shd w:fill="F4F7FA"/>
          </w:tcPr>
          <w:p>
            <w:pPr>
              <w:spacing w:after="40" w:before="40"/>
            </w:pPr>
            <w:r/>
            <w:r>
              <w:rPr>
                <w:rFonts w:ascii="Arial" w:hAnsi="Arial"/>
                <w:i w:val="0"/>
                <w:color w:val="202B38"/>
                <w:sz w:val="17"/>
              </w:rPr>
              <w:t>Numéro d'entreprise (BCE) et numéro de TVA, le cas échéant</w:t>
            </w:r>
          </w:p>
        </w:tc>
        <w:tc>
          <w:tcPr>
            <w:tcW w:type="dxa" w:w="4876"/>
            <w:shd w:fill="F4F7FA"/>
          </w:tcPr>
          <w:p>
            <w:pPr>
              <w:spacing w:after="40" w:before="40"/>
            </w:pPr>
            <w:r>
              <w:rPr>
                <w:b/>
              </w:rPr>
            </w:r>
            <w:r>
              <w:rPr>
                <w:rFonts w:ascii="Arial" w:hAnsi="Arial"/>
                <w:b/>
                <w:i w:val="0"/>
                <w:color w:val="B42332"/>
                <w:sz w:val="17"/>
              </w:rPr>
              <w:t>Non</w:t>
            </w:r>
          </w:p>
        </w:tc>
      </w:tr>
      <w:tr>
        <w:trPr>
          <w:cantSplit/>
        </w:trPr>
        <w:tc>
          <w:tcPr>
            <w:tcW w:type="dxa" w:w="4762"/>
          </w:tcPr>
          <w:p>
            <w:pPr>
              <w:spacing w:after="40" w:before="40"/>
            </w:pPr>
            <w:r/>
            <w:r>
              <w:rPr>
                <w:rFonts w:ascii="Arial" w:hAnsi="Arial"/>
                <w:i w:val="0"/>
                <w:color w:val="202B38"/>
                <w:sz w:val="17"/>
              </w:rPr>
              <w:t>Coordonnées de l'autorité de surveillance, si activité réglementée</w:t>
            </w:r>
          </w:p>
        </w:tc>
        <w:tc>
          <w:tcPr>
            <w:tcW w:type="dxa" w:w="4876"/>
          </w:tcPr>
          <w:p>
            <w:pPr>
              <w:spacing w:after="40" w:before="40"/>
            </w:pPr>
            <w:r/>
            <w:r>
              <w:rPr>
                <w:rFonts w:ascii="Arial" w:hAnsi="Arial"/>
                <w:i w:val="0"/>
                <w:color w:val="202B38"/>
                <w:sz w:val="17"/>
              </w:rPr>
              <w:t>Sans objet</w:t>
            </w:r>
          </w:p>
        </w:tc>
      </w:tr>
      <w:tr>
        <w:trPr>
          <w:cantSplit/>
        </w:trPr>
        <w:tc>
          <w:tcPr>
            <w:tcW w:type="dxa" w:w="4762"/>
            <w:shd w:fill="F4F7FA"/>
          </w:tcPr>
          <w:p>
            <w:pPr>
              <w:spacing w:after="40" w:before="40"/>
            </w:pPr>
            <w:r/>
            <w:r>
              <w:rPr>
                <w:rFonts w:ascii="Arial" w:hAnsi="Arial"/>
                <w:i w:val="0"/>
                <w:color w:val="202B38"/>
                <w:sz w:val="17"/>
              </w:rPr>
              <w:t>Prix indiqués de manière claire, mention des taxes et frais</w:t>
            </w:r>
          </w:p>
        </w:tc>
        <w:tc>
          <w:tcPr>
            <w:tcW w:type="dxa" w:w="4876"/>
            <w:shd w:fill="F4F7FA"/>
          </w:tcPr>
          <w:p>
            <w:pPr>
              <w:spacing w:after="40" w:before="40"/>
            </w:pPr>
            <w:r>
              <w:rPr>
                <w:b/>
              </w:rPr>
            </w:r>
            <w:r>
              <w:rPr>
                <w:rFonts w:ascii="Arial" w:hAnsi="Arial"/>
                <w:b/>
                <w:i w:val="0"/>
                <w:color w:val="A65A12"/>
                <w:sz w:val="17"/>
              </w:rPr>
              <w:t>Partiellement : une grille tarifaire existe, sans précision sur la TVA</w:t>
            </w:r>
          </w:p>
        </w:tc>
      </w:tr>
      <w:tr>
        <w:trPr>
          <w:cantSplit/>
        </w:trPr>
        <w:tc>
          <w:tcPr>
            <w:tcW w:type="dxa" w:w="4762"/>
          </w:tcPr>
          <w:p>
            <w:pPr>
              <w:spacing w:after="40" w:before="40"/>
            </w:pPr>
            <w:r/>
            <w:r>
              <w:rPr>
                <w:rFonts w:ascii="Arial" w:hAnsi="Arial"/>
                <w:i w:val="0"/>
                <w:color w:val="202B38"/>
                <w:sz w:val="17"/>
              </w:rPr>
              <w:t>Conditions générales accessibles et conservables</w:t>
            </w:r>
          </w:p>
        </w:tc>
        <w:tc>
          <w:tcPr>
            <w:tcW w:type="dxa" w:w="4876"/>
          </w:tcPr>
          <w:p>
            <w:pPr>
              <w:spacing w:after="40" w:before="40"/>
            </w:pPr>
            <w:r>
              <w:rPr>
                <w:b/>
              </w:rPr>
            </w:r>
            <w:r>
              <w:rPr>
                <w:rFonts w:ascii="Arial" w:hAnsi="Arial"/>
                <w:b/>
                <w:i w:val="0"/>
                <w:color w:val="B42332"/>
                <w:sz w:val="17"/>
              </w:rPr>
              <w:t>Non</w:t>
            </w:r>
          </w:p>
        </w:tc>
      </w:tr>
    </w:tbl>
    <w:p>
      <w:pPr>
        <w:spacing w:after="0"/>
      </w:pPr>
    </w:p>
    <w:p>
      <w:pPr>
        <w:spacing w:after="80"/>
        <w:jc w:val="both"/>
      </w:pPr>
      <w:r>
        <w:rPr>
          <w:rFonts w:ascii="Arial" w:hAnsi="Arial"/>
          <w:i w:val="0"/>
          <w:color w:val="202B38"/>
          <w:sz w:val="21"/>
        </w:rPr>
        <w:t>Sur sept informations attendues, une seule est présente. C'est, avec l'absence de politique de confidentialité, le manquement le plus immédiatement visible : il ne suppose aucun développement, seulement la rédaction d'une page et un lien dans le pied de page du site.</w:t>
      </w:r>
    </w:p>
    <w:p>
      <w:pPr>
        <w:keepNext/>
        <w:spacing w:before="180" w:after="60"/>
      </w:pPr>
      <w:r>
        <w:rPr>
          <w:rFonts w:ascii="Arial" w:hAnsi="Arial"/>
          <w:b/>
          <w:color w:val="163658"/>
          <w:sz w:val="25"/>
        </w:rPr>
        <w:t>7.2 Conditions générales d'utilisation</w:t>
      </w:r>
    </w:p>
    <w:p>
      <w:pPr>
        <w:spacing w:after="80"/>
        <w:jc w:val="both"/>
      </w:pPr>
      <w:r>
        <w:rPr>
          <w:rFonts w:ascii="Arial" w:hAnsi="Arial"/>
          <w:i w:val="0"/>
          <w:color w:val="202B38"/>
          <w:sz w:val="21"/>
        </w:rPr>
        <w:t xml:space="preserve">Aucune condition générale n'existe. Elles constituent pourtant le socle contractuel de la relation avec les organisations clientes et devront traiter au minimum : l'objet du service et son périmètre ; les obligations de l'utilisateur, dont l'interdiction de déposer des données sensibles en pièce jointe ; la disponibilité du service et les éventuels engagements de niveau ; la propriété intellectuelle sur la plateforme et sur les contenus déposés ; la durée, la résiliation et le </w:t>
      </w:r>
      <w:r>
        <w:rPr>
          <w:rFonts w:ascii="Arial" w:hAnsi="Arial"/>
          <w:b/>
          <w:i w:val="0"/>
          <w:color w:val="202B38"/>
          <w:sz w:val="21"/>
        </w:rPr>
        <w:t>sort des données en fin de contrat</w:t>
      </w:r>
      <w:r>
        <w:rPr>
          <w:rFonts w:ascii="Arial" w:hAnsi="Arial"/>
          <w:i w:val="0"/>
          <w:color w:val="202B38"/>
          <w:sz w:val="21"/>
        </w:rPr>
        <w:t xml:space="preserve"> ; la limitation de responsabilité ; le droit applicable et le tribunal compétent.</w:t>
      </w:r>
    </w:p>
    <w:p>
      <w:pPr>
        <w:spacing w:after="80"/>
        <w:jc w:val="both"/>
      </w:pPr>
      <w:r>
        <w:rPr>
          <w:rFonts w:ascii="Arial" w:hAnsi="Arial"/>
          <w:i w:val="0"/>
          <w:color w:val="202B38"/>
          <w:sz w:val="21"/>
        </w:rPr>
        <w:t xml:space="preserve">Deux points méritent une attention particulière. La </w:t>
      </w:r>
      <w:r>
        <w:rPr>
          <w:rFonts w:ascii="Arial" w:hAnsi="Arial"/>
          <w:b/>
          <w:i w:val="0"/>
          <w:color w:val="202B38"/>
          <w:sz w:val="21"/>
        </w:rPr>
        <w:t>restitution des données</w:t>
      </w:r>
      <w:r>
        <w:rPr>
          <w:rFonts w:ascii="Arial" w:hAnsi="Arial"/>
          <w:i w:val="0"/>
          <w:color w:val="202B38"/>
          <w:sz w:val="21"/>
        </w:rPr>
        <w:t xml:space="preserve"> à la fin du contrat est une attente forte des clients professionnels et découle de la qualification de sous-traitant : l'article 28 impose de restituer ou de supprimer les données au terme de la prestation, au choix du responsable. Et les clauses limitatives de responsabilité doivent rester mesurées : la loi du 4 avril 2019 sanctionne les clauses manifestement déséquilibrées </w:t>
      </w:r>
      <w:r>
        <w:rPr>
          <w:rFonts w:ascii="Arial" w:hAnsi="Arial"/>
          <w:b/>
          <w:i w:val="0"/>
          <w:color w:val="202B38"/>
          <w:sz w:val="21"/>
        </w:rPr>
        <w:t>même entre entreprises</w:t>
      </w:r>
      <w:r>
        <w:rPr>
          <w:rFonts w:ascii="Arial" w:hAnsi="Arial"/>
          <w:i w:val="0"/>
          <w:color w:val="202B38"/>
          <w:sz w:val="21"/>
        </w:rPr>
        <w:t>, et une clause excluant toute responsabilité serait réputée non écrite.</w:t>
      </w:r>
    </w:p>
    <w:p>
      <w:pPr>
        <w:keepNext/>
        <w:spacing w:before="180" w:after="60"/>
      </w:pPr>
      <w:r>
        <w:rPr>
          <w:rFonts w:ascii="Arial" w:hAnsi="Arial"/>
          <w:b/>
          <w:color w:val="163658"/>
          <w:sz w:val="25"/>
        </w:rPr>
        <w:t>7.3 Souscription de l'abonnement en ligne</w:t>
      </w:r>
    </w:p>
    <w:p>
      <w:pPr>
        <w:spacing w:after="80"/>
        <w:jc w:val="both"/>
      </w:pPr>
      <w:r>
        <w:rPr>
          <w:rFonts w:ascii="Arial" w:hAnsi="Arial"/>
          <w:i w:val="0"/>
          <w:color w:val="202B38"/>
          <w:sz w:val="21"/>
        </w:rPr>
        <w:t xml:space="preserve">L'offre Premium est souscrite en ligne par voie électronique. Le Livre XII impose alors un parcours de commande explicite : description claire du service et du prix, récapitulatif avant validation, possibilité de corriger les erreurs de saisie, et </w:t>
      </w:r>
      <w:r>
        <w:rPr>
          <w:rFonts w:ascii="Arial" w:hAnsi="Arial"/>
          <w:b/>
          <w:i w:val="0"/>
          <w:color w:val="202B38"/>
          <w:sz w:val="21"/>
        </w:rPr>
        <w:t>accusé de réception</w:t>
      </w:r>
      <w:r>
        <w:rPr>
          <w:rFonts w:ascii="Arial" w:hAnsi="Arial"/>
          <w:i w:val="0"/>
          <w:color w:val="202B38"/>
          <w:sz w:val="21"/>
        </w:rPr>
        <w:t xml:space="preserve"> de la commande sans délai injustifié. Le client étant une entreprise et non un consommateur, le droit de rétractation de quatorze jours ne s'applique pas — ce qui mérite d'être écrit dans les conditions générales pour éviter toute ambiguïté.</w:t>
      </w:r>
    </w:p>
    <w:p>
      <w:pPr>
        <w:keepNext/>
        <w:spacing w:before="300" w:after="100"/>
        <w:pBdr>
          <w:bottom w:val="single" w:sz="4" w:space="3" w:color="C8D4E2"/>
        </w:pBdr>
      </w:pPr>
      <w:r>
        <w:rPr>
          <w:rFonts w:ascii="Arial" w:hAnsi="Arial"/>
          <w:b/>
          <w:color w:val="163658"/>
          <w:sz w:val="32"/>
        </w:rPr>
        <w:t>8. Responsabilité</w:t>
      </w:r>
    </w:p>
    <w:p>
      <w:pPr>
        <w:keepNext/>
        <w:spacing w:before="180" w:after="60"/>
      </w:pPr>
      <w:r>
        <w:rPr>
          <w:rFonts w:ascii="Arial" w:hAnsi="Arial"/>
          <w:b/>
          <w:color w:val="163658"/>
          <w:sz w:val="25"/>
        </w:rPr>
        <w:t>8.1 Responsabilité quant aux contenus</w:t>
      </w:r>
    </w:p>
    <w:p>
      <w:pPr>
        <w:spacing w:after="80"/>
        <w:jc w:val="both"/>
      </w:pPr>
      <w:r>
        <w:rPr>
          <w:rFonts w:ascii="Arial" w:hAnsi="Arial"/>
          <w:i w:val="0"/>
          <w:color w:val="202B38"/>
          <w:sz w:val="21"/>
        </w:rPr>
        <w:t xml:space="preserve">TrackIT héberge des contenus produits par ses utilisateurs : descriptions d'anomalies, commentaires, pièces jointes. La question de la responsabilité de l'éditeur à leur égard relève du régime des </w:t>
      </w:r>
      <w:r>
        <w:rPr>
          <w:rFonts w:ascii="Arial" w:hAnsi="Arial"/>
          <w:b/>
          <w:i w:val="0"/>
          <w:color w:val="202B38"/>
          <w:sz w:val="21"/>
        </w:rPr>
        <w:t>prestataires intermédiaires</w:t>
      </w:r>
      <w:r>
        <w:rPr>
          <w:rFonts w:ascii="Arial" w:hAnsi="Arial"/>
          <w:i w:val="0"/>
          <w:color w:val="202B38"/>
          <w:sz w:val="21"/>
        </w:rPr>
        <w:t>, prévu aux articles XII.17 à XII.20 du Code de droit économique et désormais complété par le règlement européen sur les services numériques, applicable depuis le 17 février 2024.</w:t>
      </w:r>
    </w:p>
    <w:p>
      <w:pPr>
        <w:spacing w:after="80"/>
        <w:jc w:val="both"/>
      </w:pPr>
      <w:r>
        <w:rPr>
          <w:rFonts w:ascii="Arial" w:hAnsi="Arial"/>
          <w:i w:val="0"/>
          <w:color w:val="202B38"/>
          <w:sz w:val="21"/>
        </w:rPr>
        <w:t xml:space="preserve">Le principe est celui d'une responsabilité </w:t>
      </w:r>
      <w:r>
        <w:rPr>
          <w:rFonts w:ascii="Arial" w:hAnsi="Arial"/>
          <w:b/>
          <w:i w:val="0"/>
          <w:color w:val="202B38"/>
          <w:sz w:val="21"/>
        </w:rPr>
        <w:t>atténuée</w:t>
      </w:r>
      <w:r>
        <w:rPr>
          <w:rFonts w:ascii="Arial" w:hAnsi="Arial"/>
          <w:i w:val="0"/>
          <w:color w:val="202B38"/>
          <w:sz w:val="21"/>
        </w:rPr>
        <w:t xml:space="preserve"> : l'hébergeur n'est pas responsable des contenus stockés à condition qu'il n'ait pas connaissance de leur caractère illicite et qu'il agisse promptement pour les retirer dès qu'il en a connaissance. Aucune obligation générale de surveillance ne pèse sur lui. Ce régime s'applique naturellement à TrackIT, qui ne sélectionne ni ne modifie les contenus déposés par les utilisateurs.</w:t>
      </w:r>
    </w:p>
    <w:p>
      <w:pPr>
        <w:spacing w:after="80"/>
        <w:jc w:val="both"/>
      </w:pPr>
      <w:r>
        <w:rPr>
          <w:rFonts w:ascii="Arial" w:hAnsi="Arial"/>
          <w:i w:val="0"/>
          <w:color w:val="202B38"/>
          <w:sz w:val="21"/>
        </w:rPr>
        <w:t xml:space="preserve">La conséquence pratique est l'existence d'une </w:t>
      </w:r>
      <w:r>
        <w:rPr>
          <w:rFonts w:ascii="Arial" w:hAnsi="Arial"/>
          <w:b/>
          <w:i w:val="0"/>
          <w:color w:val="202B38"/>
          <w:sz w:val="21"/>
        </w:rPr>
        <w:t>procédure de signalement</w:t>
      </w:r>
      <w:r>
        <w:rPr>
          <w:rFonts w:ascii="Arial" w:hAnsi="Arial"/>
          <w:i w:val="0"/>
          <w:color w:val="202B38"/>
          <w:sz w:val="21"/>
        </w:rPr>
        <w:t xml:space="preserve"> : un moyen pour un tiers de porter un contenu illicite à la connaissance de l'éditeur, et une capacité de retrait rapide. Dans le contexte de TrackIT, où les contenus sont internes à chaque organisation et invisibles de l'extérieur, le risque est faible, mais la procédure doit exister.</w:t>
      </w:r>
    </w:p>
    <w:p>
      <w:pPr>
        <w:keepNext/>
        <w:spacing w:before="180" w:after="60"/>
      </w:pPr>
      <w:r>
        <w:rPr>
          <w:rFonts w:ascii="Arial" w:hAnsi="Arial"/>
          <w:b/>
          <w:color w:val="163658"/>
          <w:sz w:val="25"/>
        </w:rPr>
        <w:t>8.2 Responsabilité contractuelle et obligation de sécurité</w:t>
      </w:r>
    </w:p>
    <w:p>
      <w:pPr>
        <w:spacing w:after="80"/>
        <w:jc w:val="both"/>
      </w:pPr>
      <w:r>
        <w:rPr>
          <w:rFonts w:ascii="Arial" w:hAnsi="Arial"/>
          <w:i w:val="0"/>
          <w:color w:val="202B38"/>
          <w:sz w:val="21"/>
        </w:rPr>
        <w:t xml:space="preserve">Au-delà des contenus, l'éditeur répond de la bonne exécution du service. Deux sources d'obligation se cumulent. Sur le plan contractuel, les engagements pris dans les conditions générales — disponibilité, assistance — engagent leur auteur ; mieux vaut donc une </w:t>
      </w:r>
      <w:r>
        <w:rPr>
          <w:rFonts w:ascii="Arial" w:hAnsi="Arial"/>
          <w:b/>
          <w:i w:val="0"/>
          <w:color w:val="202B38"/>
          <w:sz w:val="21"/>
        </w:rPr>
        <w:t>obligation de moyens</w:t>
      </w:r>
      <w:r>
        <w:rPr>
          <w:rFonts w:ascii="Arial" w:hAnsi="Arial"/>
          <w:i w:val="0"/>
          <w:color w:val="202B38"/>
          <w:sz w:val="21"/>
        </w:rPr>
        <w:t xml:space="preserve"> clairement formulée qu'un engagement de résultat implicite. Sur le plan réglementaire, l'article 32 du RGPD impose des mesures techniques et organisationnelles appropriées : un manquement de sécurité ayant conduit à une violation de données expose à une sanction administrative, indépendamment de tout préjudice contractuel.</w:t>
      </w:r>
    </w:p>
    <w:p>
      <w:pPr>
        <w:spacing w:after="80"/>
        <w:jc w:val="both"/>
      </w:pPr>
      <w:r>
        <w:rPr>
          <w:rFonts w:ascii="Arial" w:hAnsi="Arial"/>
          <w:i w:val="0"/>
          <w:color w:val="202B38"/>
          <w:sz w:val="21"/>
        </w:rPr>
        <w:t>C'est le lien direct avec le livrable 16 : les écarts de sécurité qui y sont identifiés — absence de chiffrement du transport, absence de limitation des tentatives de connexion, absence de journal de sécurité — ne sont pas seulement des faiblesses techniques. Ils constituent, en cas d'incident, autant d'éléments susceptibles de caractériser un manquement à l'article 32.</w:t>
      </w:r>
    </w:p>
    <w:p>
      <w:pPr>
        <w:keepNext/>
        <w:spacing w:before="300" w:after="100"/>
        <w:pBdr>
          <w:bottom w:val="single" w:sz="4" w:space="3" w:color="C8D4E2"/>
        </w:pBdr>
      </w:pPr>
      <w:r>
        <w:rPr>
          <w:rFonts w:ascii="Arial" w:hAnsi="Arial"/>
          <w:b/>
          <w:color w:val="163658"/>
          <w:sz w:val="32"/>
        </w:rPr>
        <w:t>9. Synthèse et plan de mise en conformité</w:t>
      </w:r>
    </w:p>
    <w:p>
      <w:pPr>
        <w:keepNext/>
        <w:spacing w:before="180" w:after="60"/>
      </w:pPr>
      <w:r>
        <w:rPr>
          <w:rFonts w:ascii="Arial" w:hAnsi="Arial"/>
          <w:b/>
          <w:color w:val="163658"/>
          <w:sz w:val="25"/>
        </w:rPr>
        <w:t>9.1 Ce qui est déjà conforme</w:t>
      </w:r>
    </w:p>
    <w:p>
      <w:pPr>
        <w:spacing w:after="80"/>
        <w:jc w:val="both"/>
      </w:pPr>
      <w:r>
        <w:rPr>
          <w:rFonts w:ascii="Arial" w:hAnsi="Arial"/>
          <w:i w:val="0"/>
          <w:color w:val="202B38"/>
          <w:sz w:val="21"/>
        </w:rPr>
        <w:t>L'analyse ne relève pas que des manques. Plusieurs choix de conception vont dans le sens de la conformité, souvent sans qu'ils aient été faits pour cette raison :</w:t>
      </w:r>
    </w:p>
    <w:p>
      <w:pPr>
        <w:spacing w:after="40"/>
        <w:ind w:left="397" w:hanging="198"/>
      </w:pPr>
      <w:r>
        <w:rPr>
          <w:rFonts w:ascii="Arial" w:hAnsi="Arial"/>
          <w:i w:val="0"/>
          <w:color w:val="202B38"/>
          <w:sz w:val="21"/>
        </w:rPr>
        <w:t xml:space="preserve">•  </w:t>
      </w:r>
      <w:r>
        <w:rPr>
          <w:rFonts w:ascii="Arial" w:hAnsi="Arial"/>
          <w:b/>
          <w:i w:val="0"/>
          <w:color w:val="202B38"/>
          <w:sz w:val="21"/>
        </w:rPr>
        <w:t>minimisation des données</w:t>
      </w:r>
      <w:r>
        <w:rPr>
          <w:rFonts w:ascii="Arial" w:hAnsi="Arial"/>
          <w:i w:val="0"/>
          <w:color w:val="202B38"/>
          <w:sz w:val="21"/>
        </w:rPr>
        <w:t xml:space="preserve"> : seules cinq informations personnelles sont collectées, toutes nécessaires au service ;</w:t>
      </w:r>
    </w:p>
    <w:p>
      <w:pPr>
        <w:spacing w:after="40"/>
        <w:ind w:left="397" w:hanging="198"/>
      </w:pPr>
      <w:r>
        <w:rPr>
          <w:rFonts w:ascii="Arial" w:hAnsi="Arial"/>
          <w:i w:val="0"/>
          <w:color w:val="202B38"/>
          <w:sz w:val="21"/>
        </w:rPr>
        <w:t xml:space="preserve">•  </w:t>
      </w:r>
      <w:r>
        <w:rPr>
          <w:rFonts w:ascii="Arial" w:hAnsi="Arial"/>
          <w:b/>
          <w:i w:val="0"/>
          <w:color w:val="202B38"/>
          <w:sz w:val="21"/>
        </w:rPr>
        <w:t>aucune donnée sensible</w:t>
      </w:r>
      <w:r>
        <w:rPr>
          <w:rFonts w:ascii="Arial" w:hAnsi="Arial"/>
          <w:i w:val="0"/>
          <w:color w:val="202B38"/>
          <w:sz w:val="21"/>
        </w:rPr>
        <w:t xml:space="preserve"> au sens de l'article 9, ce qui écarte le régime renforcé ;</w:t>
      </w:r>
    </w:p>
    <w:p>
      <w:pPr>
        <w:spacing w:after="40"/>
        <w:ind w:left="397" w:hanging="198"/>
      </w:pPr>
      <w:r>
        <w:rPr>
          <w:rFonts w:ascii="Arial" w:hAnsi="Arial"/>
          <w:i w:val="0"/>
          <w:color w:val="202B38"/>
          <w:sz w:val="21"/>
        </w:rPr>
        <w:t xml:space="preserve">•  </w:t>
      </w:r>
      <w:r>
        <w:rPr>
          <w:rFonts w:ascii="Arial" w:hAnsi="Arial"/>
          <w:b/>
          <w:i w:val="0"/>
          <w:color w:val="202B38"/>
          <w:sz w:val="21"/>
        </w:rPr>
        <w:t>aucune donnée bancaire conservée</w:t>
      </w:r>
      <w:r>
        <w:rPr>
          <w:rFonts w:ascii="Arial" w:hAnsi="Arial"/>
          <w:i w:val="0"/>
          <w:color w:val="202B38"/>
          <w:sz w:val="21"/>
        </w:rPr>
        <w:t xml:space="preserve"> : le paiement est délégué, ce qui réduit aussi le périmètre PCI-DSS ;</w:t>
      </w:r>
    </w:p>
    <w:p>
      <w:pPr>
        <w:spacing w:after="40"/>
        <w:ind w:left="397" w:hanging="198"/>
      </w:pPr>
      <w:r>
        <w:rPr>
          <w:rFonts w:ascii="Arial" w:hAnsi="Arial"/>
          <w:i w:val="0"/>
          <w:color w:val="202B38"/>
          <w:sz w:val="21"/>
        </w:rPr>
        <w:t xml:space="preserve">•  </w:t>
      </w:r>
      <w:r>
        <w:rPr>
          <w:rFonts w:ascii="Arial" w:hAnsi="Arial"/>
          <w:b/>
          <w:i w:val="0"/>
          <w:color w:val="202B38"/>
          <w:sz w:val="21"/>
        </w:rPr>
        <w:t>aucun cookie ni traceur</w:t>
      </w:r>
      <w:r>
        <w:rPr>
          <w:rFonts w:ascii="Arial" w:hAnsi="Arial"/>
          <w:i w:val="0"/>
          <w:color w:val="202B38"/>
          <w:sz w:val="21"/>
        </w:rPr>
        <w:t xml:space="preserve"> : pas de bandeau de consentement requis en l'état ;</w:t>
      </w:r>
    </w:p>
    <w:p>
      <w:pPr>
        <w:spacing w:after="40"/>
        <w:ind w:left="397" w:hanging="198"/>
      </w:pPr>
      <w:r>
        <w:rPr>
          <w:rFonts w:ascii="Arial" w:hAnsi="Arial"/>
          <w:i w:val="0"/>
          <w:color w:val="202B38"/>
          <w:sz w:val="21"/>
        </w:rPr>
        <w:t xml:space="preserve">•  </w:t>
      </w:r>
      <w:r>
        <w:rPr>
          <w:rFonts w:ascii="Arial" w:hAnsi="Arial"/>
          <w:b/>
          <w:i w:val="0"/>
          <w:color w:val="202B38"/>
          <w:sz w:val="21"/>
        </w:rPr>
        <w:t>cloisonnement et contrôle d'accès</w:t>
      </w:r>
      <w:r>
        <w:rPr>
          <w:rFonts w:ascii="Arial" w:hAnsi="Arial"/>
          <w:i w:val="0"/>
          <w:color w:val="202B38"/>
          <w:sz w:val="21"/>
        </w:rPr>
        <w:t xml:space="preserve"> effectifs, qui servent directement l'article 32 ;</w:t>
      </w:r>
    </w:p>
    <w:p>
      <w:pPr>
        <w:spacing w:after="40"/>
        <w:ind w:left="397" w:hanging="198"/>
      </w:pPr>
      <w:r>
        <w:rPr>
          <w:rFonts w:ascii="Arial" w:hAnsi="Arial"/>
          <w:i w:val="0"/>
          <w:color w:val="202B38"/>
          <w:sz w:val="21"/>
        </w:rPr>
        <w:t xml:space="preserve">•  </w:t>
      </w:r>
      <w:r>
        <w:rPr>
          <w:rFonts w:ascii="Arial" w:hAnsi="Arial"/>
          <w:b/>
          <w:i w:val="0"/>
          <w:color w:val="202B38"/>
          <w:sz w:val="21"/>
        </w:rPr>
        <w:t>droit de rectification</w:t>
      </w:r>
      <w:r>
        <w:rPr>
          <w:rFonts w:ascii="Arial" w:hAnsi="Arial"/>
          <w:i w:val="0"/>
          <w:color w:val="202B38"/>
          <w:sz w:val="21"/>
        </w:rPr>
        <w:t xml:space="preserve"> satisfait par la page de profil ;</w:t>
      </w:r>
    </w:p>
    <w:p>
      <w:pPr>
        <w:spacing w:after="40"/>
        <w:ind w:left="397" w:hanging="198"/>
      </w:pPr>
      <w:r>
        <w:rPr>
          <w:rFonts w:ascii="Arial" w:hAnsi="Arial"/>
          <w:i w:val="0"/>
          <w:color w:val="202B38"/>
          <w:sz w:val="21"/>
        </w:rPr>
        <w:t xml:space="preserve">•  </w:t>
      </w:r>
      <w:r>
        <w:rPr>
          <w:rFonts w:ascii="Arial" w:hAnsi="Arial"/>
          <w:b/>
          <w:i w:val="0"/>
          <w:color w:val="202B38"/>
          <w:sz w:val="21"/>
        </w:rPr>
        <w:t>licences tierces</w:t>
      </w:r>
      <w:r>
        <w:rPr>
          <w:rFonts w:ascii="Arial" w:hAnsi="Arial"/>
          <w:i w:val="0"/>
          <w:color w:val="202B38"/>
          <w:sz w:val="21"/>
        </w:rPr>
        <w:t xml:space="preserve"> majoritairement permissives, sans contrainte de réciprocité.</w:t>
      </w:r>
    </w:p>
    <w:p>
      <w:pPr>
        <w:keepNext/>
        <w:spacing w:before="180" w:after="60"/>
      </w:pPr>
      <w:r>
        <w:rPr>
          <w:rFonts w:ascii="Arial" w:hAnsi="Arial"/>
          <w:b/>
          <w:color w:val="163658"/>
          <w:sz w:val="25"/>
        </w:rPr>
        <w:t>9.2 Documents à produire</w:t>
      </w:r>
    </w:p>
    <w:p>
      <w:pPr>
        <w:spacing w:after="80"/>
        <w:jc w:val="both"/>
      </w:pPr>
      <w:r>
        <w:rPr>
          <w:rFonts w:ascii="Arial" w:hAnsi="Arial"/>
          <w:i w:val="0"/>
          <w:color w:val="202B38"/>
          <w:sz w:val="21"/>
        </w:rPr>
        <w:t>La mise en conformité passe davantage par la rédaction de documents que par du développement. Six documents couvrent l'essentiel des obligations :</w:t>
      </w:r>
    </w:p>
    <w:tbl>
      <w:tblPr>
        <w:tblStyle w:val="TableGrid"/>
        <w:tblW w:type="auto" w:w="0"/>
        <w:jc w:val="center"/>
        <w:tblLayout w:type="fixed"/>
        <w:tblLook w:firstColumn="1" w:firstRow="1" w:lastColumn="0" w:lastRow="0" w:noHBand="0" w:noVBand="1" w:val="04A0"/>
        <w:tblLayout w:type="fixed"/>
      </w:tblPr>
      <w:tblGrid>
        <w:gridCol w:w="2608"/>
        <w:gridCol w:w="3061"/>
        <w:gridCol w:w="2608"/>
        <w:gridCol w:w="1361"/>
      </w:tblGrid>
      <w:tr>
        <w:trPr>
          <w:tblHeader w:val="true"/>
          <w:cantSplit/>
        </w:trPr>
        <w:tc>
          <w:tcPr>
            <w:tcW w:type="dxa" w:w="2608"/>
            <w:shd w:fill="163658"/>
          </w:tcPr>
          <w:p>
            <w:pPr>
              <w:spacing w:after="40" w:before="40"/>
            </w:pPr>
            <w:r/>
            <w:r>
              <w:rPr>
                <w:rFonts w:ascii="Arial" w:hAnsi="Arial"/>
                <w:b/>
                <w:color w:val="FFFFFF"/>
                <w:sz w:val="17"/>
              </w:rPr>
              <w:t>Document</w:t>
            </w:r>
          </w:p>
        </w:tc>
        <w:tc>
          <w:tcPr>
            <w:tcW w:type="dxa" w:w="3061"/>
            <w:shd w:fill="163658"/>
          </w:tcPr>
          <w:p>
            <w:pPr>
              <w:spacing w:after="40" w:before="40"/>
            </w:pPr>
            <w:r/>
            <w:r>
              <w:rPr>
                <w:rFonts w:ascii="Arial" w:hAnsi="Arial"/>
                <w:b/>
                <w:color w:val="FFFFFF"/>
                <w:sz w:val="17"/>
              </w:rPr>
              <w:t>Fondement</w:t>
            </w:r>
          </w:p>
        </w:tc>
        <w:tc>
          <w:tcPr>
            <w:tcW w:type="dxa" w:w="2608"/>
            <w:shd w:fill="163658"/>
          </w:tcPr>
          <w:p>
            <w:pPr>
              <w:spacing w:after="40" w:before="40"/>
            </w:pPr>
            <w:r/>
            <w:r>
              <w:rPr>
                <w:rFonts w:ascii="Arial" w:hAnsi="Arial"/>
                <w:b/>
                <w:color w:val="FFFFFF"/>
                <w:sz w:val="17"/>
              </w:rPr>
              <w:t>Destinataire</w:t>
            </w:r>
          </w:p>
        </w:tc>
        <w:tc>
          <w:tcPr>
            <w:tcW w:type="dxa" w:w="1361"/>
            <w:shd w:fill="163658"/>
          </w:tcPr>
          <w:p>
            <w:pPr>
              <w:spacing w:after="40" w:before="40"/>
            </w:pPr>
            <w:r/>
            <w:r>
              <w:rPr>
                <w:rFonts w:ascii="Arial" w:hAnsi="Arial"/>
                <w:b/>
                <w:color w:val="FFFFFF"/>
                <w:sz w:val="17"/>
              </w:rPr>
              <w:t>Priorité</w:t>
            </w:r>
          </w:p>
        </w:tc>
      </w:tr>
      <w:tr>
        <w:trPr>
          <w:cantSplit/>
        </w:trPr>
        <w:tc>
          <w:tcPr>
            <w:tcW w:type="dxa" w:w="2608"/>
          </w:tcPr>
          <w:p>
            <w:pPr>
              <w:spacing w:after="40" w:before="40"/>
            </w:pPr>
            <w:r/>
            <w:r>
              <w:rPr>
                <w:rFonts w:ascii="Arial" w:hAnsi="Arial"/>
                <w:i w:val="0"/>
                <w:color w:val="202B38"/>
                <w:sz w:val="17"/>
              </w:rPr>
              <w:t>Mentions légales</w:t>
            </w:r>
          </w:p>
        </w:tc>
        <w:tc>
          <w:tcPr>
            <w:tcW w:type="dxa" w:w="3061"/>
          </w:tcPr>
          <w:p>
            <w:pPr>
              <w:spacing w:after="40" w:before="40"/>
            </w:pPr>
            <w:r/>
            <w:r>
              <w:rPr>
                <w:rFonts w:ascii="Arial" w:hAnsi="Arial"/>
                <w:i w:val="0"/>
                <w:color w:val="202B38"/>
                <w:sz w:val="17"/>
              </w:rPr>
              <w:t>Livre XII du CDE</w:t>
            </w:r>
          </w:p>
        </w:tc>
        <w:tc>
          <w:tcPr>
            <w:tcW w:type="dxa" w:w="2608"/>
          </w:tcPr>
          <w:p>
            <w:pPr>
              <w:spacing w:after="40" w:before="40"/>
            </w:pPr>
            <w:r/>
            <w:r>
              <w:rPr>
                <w:rFonts w:ascii="Arial" w:hAnsi="Arial"/>
                <w:i w:val="0"/>
                <w:color w:val="202B38"/>
                <w:sz w:val="17"/>
              </w:rPr>
              <w:t>Tout visiteur du site</w:t>
            </w:r>
          </w:p>
        </w:tc>
        <w:tc>
          <w:tcPr>
            <w:tcW w:type="dxa" w:w="1361"/>
          </w:tcPr>
          <w:p>
            <w:pPr>
              <w:spacing w:after="40" w:before="40"/>
            </w:pPr>
            <w:r/>
            <w:r>
              <w:rPr>
                <w:rFonts w:ascii="Arial" w:hAnsi="Arial"/>
                <w:i w:val="0"/>
                <w:color w:val="202B38"/>
                <w:sz w:val="17"/>
              </w:rPr>
              <w:t>1</w:t>
            </w:r>
          </w:p>
        </w:tc>
      </w:tr>
      <w:tr>
        <w:trPr>
          <w:cantSplit/>
        </w:trPr>
        <w:tc>
          <w:tcPr>
            <w:tcW w:type="dxa" w:w="2608"/>
            <w:shd w:fill="F4F7FA"/>
          </w:tcPr>
          <w:p>
            <w:pPr>
              <w:spacing w:after="40" w:before="40"/>
            </w:pPr>
            <w:r/>
            <w:r>
              <w:rPr>
                <w:rFonts w:ascii="Arial" w:hAnsi="Arial"/>
                <w:i w:val="0"/>
                <w:color w:val="202B38"/>
                <w:sz w:val="17"/>
              </w:rPr>
              <w:t>Politique de confidentialité</w:t>
            </w:r>
          </w:p>
        </w:tc>
        <w:tc>
          <w:tcPr>
            <w:tcW w:type="dxa" w:w="3061"/>
            <w:shd w:fill="F4F7FA"/>
          </w:tcPr>
          <w:p>
            <w:pPr>
              <w:spacing w:after="40" w:before="40"/>
            </w:pPr>
            <w:r/>
            <w:r>
              <w:rPr>
                <w:rFonts w:ascii="Arial" w:hAnsi="Arial"/>
                <w:i w:val="0"/>
                <w:color w:val="202B38"/>
                <w:sz w:val="17"/>
              </w:rPr>
              <w:t>Articles 13 et 14 du RGPD</w:t>
            </w:r>
          </w:p>
        </w:tc>
        <w:tc>
          <w:tcPr>
            <w:tcW w:type="dxa" w:w="2608"/>
            <w:shd w:fill="F4F7FA"/>
          </w:tcPr>
          <w:p>
            <w:pPr>
              <w:spacing w:after="40" w:before="40"/>
            </w:pPr>
            <w:r/>
            <w:r>
              <w:rPr>
                <w:rFonts w:ascii="Arial" w:hAnsi="Arial"/>
                <w:i w:val="0"/>
                <w:color w:val="202B38"/>
                <w:sz w:val="17"/>
              </w:rPr>
              <w:t>Utilisateurs et visiteurs</w:t>
            </w:r>
          </w:p>
        </w:tc>
        <w:tc>
          <w:tcPr>
            <w:tcW w:type="dxa" w:w="1361"/>
            <w:shd w:fill="F4F7FA"/>
          </w:tcPr>
          <w:p>
            <w:pPr>
              <w:spacing w:after="40" w:before="40"/>
            </w:pPr>
            <w:r/>
            <w:r>
              <w:rPr>
                <w:rFonts w:ascii="Arial" w:hAnsi="Arial"/>
                <w:i w:val="0"/>
                <w:color w:val="202B38"/>
                <w:sz w:val="17"/>
              </w:rPr>
              <w:t>1</w:t>
            </w:r>
          </w:p>
        </w:tc>
      </w:tr>
      <w:tr>
        <w:trPr>
          <w:cantSplit/>
        </w:trPr>
        <w:tc>
          <w:tcPr>
            <w:tcW w:type="dxa" w:w="2608"/>
          </w:tcPr>
          <w:p>
            <w:pPr>
              <w:spacing w:after="40" w:before="40"/>
            </w:pPr>
            <w:r/>
            <w:r>
              <w:rPr>
                <w:rFonts w:ascii="Arial" w:hAnsi="Arial"/>
                <w:i w:val="0"/>
                <w:color w:val="202B38"/>
                <w:sz w:val="17"/>
              </w:rPr>
              <w:t>Conditions générales d'utilisation</w:t>
            </w:r>
          </w:p>
        </w:tc>
        <w:tc>
          <w:tcPr>
            <w:tcW w:type="dxa" w:w="3061"/>
          </w:tcPr>
          <w:p>
            <w:pPr>
              <w:spacing w:after="40" w:before="40"/>
            </w:pPr>
            <w:r/>
            <w:r>
              <w:rPr>
                <w:rFonts w:ascii="Arial" w:hAnsi="Arial"/>
                <w:i w:val="0"/>
                <w:color w:val="202B38"/>
                <w:sz w:val="17"/>
              </w:rPr>
              <w:t>Droit commun des contrats ; Livre XII du CDE</w:t>
            </w:r>
          </w:p>
        </w:tc>
        <w:tc>
          <w:tcPr>
            <w:tcW w:type="dxa" w:w="2608"/>
          </w:tcPr>
          <w:p>
            <w:pPr>
              <w:spacing w:after="40" w:before="40"/>
            </w:pPr>
            <w:r/>
            <w:r>
              <w:rPr>
                <w:rFonts w:ascii="Arial" w:hAnsi="Arial"/>
                <w:i w:val="0"/>
                <w:color w:val="202B38"/>
                <w:sz w:val="17"/>
              </w:rPr>
              <w:t>Organisations clientes</w:t>
            </w:r>
          </w:p>
        </w:tc>
        <w:tc>
          <w:tcPr>
            <w:tcW w:type="dxa" w:w="1361"/>
          </w:tcPr>
          <w:p>
            <w:pPr>
              <w:spacing w:after="40" w:before="40"/>
            </w:pPr>
            <w:r/>
            <w:r>
              <w:rPr>
                <w:rFonts w:ascii="Arial" w:hAnsi="Arial"/>
                <w:i w:val="0"/>
                <w:color w:val="202B38"/>
                <w:sz w:val="17"/>
              </w:rPr>
              <w:t>1</w:t>
            </w:r>
          </w:p>
        </w:tc>
      </w:tr>
      <w:tr>
        <w:trPr>
          <w:cantSplit/>
        </w:trPr>
        <w:tc>
          <w:tcPr>
            <w:tcW w:type="dxa" w:w="2608"/>
            <w:shd w:fill="F4F7FA"/>
          </w:tcPr>
          <w:p>
            <w:pPr>
              <w:spacing w:after="40" w:before="40"/>
            </w:pPr>
            <w:r/>
            <w:r>
              <w:rPr>
                <w:rFonts w:ascii="Arial" w:hAnsi="Arial"/>
                <w:i w:val="0"/>
                <w:color w:val="202B38"/>
                <w:sz w:val="17"/>
              </w:rPr>
              <w:t>Contrat de sous-traitance</w:t>
            </w:r>
          </w:p>
        </w:tc>
        <w:tc>
          <w:tcPr>
            <w:tcW w:type="dxa" w:w="3061"/>
            <w:shd w:fill="F4F7FA"/>
          </w:tcPr>
          <w:p>
            <w:pPr>
              <w:spacing w:after="40" w:before="40"/>
            </w:pPr>
            <w:r/>
            <w:r>
              <w:rPr>
                <w:rFonts w:ascii="Arial" w:hAnsi="Arial"/>
                <w:i w:val="0"/>
                <w:color w:val="202B38"/>
                <w:sz w:val="17"/>
              </w:rPr>
              <w:t>Article 28 du RGPD</w:t>
            </w:r>
          </w:p>
        </w:tc>
        <w:tc>
          <w:tcPr>
            <w:tcW w:type="dxa" w:w="2608"/>
            <w:shd w:fill="F4F7FA"/>
          </w:tcPr>
          <w:p>
            <w:pPr>
              <w:spacing w:after="40" w:before="40"/>
            </w:pPr>
            <w:r/>
            <w:r>
              <w:rPr>
                <w:rFonts w:ascii="Arial" w:hAnsi="Arial"/>
                <w:i w:val="0"/>
                <w:color w:val="202B38"/>
                <w:sz w:val="17"/>
              </w:rPr>
              <w:t>Chaque organisation cliente</w:t>
            </w:r>
          </w:p>
        </w:tc>
        <w:tc>
          <w:tcPr>
            <w:tcW w:type="dxa" w:w="1361"/>
            <w:shd w:fill="F4F7FA"/>
          </w:tcPr>
          <w:p>
            <w:pPr>
              <w:spacing w:after="40" w:before="40"/>
            </w:pPr>
            <w:r/>
            <w:r>
              <w:rPr>
                <w:rFonts w:ascii="Arial" w:hAnsi="Arial"/>
                <w:i w:val="0"/>
                <w:color w:val="202B38"/>
                <w:sz w:val="17"/>
              </w:rPr>
              <w:t>2</w:t>
            </w:r>
          </w:p>
        </w:tc>
      </w:tr>
      <w:tr>
        <w:trPr>
          <w:cantSplit/>
        </w:trPr>
        <w:tc>
          <w:tcPr>
            <w:tcW w:type="dxa" w:w="2608"/>
          </w:tcPr>
          <w:p>
            <w:pPr>
              <w:spacing w:after="40" w:before="40"/>
            </w:pPr>
            <w:r/>
            <w:r>
              <w:rPr>
                <w:rFonts w:ascii="Arial" w:hAnsi="Arial"/>
                <w:i w:val="0"/>
                <w:color w:val="202B38"/>
                <w:sz w:val="17"/>
              </w:rPr>
              <w:t>Registre des activités de traitement</w:t>
            </w:r>
          </w:p>
        </w:tc>
        <w:tc>
          <w:tcPr>
            <w:tcW w:type="dxa" w:w="3061"/>
          </w:tcPr>
          <w:p>
            <w:pPr>
              <w:spacing w:after="40" w:before="40"/>
            </w:pPr>
            <w:r/>
            <w:r>
              <w:rPr>
                <w:rFonts w:ascii="Arial" w:hAnsi="Arial"/>
                <w:i w:val="0"/>
                <w:color w:val="202B38"/>
                <w:sz w:val="17"/>
              </w:rPr>
              <w:t>Article 30 du RGPD</w:t>
            </w:r>
          </w:p>
        </w:tc>
        <w:tc>
          <w:tcPr>
            <w:tcW w:type="dxa" w:w="2608"/>
          </w:tcPr>
          <w:p>
            <w:pPr>
              <w:spacing w:after="40" w:before="40"/>
            </w:pPr>
            <w:r/>
            <w:r>
              <w:rPr>
                <w:rFonts w:ascii="Arial" w:hAnsi="Arial"/>
                <w:i w:val="0"/>
                <w:color w:val="202B38"/>
                <w:sz w:val="17"/>
              </w:rPr>
              <w:t>Interne ; produit à l'APD sur demande</w:t>
            </w:r>
          </w:p>
        </w:tc>
        <w:tc>
          <w:tcPr>
            <w:tcW w:type="dxa" w:w="1361"/>
          </w:tcPr>
          <w:p>
            <w:pPr>
              <w:spacing w:after="40" w:before="40"/>
            </w:pPr>
            <w:r/>
            <w:r>
              <w:rPr>
                <w:rFonts w:ascii="Arial" w:hAnsi="Arial"/>
                <w:i w:val="0"/>
                <w:color w:val="202B38"/>
                <w:sz w:val="17"/>
              </w:rPr>
              <w:t>2</w:t>
            </w:r>
          </w:p>
        </w:tc>
      </w:tr>
      <w:tr>
        <w:trPr>
          <w:cantSplit/>
        </w:trPr>
        <w:tc>
          <w:tcPr>
            <w:tcW w:type="dxa" w:w="2608"/>
            <w:shd w:fill="F4F7FA"/>
          </w:tcPr>
          <w:p>
            <w:pPr>
              <w:spacing w:after="40" w:before="40"/>
            </w:pPr>
            <w:r/>
            <w:r>
              <w:rPr>
                <w:rFonts w:ascii="Arial" w:hAnsi="Arial"/>
                <w:i w:val="0"/>
                <w:color w:val="202B38"/>
                <w:sz w:val="17"/>
              </w:rPr>
              <w:t>Procédure de gestion des violations</w:t>
            </w:r>
          </w:p>
        </w:tc>
        <w:tc>
          <w:tcPr>
            <w:tcW w:type="dxa" w:w="3061"/>
            <w:shd w:fill="F4F7FA"/>
          </w:tcPr>
          <w:p>
            <w:pPr>
              <w:spacing w:after="40" w:before="40"/>
            </w:pPr>
            <w:r/>
            <w:r>
              <w:rPr>
                <w:rFonts w:ascii="Arial" w:hAnsi="Arial"/>
                <w:i w:val="0"/>
                <w:color w:val="202B38"/>
                <w:sz w:val="17"/>
              </w:rPr>
              <w:t>Articles 33 et 34 du RGPD ; NIS2 le cas échéant</w:t>
            </w:r>
          </w:p>
        </w:tc>
        <w:tc>
          <w:tcPr>
            <w:tcW w:type="dxa" w:w="2608"/>
            <w:shd w:fill="F4F7FA"/>
          </w:tcPr>
          <w:p>
            <w:pPr>
              <w:spacing w:after="40" w:before="40"/>
            </w:pPr>
            <w:r/>
            <w:r>
              <w:rPr>
                <w:rFonts w:ascii="Arial" w:hAnsi="Arial"/>
                <w:i w:val="0"/>
                <w:color w:val="202B38"/>
                <w:sz w:val="17"/>
              </w:rPr>
              <w:t>Interne</w:t>
            </w:r>
          </w:p>
        </w:tc>
        <w:tc>
          <w:tcPr>
            <w:tcW w:type="dxa" w:w="1361"/>
            <w:shd w:fill="F4F7FA"/>
          </w:tcPr>
          <w:p>
            <w:pPr>
              <w:spacing w:after="40" w:before="40"/>
            </w:pPr>
            <w:r/>
            <w:r>
              <w:rPr>
                <w:rFonts w:ascii="Arial" w:hAnsi="Arial"/>
                <w:i w:val="0"/>
                <w:color w:val="202B38"/>
                <w:sz w:val="17"/>
              </w:rPr>
              <w:t>3</w:t>
            </w:r>
          </w:p>
        </w:tc>
      </w:tr>
    </w:tbl>
    <w:p>
      <w:pPr>
        <w:spacing w:after="0"/>
      </w:pPr>
    </w:p>
    <w:p>
      <w:pPr>
        <w:keepNext/>
        <w:spacing w:before="180" w:after="60"/>
      </w:pPr>
      <w:r>
        <w:rPr>
          <w:rFonts w:ascii="Arial" w:hAnsi="Arial"/>
          <w:b/>
          <w:color w:val="163658"/>
          <w:sz w:val="25"/>
        </w:rPr>
        <w:t>9.3 Plan d'action</w:t>
      </w:r>
    </w:p>
    <w:p>
      <w:pPr>
        <w:spacing w:after="80"/>
        <w:jc w:val="both"/>
      </w:pPr>
      <w:r>
        <w:rPr>
          <w:rFonts w:ascii="Arial" w:hAnsi="Arial"/>
          <w:i w:val="0"/>
          <w:color w:val="202B38"/>
          <w:sz w:val="21"/>
        </w:rPr>
        <w:t>Les actions sont classées par priorité juridique, en distinguant la rédaction du développement.</w:t>
      </w:r>
    </w:p>
    <w:tbl>
      <w:tblPr>
        <w:tblStyle w:val="TableGrid"/>
        <w:tblW w:type="auto" w:w="0"/>
        <w:jc w:val="center"/>
        <w:tblLayout w:type="fixed"/>
        <w:tblLook w:firstColumn="1" w:firstRow="1" w:lastColumn="0" w:lastRow="0" w:noHBand="0" w:noVBand="1" w:val="04A0"/>
        <w:tblLayout w:type="fixed"/>
      </w:tblPr>
      <w:tblGrid>
        <w:gridCol w:w="907"/>
        <w:gridCol w:w="4309"/>
        <w:gridCol w:w="1474"/>
        <w:gridCol w:w="794"/>
        <w:gridCol w:w="1020"/>
      </w:tblGrid>
      <w:tr>
        <w:trPr>
          <w:tblHeader w:val="true"/>
          <w:cantSplit/>
        </w:trPr>
        <w:tc>
          <w:tcPr>
            <w:tcW w:type="dxa" w:w="907"/>
            <w:shd w:fill="163658"/>
          </w:tcPr>
          <w:p>
            <w:pPr>
              <w:spacing w:after="40" w:before="40"/>
            </w:pPr>
            <w:r/>
            <w:r>
              <w:rPr>
                <w:rFonts w:ascii="Arial" w:hAnsi="Arial"/>
                <w:b/>
                <w:color w:val="FFFFFF"/>
                <w:sz w:val="17"/>
              </w:rPr>
              <w:t>Priorité</w:t>
            </w:r>
          </w:p>
        </w:tc>
        <w:tc>
          <w:tcPr>
            <w:tcW w:type="dxa" w:w="4309"/>
            <w:shd w:fill="163658"/>
          </w:tcPr>
          <w:p>
            <w:pPr>
              <w:spacing w:after="40" w:before="40"/>
            </w:pPr>
            <w:r/>
            <w:r>
              <w:rPr>
                <w:rFonts w:ascii="Arial" w:hAnsi="Arial"/>
                <w:b/>
                <w:color w:val="FFFFFF"/>
                <w:sz w:val="17"/>
              </w:rPr>
              <w:t>Action</w:t>
            </w:r>
          </w:p>
        </w:tc>
        <w:tc>
          <w:tcPr>
            <w:tcW w:type="dxa" w:w="1474"/>
            <w:shd w:fill="163658"/>
          </w:tcPr>
          <w:p>
            <w:pPr>
              <w:spacing w:after="40" w:before="40"/>
            </w:pPr>
            <w:r/>
            <w:r>
              <w:rPr>
                <w:rFonts w:ascii="Arial" w:hAnsi="Arial"/>
                <w:b/>
                <w:color w:val="FFFFFF"/>
                <w:sz w:val="17"/>
              </w:rPr>
              <w:t>Nature</w:t>
            </w:r>
          </w:p>
        </w:tc>
        <w:tc>
          <w:tcPr>
            <w:tcW w:type="dxa" w:w="794"/>
            <w:shd w:fill="163658"/>
          </w:tcPr>
          <w:p>
            <w:pPr>
              <w:spacing w:after="40" w:before="40"/>
            </w:pPr>
            <w:r/>
            <w:r>
              <w:rPr>
                <w:rFonts w:ascii="Arial" w:hAnsi="Arial"/>
                <w:b/>
                <w:color w:val="FFFFFF"/>
                <w:sz w:val="17"/>
              </w:rPr>
              <w:t>Chap.</w:t>
            </w:r>
          </w:p>
        </w:tc>
        <w:tc>
          <w:tcPr>
            <w:tcW w:type="dxa" w:w="1020"/>
            <w:shd w:fill="163658"/>
          </w:tcPr>
          <w:p>
            <w:pPr>
              <w:spacing w:after="40" w:before="40"/>
            </w:pPr>
            <w:r/>
            <w:r>
              <w:rPr>
                <w:rFonts w:ascii="Arial" w:hAnsi="Arial"/>
                <w:b/>
                <w:color w:val="FFFFFF"/>
                <w:sz w:val="17"/>
              </w:rPr>
              <w:t>Effort</w:t>
            </w:r>
          </w:p>
        </w:tc>
      </w:tr>
      <w:tr>
        <w:trPr>
          <w:cantSplit/>
        </w:trPr>
        <w:tc>
          <w:tcPr>
            <w:tcW w:type="dxa" w:w="907"/>
          </w:tcPr>
          <w:p>
            <w:pPr>
              <w:spacing w:after="40" w:before="40"/>
            </w:pPr>
            <w:r/>
            <w:r>
              <w:rPr>
                <w:rFonts w:ascii="Arial" w:hAnsi="Arial"/>
                <w:i w:val="0"/>
                <w:color w:val="202B38"/>
                <w:sz w:val="17"/>
              </w:rPr>
              <w:t>J1</w:t>
            </w:r>
          </w:p>
        </w:tc>
        <w:tc>
          <w:tcPr>
            <w:tcW w:type="dxa" w:w="4309"/>
          </w:tcPr>
          <w:p>
            <w:pPr>
              <w:spacing w:after="40" w:before="40"/>
            </w:pPr>
            <w:r/>
            <w:r>
              <w:rPr>
                <w:rFonts w:ascii="Arial" w:hAnsi="Arial"/>
                <w:i w:val="0"/>
                <w:color w:val="202B38"/>
                <w:sz w:val="17"/>
              </w:rPr>
              <w:t>Publier les mentions légales et un lien permanent en pied de page</w:t>
            </w:r>
          </w:p>
        </w:tc>
        <w:tc>
          <w:tcPr>
            <w:tcW w:type="dxa" w:w="1474"/>
          </w:tcPr>
          <w:p>
            <w:pPr>
              <w:spacing w:after="40" w:before="40"/>
            </w:pPr>
            <w:r/>
            <w:r>
              <w:rPr>
                <w:rFonts w:ascii="Arial" w:hAnsi="Arial"/>
                <w:i w:val="0"/>
                <w:color w:val="202B38"/>
                <w:sz w:val="17"/>
              </w:rPr>
              <w:t>Rédaction</w:t>
            </w:r>
          </w:p>
        </w:tc>
        <w:tc>
          <w:tcPr>
            <w:tcW w:type="dxa" w:w="794"/>
          </w:tcPr>
          <w:p>
            <w:pPr>
              <w:spacing w:after="40" w:before="40"/>
            </w:pPr>
            <w:r/>
            <w:r>
              <w:rPr>
                <w:rFonts w:ascii="Arial" w:hAnsi="Arial"/>
                <w:i w:val="0"/>
                <w:color w:val="202B38"/>
                <w:sz w:val="17"/>
              </w:rPr>
              <w:t>7.1</w:t>
            </w:r>
          </w:p>
        </w:tc>
        <w:tc>
          <w:tcPr>
            <w:tcW w:type="dxa" w:w="1020"/>
          </w:tcPr>
          <w:p>
            <w:pPr>
              <w:spacing w:after="40" w:before="40"/>
            </w:pPr>
            <w:r/>
            <w:r>
              <w:rPr>
                <w:rFonts w:ascii="Arial" w:hAnsi="Arial"/>
                <w:i w:val="0"/>
                <w:color w:val="202B38"/>
                <w:sz w:val="17"/>
              </w:rPr>
              <w:t>0,5 j</w:t>
            </w:r>
          </w:p>
        </w:tc>
      </w:tr>
      <w:tr>
        <w:trPr>
          <w:cantSplit/>
        </w:trPr>
        <w:tc>
          <w:tcPr>
            <w:tcW w:type="dxa" w:w="907"/>
            <w:shd w:fill="F4F7FA"/>
          </w:tcPr>
          <w:p>
            <w:pPr>
              <w:spacing w:after="40" w:before="40"/>
            </w:pPr>
            <w:r/>
            <w:r>
              <w:rPr>
                <w:rFonts w:ascii="Arial" w:hAnsi="Arial"/>
                <w:i w:val="0"/>
                <w:color w:val="202B38"/>
                <w:sz w:val="17"/>
              </w:rPr>
              <w:t>J2</w:t>
            </w:r>
          </w:p>
        </w:tc>
        <w:tc>
          <w:tcPr>
            <w:tcW w:type="dxa" w:w="4309"/>
            <w:shd w:fill="F4F7FA"/>
          </w:tcPr>
          <w:p>
            <w:pPr>
              <w:spacing w:after="40" w:before="40"/>
            </w:pPr>
            <w:r/>
            <w:r>
              <w:rPr>
                <w:rFonts w:ascii="Arial" w:hAnsi="Arial"/>
                <w:i w:val="0"/>
                <w:color w:val="202B38"/>
                <w:sz w:val="17"/>
              </w:rPr>
              <w:t>Rédiger et publier la politique de confidentialité</w:t>
            </w:r>
          </w:p>
        </w:tc>
        <w:tc>
          <w:tcPr>
            <w:tcW w:type="dxa" w:w="1474"/>
            <w:shd w:fill="F4F7FA"/>
          </w:tcPr>
          <w:p>
            <w:pPr>
              <w:spacing w:after="40" w:before="40"/>
            </w:pPr>
            <w:r/>
            <w:r>
              <w:rPr>
                <w:rFonts w:ascii="Arial" w:hAnsi="Arial"/>
                <w:i w:val="0"/>
                <w:color w:val="202B38"/>
                <w:sz w:val="17"/>
              </w:rPr>
              <w:t>Rédaction</w:t>
            </w:r>
          </w:p>
        </w:tc>
        <w:tc>
          <w:tcPr>
            <w:tcW w:type="dxa" w:w="794"/>
            <w:shd w:fill="F4F7FA"/>
          </w:tcPr>
          <w:p>
            <w:pPr>
              <w:spacing w:after="40" w:before="40"/>
            </w:pPr>
            <w:r/>
            <w:r>
              <w:rPr>
                <w:rFonts w:ascii="Arial" w:hAnsi="Arial"/>
                <w:i w:val="0"/>
                <w:color w:val="202B38"/>
                <w:sz w:val="17"/>
              </w:rPr>
              <w:t>3</w:t>
            </w:r>
          </w:p>
        </w:tc>
        <w:tc>
          <w:tcPr>
            <w:tcW w:type="dxa" w:w="1020"/>
            <w:shd w:fill="F4F7FA"/>
          </w:tcPr>
          <w:p>
            <w:pPr>
              <w:spacing w:after="40" w:before="40"/>
            </w:pPr>
            <w:r/>
            <w:r>
              <w:rPr>
                <w:rFonts w:ascii="Arial" w:hAnsi="Arial"/>
                <w:i w:val="0"/>
                <w:color w:val="202B38"/>
                <w:sz w:val="17"/>
              </w:rPr>
              <w:t>1 j</w:t>
            </w:r>
          </w:p>
        </w:tc>
      </w:tr>
      <w:tr>
        <w:trPr>
          <w:cantSplit/>
        </w:trPr>
        <w:tc>
          <w:tcPr>
            <w:tcW w:type="dxa" w:w="907"/>
          </w:tcPr>
          <w:p>
            <w:pPr>
              <w:spacing w:after="40" w:before="40"/>
            </w:pPr>
            <w:r/>
            <w:r>
              <w:rPr>
                <w:rFonts w:ascii="Arial" w:hAnsi="Arial"/>
                <w:i w:val="0"/>
                <w:color w:val="202B38"/>
                <w:sz w:val="17"/>
              </w:rPr>
              <w:t>J3</w:t>
            </w:r>
          </w:p>
        </w:tc>
        <w:tc>
          <w:tcPr>
            <w:tcW w:type="dxa" w:w="4309"/>
          </w:tcPr>
          <w:p>
            <w:pPr>
              <w:spacing w:after="40" w:before="40"/>
            </w:pPr>
            <w:r/>
            <w:r>
              <w:rPr>
                <w:rFonts w:ascii="Arial" w:hAnsi="Arial"/>
                <w:i w:val="0"/>
                <w:color w:val="202B38"/>
                <w:sz w:val="17"/>
              </w:rPr>
              <w:t>Rédiger les conditions générales d'utilisation</w:t>
            </w:r>
          </w:p>
        </w:tc>
        <w:tc>
          <w:tcPr>
            <w:tcW w:type="dxa" w:w="1474"/>
          </w:tcPr>
          <w:p>
            <w:pPr>
              <w:spacing w:after="40" w:before="40"/>
            </w:pPr>
            <w:r/>
            <w:r>
              <w:rPr>
                <w:rFonts w:ascii="Arial" w:hAnsi="Arial"/>
                <w:i w:val="0"/>
                <w:color w:val="202B38"/>
                <w:sz w:val="17"/>
              </w:rPr>
              <w:t>Rédaction</w:t>
            </w:r>
          </w:p>
        </w:tc>
        <w:tc>
          <w:tcPr>
            <w:tcW w:type="dxa" w:w="794"/>
          </w:tcPr>
          <w:p>
            <w:pPr>
              <w:spacing w:after="40" w:before="40"/>
            </w:pPr>
            <w:r/>
            <w:r>
              <w:rPr>
                <w:rFonts w:ascii="Arial" w:hAnsi="Arial"/>
                <w:i w:val="0"/>
                <w:color w:val="202B38"/>
                <w:sz w:val="17"/>
              </w:rPr>
              <w:t>7.2</w:t>
            </w:r>
          </w:p>
        </w:tc>
        <w:tc>
          <w:tcPr>
            <w:tcW w:type="dxa" w:w="1020"/>
          </w:tcPr>
          <w:p>
            <w:pPr>
              <w:spacing w:after="40" w:before="40"/>
            </w:pPr>
            <w:r/>
            <w:r>
              <w:rPr>
                <w:rFonts w:ascii="Arial" w:hAnsi="Arial"/>
                <w:i w:val="0"/>
                <w:color w:val="202B38"/>
                <w:sz w:val="17"/>
              </w:rPr>
              <w:t>2 j</w:t>
            </w:r>
          </w:p>
        </w:tc>
      </w:tr>
      <w:tr>
        <w:trPr>
          <w:cantSplit/>
        </w:trPr>
        <w:tc>
          <w:tcPr>
            <w:tcW w:type="dxa" w:w="907"/>
            <w:shd w:fill="F4F7FA"/>
          </w:tcPr>
          <w:p>
            <w:pPr>
              <w:spacing w:after="40" w:before="40"/>
            </w:pPr>
            <w:r/>
            <w:r>
              <w:rPr>
                <w:rFonts w:ascii="Arial" w:hAnsi="Arial"/>
                <w:i w:val="0"/>
                <w:color w:val="202B38"/>
                <w:sz w:val="17"/>
              </w:rPr>
              <w:t>J4</w:t>
            </w:r>
          </w:p>
        </w:tc>
        <w:tc>
          <w:tcPr>
            <w:tcW w:type="dxa" w:w="4309"/>
            <w:shd w:fill="F4F7FA"/>
          </w:tcPr>
          <w:p>
            <w:pPr>
              <w:spacing w:after="40" w:before="40"/>
            </w:pPr>
            <w:r/>
            <w:r>
              <w:rPr>
                <w:rFonts w:ascii="Arial" w:hAnsi="Arial"/>
                <w:i w:val="0"/>
                <w:color w:val="202B38"/>
                <w:sz w:val="17"/>
              </w:rPr>
              <w:t>Ajouter un fichier de licence et le relevé des composants tiers</w:t>
            </w:r>
          </w:p>
        </w:tc>
        <w:tc>
          <w:tcPr>
            <w:tcW w:type="dxa" w:w="1474"/>
            <w:shd w:fill="F4F7FA"/>
          </w:tcPr>
          <w:p>
            <w:pPr>
              <w:spacing w:after="40" w:before="40"/>
            </w:pPr>
            <w:r/>
            <w:r>
              <w:rPr>
                <w:rFonts w:ascii="Arial" w:hAnsi="Arial"/>
                <w:i w:val="0"/>
                <w:color w:val="202B38"/>
                <w:sz w:val="17"/>
              </w:rPr>
              <w:t>Rédaction</w:t>
            </w:r>
          </w:p>
        </w:tc>
        <w:tc>
          <w:tcPr>
            <w:tcW w:type="dxa" w:w="794"/>
            <w:shd w:fill="F4F7FA"/>
          </w:tcPr>
          <w:p>
            <w:pPr>
              <w:spacing w:after="40" w:before="40"/>
            </w:pPr>
            <w:r/>
            <w:r>
              <w:rPr>
                <w:rFonts w:ascii="Arial" w:hAnsi="Arial"/>
                <w:i w:val="0"/>
                <w:color w:val="202B38"/>
                <w:sz w:val="17"/>
              </w:rPr>
              <w:t>6.5</w:t>
            </w:r>
          </w:p>
        </w:tc>
        <w:tc>
          <w:tcPr>
            <w:tcW w:type="dxa" w:w="1020"/>
            <w:shd w:fill="F4F7FA"/>
          </w:tcPr>
          <w:p>
            <w:pPr>
              <w:spacing w:after="40" w:before="40"/>
            </w:pPr>
            <w:r/>
            <w:r>
              <w:rPr>
                <w:rFonts w:ascii="Arial" w:hAnsi="Arial"/>
                <w:i w:val="0"/>
                <w:color w:val="202B38"/>
                <w:sz w:val="17"/>
              </w:rPr>
              <w:t>0,5 j</w:t>
            </w:r>
          </w:p>
        </w:tc>
      </w:tr>
      <w:tr>
        <w:trPr>
          <w:cantSplit/>
        </w:trPr>
        <w:tc>
          <w:tcPr>
            <w:tcW w:type="dxa" w:w="907"/>
          </w:tcPr>
          <w:p>
            <w:pPr>
              <w:spacing w:after="40" w:before="40"/>
            </w:pPr>
            <w:r/>
            <w:r>
              <w:rPr>
                <w:rFonts w:ascii="Arial" w:hAnsi="Arial"/>
                <w:i w:val="0"/>
                <w:color w:val="202B38"/>
                <w:sz w:val="17"/>
              </w:rPr>
              <w:t>J5</w:t>
            </w:r>
          </w:p>
        </w:tc>
        <w:tc>
          <w:tcPr>
            <w:tcW w:type="dxa" w:w="4309"/>
          </w:tcPr>
          <w:p>
            <w:pPr>
              <w:spacing w:after="40" w:before="40"/>
            </w:pPr>
            <w:r/>
            <w:r>
              <w:rPr>
                <w:rFonts w:ascii="Arial" w:hAnsi="Arial"/>
                <w:i w:val="0"/>
                <w:color w:val="202B38"/>
                <w:sz w:val="17"/>
              </w:rPr>
              <w:t>Établir le contrat de sous-traitance type (article 28)</w:t>
            </w:r>
          </w:p>
        </w:tc>
        <w:tc>
          <w:tcPr>
            <w:tcW w:type="dxa" w:w="1474"/>
          </w:tcPr>
          <w:p>
            <w:pPr>
              <w:spacing w:after="40" w:before="40"/>
            </w:pPr>
            <w:r/>
            <w:r>
              <w:rPr>
                <w:rFonts w:ascii="Arial" w:hAnsi="Arial"/>
                <w:i w:val="0"/>
                <w:color w:val="202B38"/>
                <w:sz w:val="17"/>
              </w:rPr>
              <w:t>Rédaction</w:t>
            </w:r>
          </w:p>
        </w:tc>
        <w:tc>
          <w:tcPr>
            <w:tcW w:type="dxa" w:w="794"/>
          </w:tcPr>
          <w:p>
            <w:pPr>
              <w:spacing w:after="40" w:before="40"/>
            </w:pPr>
            <w:r/>
            <w:r>
              <w:rPr>
                <w:rFonts w:ascii="Arial" w:hAnsi="Arial"/>
                <w:i w:val="0"/>
                <w:color w:val="202B38"/>
                <w:sz w:val="17"/>
              </w:rPr>
              <w:t>3.4</w:t>
            </w:r>
          </w:p>
        </w:tc>
        <w:tc>
          <w:tcPr>
            <w:tcW w:type="dxa" w:w="1020"/>
          </w:tcPr>
          <w:p>
            <w:pPr>
              <w:spacing w:after="40" w:before="40"/>
            </w:pPr>
            <w:r/>
            <w:r>
              <w:rPr>
                <w:rFonts w:ascii="Arial" w:hAnsi="Arial"/>
                <w:i w:val="0"/>
                <w:color w:val="202B38"/>
                <w:sz w:val="17"/>
              </w:rPr>
              <w:t>2 j</w:t>
            </w:r>
          </w:p>
        </w:tc>
      </w:tr>
      <w:tr>
        <w:trPr>
          <w:cantSplit/>
        </w:trPr>
        <w:tc>
          <w:tcPr>
            <w:tcW w:type="dxa" w:w="907"/>
            <w:shd w:fill="F4F7FA"/>
          </w:tcPr>
          <w:p>
            <w:pPr>
              <w:spacing w:after="40" w:before="40"/>
            </w:pPr>
            <w:r/>
            <w:r>
              <w:rPr>
                <w:rFonts w:ascii="Arial" w:hAnsi="Arial"/>
                <w:i w:val="0"/>
                <w:color w:val="202B38"/>
                <w:sz w:val="17"/>
              </w:rPr>
              <w:t>J6</w:t>
            </w:r>
          </w:p>
        </w:tc>
        <w:tc>
          <w:tcPr>
            <w:tcW w:type="dxa" w:w="4309"/>
            <w:shd w:fill="F4F7FA"/>
          </w:tcPr>
          <w:p>
            <w:pPr>
              <w:spacing w:after="40" w:before="40"/>
            </w:pPr>
            <w:r/>
            <w:r>
              <w:rPr>
                <w:rFonts w:ascii="Arial" w:hAnsi="Arial"/>
                <w:i w:val="0"/>
                <w:color w:val="202B38"/>
                <w:sz w:val="17"/>
              </w:rPr>
              <w:t>Constituer le registre des activités de traitement</w:t>
            </w:r>
          </w:p>
        </w:tc>
        <w:tc>
          <w:tcPr>
            <w:tcW w:type="dxa" w:w="1474"/>
            <w:shd w:fill="F4F7FA"/>
          </w:tcPr>
          <w:p>
            <w:pPr>
              <w:spacing w:after="40" w:before="40"/>
            </w:pPr>
            <w:r/>
            <w:r>
              <w:rPr>
                <w:rFonts w:ascii="Arial" w:hAnsi="Arial"/>
                <w:i w:val="0"/>
                <w:color w:val="202B38"/>
                <w:sz w:val="17"/>
              </w:rPr>
              <w:t>Rédaction</w:t>
            </w:r>
          </w:p>
        </w:tc>
        <w:tc>
          <w:tcPr>
            <w:tcW w:type="dxa" w:w="794"/>
            <w:shd w:fill="F4F7FA"/>
          </w:tcPr>
          <w:p>
            <w:pPr>
              <w:spacing w:after="40" w:before="40"/>
            </w:pPr>
            <w:r/>
            <w:r>
              <w:rPr>
                <w:rFonts w:ascii="Arial" w:hAnsi="Arial"/>
                <w:i w:val="0"/>
                <w:color w:val="202B38"/>
                <w:sz w:val="17"/>
              </w:rPr>
              <w:t>3.4</w:t>
            </w:r>
          </w:p>
        </w:tc>
        <w:tc>
          <w:tcPr>
            <w:tcW w:type="dxa" w:w="1020"/>
            <w:shd w:fill="F4F7FA"/>
          </w:tcPr>
          <w:p>
            <w:pPr>
              <w:spacing w:after="40" w:before="40"/>
            </w:pPr>
            <w:r/>
            <w:r>
              <w:rPr>
                <w:rFonts w:ascii="Arial" w:hAnsi="Arial"/>
                <w:i w:val="0"/>
                <w:color w:val="202B38"/>
                <w:sz w:val="17"/>
              </w:rPr>
              <w:t>1 j</w:t>
            </w:r>
          </w:p>
        </w:tc>
      </w:tr>
      <w:tr>
        <w:trPr>
          <w:cantSplit/>
        </w:trPr>
        <w:tc>
          <w:tcPr>
            <w:tcW w:type="dxa" w:w="907"/>
          </w:tcPr>
          <w:p>
            <w:pPr>
              <w:spacing w:after="40" w:before="40"/>
            </w:pPr>
            <w:r/>
            <w:r>
              <w:rPr>
                <w:rFonts w:ascii="Arial" w:hAnsi="Arial"/>
                <w:i w:val="0"/>
                <w:color w:val="202B38"/>
                <w:sz w:val="17"/>
              </w:rPr>
              <w:t>J7</w:t>
            </w:r>
          </w:p>
        </w:tc>
        <w:tc>
          <w:tcPr>
            <w:tcW w:type="dxa" w:w="4309"/>
          </w:tcPr>
          <w:p>
            <w:pPr>
              <w:spacing w:after="40" w:before="40"/>
            </w:pPr>
            <w:r/>
            <w:r>
              <w:rPr>
                <w:rFonts w:ascii="Arial" w:hAnsi="Arial"/>
                <w:i w:val="0"/>
                <w:color w:val="202B38"/>
                <w:sz w:val="17"/>
              </w:rPr>
              <w:t>Définir et appliquer les durées de conservation</w:t>
            </w:r>
          </w:p>
        </w:tc>
        <w:tc>
          <w:tcPr>
            <w:tcW w:type="dxa" w:w="1474"/>
          </w:tcPr>
          <w:p>
            <w:pPr>
              <w:spacing w:after="40" w:before="40"/>
            </w:pPr>
            <w:r/>
            <w:r>
              <w:rPr>
                <w:rFonts w:ascii="Arial" w:hAnsi="Arial"/>
                <w:i w:val="0"/>
                <w:color w:val="202B38"/>
                <w:sz w:val="17"/>
              </w:rPr>
              <w:t>Développement</w:t>
            </w:r>
          </w:p>
        </w:tc>
        <w:tc>
          <w:tcPr>
            <w:tcW w:type="dxa" w:w="794"/>
          </w:tcPr>
          <w:p>
            <w:pPr>
              <w:spacing w:after="40" w:before="40"/>
            </w:pPr>
            <w:r/>
            <w:r>
              <w:rPr>
                <w:rFonts w:ascii="Arial" w:hAnsi="Arial"/>
                <w:i w:val="0"/>
                <w:color w:val="202B38"/>
                <w:sz w:val="17"/>
              </w:rPr>
              <w:t>3.2</w:t>
            </w:r>
          </w:p>
        </w:tc>
        <w:tc>
          <w:tcPr>
            <w:tcW w:type="dxa" w:w="1020"/>
          </w:tcPr>
          <w:p>
            <w:pPr>
              <w:spacing w:after="40" w:before="40"/>
            </w:pPr>
            <w:r/>
            <w:r>
              <w:rPr>
                <w:rFonts w:ascii="Arial" w:hAnsi="Arial"/>
                <w:i w:val="0"/>
                <w:color w:val="202B38"/>
                <w:sz w:val="17"/>
              </w:rPr>
              <w:t>2 j</w:t>
            </w:r>
          </w:p>
        </w:tc>
      </w:tr>
      <w:tr>
        <w:trPr>
          <w:cantSplit/>
        </w:trPr>
        <w:tc>
          <w:tcPr>
            <w:tcW w:type="dxa" w:w="907"/>
            <w:shd w:fill="F4F7FA"/>
          </w:tcPr>
          <w:p>
            <w:pPr>
              <w:spacing w:after="40" w:before="40"/>
            </w:pPr>
            <w:r/>
            <w:r>
              <w:rPr>
                <w:rFonts w:ascii="Arial" w:hAnsi="Arial"/>
                <w:i w:val="0"/>
                <w:color w:val="202B38"/>
                <w:sz w:val="17"/>
              </w:rPr>
              <w:t>J8</w:t>
            </w:r>
          </w:p>
        </w:tc>
        <w:tc>
          <w:tcPr>
            <w:tcW w:type="dxa" w:w="4309"/>
            <w:shd w:fill="F4F7FA"/>
          </w:tcPr>
          <w:p>
            <w:pPr>
              <w:spacing w:after="40" w:before="40"/>
            </w:pPr>
            <w:r/>
            <w:r>
              <w:rPr>
                <w:rFonts w:ascii="Arial" w:hAnsi="Arial"/>
                <w:i w:val="0"/>
                <w:color w:val="202B38"/>
                <w:sz w:val="17"/>
              </w:rPr>
              <w:t>Développer l'export des données et l'anonymisation des comptes</w:t>
            </w:r>
          </w:p>
        </w:tc>
        <w:tc>
          <w:tcPr>
            <w:tcW w:type="dxa" w:w="1474"/>
            <w:shd w:fill="F4F7FA"/>
          </w:tcPr>
          <w:p>
            <w:pPr>
              <w:spacing w:after="40" w:before="40"/>
            </w:pPr>
            <w:r/>
            <w:r>
              <w:rPr>
                <w:rFonts w:ascii="Arial" w:hAnsi="Arial"/>
                <w:i w:val="0"/>
                <w:color w:val="202B38"/>
                <w:sz w:val="17"/>
              </w:rPr>
              <w:t>Développement</w:t>
            </w:r>
          </w:p>
        </w:tc>
        <w:tc>
          <w:tcPr>
            <w:tcW w:type="dxa" w:w="794"/>
            <w:shd w:fill="F4F7FA"/>
          </w:tcPr>
          <w:p>
            <w:pPr>
              <w:spacing w:after="40" w:before="40"/>
            </w:pPr>
            <w:r/>
            <w:r>
              <w:rPr>
                <w:rFonts w:ascii="Arial" w:hAnsi="Arial"/>
                <w:i w:val="0"/>
                <w:color w:val="202B38"/>
                <w:sz w:val="17"/>
              </w:rPr>
              <w:t>3.3</w:t>
            </w:r>
          </w:p>
        </w:tc>
        <w:tc>
          <w:tcPr>
            <w:tcW w:type="dxa" w:w="1020"/>
            <w:shd w:fill="F4F7FA"/>
          </w:tcPr>
          <w:p>
            <w:pPr>
              <w:spacing w:after="40" w:before="40"/>
            </w:pPr>
            <w:r/>
            <w:r>
              <w:rPr>
                <w:rFonts w:ascii="Arial" w:hAnsi="Arial"/>
                <w:i w:val="0"/>
                <w:color w:val="202B38"/>
                <w:sz w:val="17"/>
              </w:rPr>
              <w:t>3 j</w:t>
            </w:r>
          </w:p>
        </w:tc>
      </w:tr>
      <w:tr>
        <w:trPr>
          <w:cantSplit/>
        </w:trPr>
        <w:tc>
          <w:tcPr>
            <w:tcW w:type="dxa" w:w="907"/>
          </w:tcPr>
          <w:p>
            <w:pPr>
              <w:spacing w:after="40" w:before="40"/>
            </w:pPr>
            <w:r/>
            <w:r>
              <w:rPr>
                <w:rFonts w:ascii="Arial" w:hAnsi="Arial"/>
                <w:i w:val="0"/>
                <w:color w:val="202B38"/>
                <w:sz w:val="17"/>
              </w:rPr>
              <w:t>J9</w:t>
            </w:r>
          </w:p>
        </w:tc>
        <w:tc>
          <w:tcPr>
            <w:tcW w:type="dxa" w:w="4309"/>
          </w:tcPr>
          <w:p>
            <w:pPr>
              <w:spacing w:after="40" w:before="40"/>
            </w:pPr>
            <w:r/>
            <w:r>
              <w:rPr>
                <w:rFonts w:ascii="Arial" w:hAnsi="Arial"/>
                <w:i w:val="0"/>
                <w:color w:val="202B38"/>
                <w:sz w:val="17"/>
              </w:rPr>
              <w:t>Formaliser la procédure de notification des violations</w:t>
            </w:r>
          </w:p>
        </w:tc>
        <w:tc>
          <w:tcPr>
            <w:tcW w:type="dxa" w:w="1474"/>
          </w:tcPr>
          <w:p>
            <w:pPr>
              <w:spacing w:after="40" w:before="40"/>
            </w:pPr>
            <w:r/>
            <w:r>
              <w:rPr>
                <w:rFonts w:ascii="Arial" w:hAnsi="Arial"/>
                <w:i w:val="0"/>
                <w:color w:val="202B38"/>
                <w:sz w:val="17"/>
              </w:rPr>
              <w:t>Rédaction</w:t>
            </w:r>
          </w:p>
        </w:tc>
        <w:tc>
          <w:tcPr>
            <w:tcW w:type="dxa" w:w="794"/>
          </w:tcPr>
          <w:p>
            <w:pPr>
              <w:spacing w:after="40" w:before="40"/>
            </w:pPr>
            <w:r/>
            <w:r>
              <w:rPr>
                <w:rFonts w:ascii="Arial" w:hAnsi="Arial"/>
                <w:i w:val="0"/>
                <w:color w:val="202B38"/>
                <w:sz w:val="17"/>
              </w:rPr>
              <w:t>3.4</w:t>
            </w:r>
          </w:p>
        </w:tc>
        <w:tc>
          <w:tcPr>
            <w:tcW w:type="dxa" w:w="1020"/>
          </w:tcPr>
          <w:p>
            <w:pPr>
              <w:spacing w:after="40" w:before="40"/>
            </w:pPr>
            <w:r/>
            <w:r>
              <w:rPr>
                <w:rFonts w:ascii="Arial" w:hAnsi="Arial"/>
                <w:i w:val="0"/>
                <w:color w:val="202B38"/>
                <w:sz w:val="17"/>
              </w:rPr>
              <w:t>1 j</w:t>
            </w:r>
          </w:p>
        </w:tc>
      </w:tr>
      <w:tr>
        <w:trPr>
          <w:cantSplit/>
        </w:trPr>
        <w:tc>
          <w:tcPr>
            <w:tcW w:type="dxa" w:w="907"/>
            <w:shd w:fill="F4F7FA"/>
          </w:tcPr>
          <w:p>
            <w:pPr>
              <w:spacing w:after="40" w:before="40"/>
            </w:pPr>
            <w:r/>
            <w:r>
              <w:rPr>
                <w:rFonts w:ascii="Arial" w:hAnsi="Arial"/>
                <w:i w:val="0"/>
                <w:color w:val="202B38"/>
                <w:sz w:val="17"/>
              </w:rPr>
              <w:t>J10</w:t>
            </w:r>
          </w:p>
        </w:tc>
        <w:tc>
          <w:tcPr>
            <w:tcW w:type="dxa" w:w="4309"/>
            <w:shd w:fill="F4F7FA"/>
          </w:tcPr>
          <w:p>
            <w:pPr>
              <w:spacing w:after="40" w:before="40"/>
            </w:pPr>
            <w:r/>
            <w:r>
              <w:rPr>
                <w:rFonts w:ascii="Arial" w:hAnsi="Arial"/>
                <w:i w:val="0"/>
                <w:color w:val="202B38"/>
                <w:sz w:val="17"/>
              </w:rPr>
              <w:t>Arbitrer la licence du connecteur de base de données</w:t>
            </w:r>
          </w:p>
        </w:tc>
        <w:tc>
          <w:tcPr>
            <w:tcW w:type="dxa" w:w="1474"/>
            <w:shd w:fill="F4F7FA"/>
          </w:tcPr>
          <w:p>
            <w:pPr>
              <w:spacing w:after="40" w:before="40"/>
            </w:pPr>
            <w:r/>
            <w:r>
              <w:rPr>
                <w:rFonts w:ascii="Arial" w:hAnsi="Arial"/>
                <w:i w:val="0"/>
                <w:color w:val="202B38"/>
                <w:sz w:val="17"/>
              </w:rPr>
              <w:t>Décision</w:t>
            </w:r>
          </w:p>
        </w:tc>
        <w:tc>
          <w:tcPr>
            <w:tcW w:type="dxa" w:w="794"/>
            <w:shd w:fill="F4F7FA"/>
          </w:tcPr>
          <w:p>
            <w:pPr>
              <w:spacing w:after="40" w:before="40"/>
            </w:pPr>
            <w:r/>
            <w:r>
              <w:rPr>
                <w:rFonts w:ascii="Arial" w:hAnsi="Arial"/>
                <w:i w:val="0"/>
                <w:color w:val="202B38"/>
                <w:sz w:val="17"/>
              </w:rPr>
              <w:t>6.4</w:t>
            </w:r>
          </w:p>
        </w:tc>
        <w:tc>
          <w:tcPr>
            <w:tcW w:type="dxa" w:w="1020"/>
            <w:shd w:fill="F4F7FA"/>
          </w:tcPr>
          <w:p>
            <w:pPr>
              <w:spacing w:after="40" w:before="40"/>
            </w:pPr>
            <w:r/>
            <w:r>
              <w:rPr>
                <w:rFonts w:ascii="Arial" w:hAnsi="Arial"/>
                <w:i w:val="0"/>
                <w:color w:val="202B38"/>
                <w:sz w:val="17"/>
              </w:rPr>
              <w:t>0,5 j</w:t>
            </w:r>
          </w:p>
        </w:tc>
      </w:tr>
      <w:tr>
        <w:trPr>
          <w:cantSplit/>
        </w:trPr>
        <w:tc>
          <w:tcPr>
            <w:tcW w:type="dxa" w:w="907"/>
          </w:tcPr>
          <w:p>
            <w:pPr>
              <w:spacing w:after="40" w:before="40"/>
            </w:pPr>
            <w:r/>
            <w:r>
              <w:rPr>
                <w:rFonts w:ascii="Arial" w:hAnsi="Arial"/>
                <w:i w:val="0"/>
                <w:color w:val="202B38"/>
                <w:sz w:val="17"/>
              </w:rPr>
              <w:t>J11</w:t>
            </w:r>
          </w:p>
        </w:tc>
        <w:tc>
          <w:tcPr>
            <w:tcW w:type="dxa" w:w="4309"/>
          </w:tcPr>
          <w:p>
            <w:pPr>
              <w:spacing w:after="40" w:before="40"/>
            </w:pPr>
            <w:r/>
            <w:r>
              <w:rPr>
                <w:rFonts w:ascii="Arial" w:hAnsi="Arial"/>
                <w:i w:val="0"/>
                <w:color w:val="202B38"/>
                <w:sz w:val="17"/>
              </w:rPr>
              <w:t>Documenter l'hébergement et les transferts hors Union</w:t>
            </w:r>
          </w:p>
        </w:tc>
        <w:tc>
          <w:tcPr>
            <w:tcW w:type="dxa" w:w="1474"/>
          </w:tcPr>
          <w:p>
            <w:pPr>
              <w:spacing w:after="40" w:before="40"/>
            </w:pPr>
            <w:r/>
            <w:r>
              <w:rPr>
                <w:rFonts w:ascii="Arial" w:hAnsi="Arial"/>
                <w:i w:val="0"/>
                <w:color w:val="202B38"/>
                <w:sz w:val="17"/>
              </w:rPr>
              <w:t>Décision</w:t>
            </w:r>
          </w:p>
        </w:tc>
        <w:tc>
          <w:tcPr>
            <w:tcW w:type="dxa" w:w="794"/>
          </w:tcPr>
          <w:p>
            <w:pPr>
              <w:spacing w:after="40" w:before="40"/>
            </w:pPr>
            <w:r/>
            <w:r>
              <w:rPr>
                <w:rFonts w:ascii="Arial" w:hAnsi="Arial"/>
                <w:i w:val="0"/>
                <w:color w:val="202B38"/>
                <w:sz w:val="17"/>
              </w:rPr>
              <w:t>3.5</w:t>
            </w:r>
          </w:p>
        </w:tc>
        <w:tc>
          <w:tcPr>
            <w:tcW w:type="dxa" w:w="1020"/>
          </w:tcPr>
          <w:p>
            <w:pPr>
              <w:spacing w:after="40" w:before="40"/>
            </w:pPr>
            <w:r/>
            <w:r>
              <w:rPr>
                <w:rFonts w:ascii="Arial" w:hAnsi="Arial"/>
                <w:i w:val="0"/>
                <w:color w:val="202B38"/>
                <w:sz w:val="17"/>
              </w:rPr>
              <w:t>0,5 j</w:t>
            </w:r>
          </w:p>
        </w:tc>
      </w:tr>
      <w:tr>
        <w:trPr>
          <w:cantSplit/>
        </w:trPr>
        <w:tc>
          <w:tcPr>
            <w:tcW w:type="dxa" w:w="907"/>
            <w:shd w:fill="F4F7FA"/>
          </w:tcPr>
          <w:p>
            <w:pPr>
              <w:spacing w:after="40" w:before="40"/>
            </w:pPr>
            <w:r/>
            <w:r>
              <w:rPr>
                <w:rFonts w:ascii="Arial" w:hAnsi="Arial"/>
                <w:i w:val="0"/>
                <w:color w:val="202B38"/>
                <w:sz w:val="17"/>
              </w:rPr>
              <w:t>J12</w:t>
            </w:r>
          </w:p>
        </w:tc>
        <w:tc>
          <w:tcPr>
            <w:tcW w:type="dxa" w:w="4309"/>
            <w:shd w:fill="F4F7FA"/>
          </w:tcPr>
          <w:p>
            <w:pPr>
              <w:spacing w:after="40" w:before="40"/>
            </w:pPr>
            <w:r/>
            <w:r>
              <w:rPr>
                <w:rFonts w:ascii="Arial" w:hAnsi="Arial"/>
                <w:i w:val="0"/>
                <w:color w:val="202B38"/>
                <w:sz w:val="17"/>
              </w:rPr>
              <w:t>Prévoir le bandeau de consentement si une mesure d'audience est ajoutée</w:t>
            </w:r>
          </w:p>
        </w:tc>
        <w:tc>
          <w:tcPr>
            <w:tcW w:type="dxa" w:w="1474"/>
            <w:shd w:fill="F4F7FA"/>
          </w:tcPr>
          <w:p>
            <w:pPr>
              <w:spacing w:after="40" w:before="40"/>
            </w:pPr>
            <w:r/>
            <w:r>
              <w:rPr>
                <w:rFonts w:ascii="Arial" w:hAnsi="Arial"/>
                <w:i w:val="0"/>
                <w:color w:val="202B38"/>
                <w:sz w:val="17"/>
              </w:rPr>
              <w:t>Conditionnel</w:t>
            </w:r>
          </w:p>
        </w:tc>
        <w:tc>
          <w:tcPr>
            <w:tcW w:type="dxa" w:w="794"/>
            <w:shd w:fill="F4F7FA"/>
          </w:tcPr>
          <w:p>
            <w:pPr>
              <w:spacing w:after="40" w:before="40"/>
            </w:pPr>
            <w:r/>
            <w:r>
              <w:rPr>
                <w:rFonts w:ascii="Arial" w:hAnsi="Arial"/>
                <w:i w:val="0"/>
                <w:color w:val="202B38"/>
                <w:sz w:val="17"/>
              </w:rPr>
              <w:t>5.3</w:t>
            </w:r>
          </w:p>
        </w:tc>
        <w:tc>
          <w:tcPr>
            <w:tcW w:type="dxa" w:w="1020"/>
            <w:shd w:fill="F4F7FA"/>
          </w:tcPr>
          <w:p>
            <w:pPr>
              <w:spacing w:after="40" w:before="40"/>
            </w:pPr>
            <w:r/>
            <w:r>
              <w:rPr>
                <w:rFonts w:ascii="Arial" w:hAnsi="Arial"/>
                <w:i w:val="0"/>
                <w:color w:val="202B38"/>
                <w:sz w:val="17"/>
              </w:rPr>
              <w:t>1 j</w:t>
            </w:r>
          </w:p>
        </w:tc>
      </w:tr>
    </w:tbl>
    <w:p>
      <w:pPr>
        <w:spacing w:after="0"/>
      </w:pPr>
    </w:p>
    <w:p>
      <w:pPr>
        <w:spacing w:after="80"/>
        <w:jc w:val="both"/>
      </w:pPr>
      <w:r>
        <w:rPr>
          <w:rFonts w:ascii="Arial" w:hAnsi="Arial"/>
          <w:i w:val="0"/>
          <w:color w:val="202B38"/>
          <w:sz w:val="21"/>
        </w:rPr>
        <w:t>Les six premières actions ne demandent aucune ligne de code et couvrent les manquements les plus visibles de l'extérieur, pour environ sept jours de rédaction.</w:t>
      </w:r>
    </w:p>
    <w:p>
      <w:pPr>
        <w:keepNext/>
        <w:spacing w:before="300" w:after="100"/>
        <w:pBdr>
          <w:bottom w:val="single" w:sz="4" w:space="3" w:color="C8D4E2"/>
        </w:pBdr>
      </w:pPr>
      <w:r>
        <w:rPr>
          <w:rFonts w:ascii="Arial" w:hAnsi="Arial"/>
          <w:b/>
          <w:color w:val="163658"/>
          <w:sz w:val="32"/>
        </w:rPr>
        <w:t>10. Conclusion</w:t>
      </w:r>
    </w:p>
    <w:p>
      <w:pPr>
        <w:spacing w:after="80"/>
        <w:jc w:val="both"/>
      </w:pPr>
      <w:r>
        <w:rPr>
          <w:rFonts w:ascii="Arial" w:hAnsi="Arial"/>
          <w:i w:val="0"/>
          <w:color w:val="202B38"/>
          <w:sz w:val="21"/>
        </w:rPr>
        <w:t xml:space="preserve">L'examen juridique de TrackIT fait apparaître un déséquilibre instructif. Les obligations qui touchent à la </w:t>
      </w:r>
      <w:r>
        <w:rPr>
          <w:rFonts w:ascii="Arial" w:hAnsi="Arial"/>
          <w:b/>
          <w:i w:val="0"/>
          <w:color w:val="202B38"/>
          <w:sz w:val="21"/>
        </w:rPr>
        <w:t>conception technique</w:t>
      </w:r>
      <w:r>
        <w:rPr>
          <w:rFonts w:ascii="Arial" w:hAnsi="Arial"/>
          <w:i w:val="0"/>
          <w:color w:val="202B38"/>
          <w:sz w:val="21"/>
        </w:rPr>
        <w:t xml:space="preserve"> sont largement satisfaites : données collectées minimales, aucune catégorie sensible, aucune donnée bancaire conservée, aucun traceur, cloisonnement effectif, licences tierces presque toutes permissives. Ces résultats découlent de choix d'ingénierie conformes par construction.</w:t>
      </w:r>
    </w:p>
    <w:p>
      <w:pPr>
        <w:spacing w:after="80"/>
        <w:jc w:val="both"/>
      </w:pPr>
      <w:r>
        <w:rPr>
          <w:rFonts w:ascii="Arial" w:hAnsi="Arial"/>
          <w:i w:val="0"/>
          <w:color w:val="202B38"/>
          <w:sz w:val="21"/>
        </w:rPr>
        <w:t xml:space="preserve">Les obligations qui touchent à la </w:t>
      </w:r>
      <w:r>
        <w:rPr>
          <w:rFonts w:ascii="Arial" w:hAnsi="Arial"/>
          <w:b/>
          <w:i w:val="0"/>
          <w:color w:val="202B38"/>
          <w:sz w:val="21"/>
        </w:rPr>
        <w:t>formalisation</w:t>
      </w:r>
      <w:r>
        <w:rPr>
          <w:rFonts w:ascii="Arial" w:hAnsi="Arial"/>
          <w:i w:val="0"/>
          <w:color w:val="202B38"/>
          <w:sz w:val="21"/>
        </w:rPr>
        <w:t xml:space="preserve"> ne le sont pas. Il n'existe ni mentions légales, ni politique de confidentialité, ni conditions générales, ni contrat de sous-traitance, ni registre des traitements, ni licence déclarée sur le code. Or ce sont précisément les éléments qu'un tiers — une organisation cliente, un auditeur, une autorité de contrôle — examine en premier, parce qu'ils sont visibles sans accès au code.</w:t>
      </w:r>
    </w:p>
    <w:p>
      <w:pPr>
        <w:spacing w:after="80"/>
        <w:jc w:val="both"/>
      </w:pPr>
      <w:r>
        <w:rPr>
          <w:rFonts w:ascii="Arial" w:hAnsi="Arial"/>
          <w:i w:val="0"/>
          <w:color w:val="202B38"/>
          <w:sz w:val="21"/>
        </w:rPr>
        <w:t xml:space="preserve">Un point de qualification conditionne l'ensemble : TrackIT occupe </w:t>
      </w:r>
      <w:r>
        <w:rPr>
          <w:rFonts w:ascii="Arial" w:hAnsi="Arial"/>
          <w:b/>
          <w:i w:val="0"/>
          <w:color w:val="202B38"/>
          <w:sz w:val="21"/>
        </w:rPr>
        <w:t>deux positions distinctes</w:t>
      </w:r>
      <w:r>
        <w:rPr>
          <w:rFonts w:ascii="Arial" w:hAnsi="Arial"/>
          <w:i w:val="0"/>
          <w:color w:val="202B38"/>
          <w:sz w:val="21"/>
        </w:rPr>
        <w:t xml:space="preserve"> au regard du RGPD, sous-traitant pour les données de ses clients et responsable pour les siennes. Cette dualité détermine qui informe, qui répond aux demandes des personnes et qui notifie une violation. Tant qu'elle n'est pas écrite dans un contrat, la répartition des responsabilités reste indéterminée — ce qui expose l'éditeur autant que ses clients.</w:t>
      </w:r>
    </w:p>
    <w:p>
      <w:pPr>
        <w:spacing w:after="80"/>
        <w:jc w:val="both"/>
      </w:pPr>
      <w:r>
        <w:rPr>
          <w:rFonts w:ascii="Arial" w:hAnsi="Arial"/>
          <w:i w:val="0"/>
          <w:color w:val="202B38"/>
          <w:sz w:val="21"/>
        </w:rPr>
        <w:t>Enfin, cette analyse ne se lit pas isolément. L'absence de chiffrement du transport relevée au livrable 16 n'est pas seulement une faiblesse technique : c'est un élément susceptible de caractériser un manquement à l'obligation de sécurité de l'article 32. Et la mesure d'audience proposée au livrable 17 ferait basculer l'application dans le régime du consentement préalable. La conformité juridique n'est pas un chapitre séparé du projet : elle est la conséquence des choix techniques et commerciaux qui y sont faits.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878"/>
        <w:sz w:val="16"/>
      </w:rPr>
      <w:t xml:space="preserve">Page </w:t>
    </w:r>
    <w:r>
      <w:rPr>
        <w:rFonts w:ascii="Arial" w:hAnsi="Arial"/>
        <w:color w:val="5B6878"/>
        <w:sz w:val="16"/>
      </w:rPr>
      <w:fldChar w:fldCharType="begin"/>
      <w:instrText xml:space="preserve"> PAGE </w:instrText>
      <w:fldChar w:fldCharType="end"/>
    </w:r>
    <w:r>
      <w:rPr>
        <w:rFonts w:ascii="Arial" w:hAnsi="Arial"/>
        <w:color w:val="5B6878"/>
        <w:sz w:val="16"/>
      </w:rPr>
      <w:t xml:space="preserve"> / </w:t>
    </w:r>
    <w:r>
      <w:rPr>
        <w:rFonts w:ascii="Arial" w:hAnsi="Arial"/>
        <w:color w:val="5B6878"/>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5B6878"/>
        <w:sz w:val="16"/>
      </w:rPr>
      <w:t>TrackIT — Aspects juridiques et cadre légal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TrackIT - Aspects juridiques et cadre legal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