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0FC1" w:rsidRPr="004D0FC1" w:rsidRDefault="004D0FC1" w:rsidP="00C6101E">
      <w:pPr>
        <w:spacing w:before="1200"/>
        <w:jc w:val="center"/>
      </w:pPr>
      <w:r w:rsidRPr="004D0FC1">
        <w:rPr>
          <w:b/>
          <w:color w:val="1F4E79"/>
          <w:sz w:val="44"/>
        </w:rPr>
        <w:t>GENETICKÝ MONITORING</w:t>
      </w:r>
      <w:r w:rsidRPr="004D0FC1">
        <w:rPr>
          <w:b/>
          <w:color w:val="1F4E79"/>
          <w:sz w:val="44"/>
        </w:rPr>
        <w:br/>
        <w:t>V OCHRANĚ PŘÍRODY</w:t>
      </w:r>
    </w:p>
    <w:p w:rsidR="004D0FC1" w:rsidRPr="004D0FC1" w:rsidRDefault="004D0FC1" w:rsidP="00C6101E">
      <w:pPr>
        <w:jc w:val="center"/>
      </w:pPr>
      <w:r w:rsidRPr="004D0FC1">
        <w:rPr>
          <w:color w:val="44546A"/>
          <w:sz w:val="28"/>
        </w:rPr>
        <w:t>Současný stav a možnosti využití v AOPK ČR</w:t>
      </w:r>
      <w:r w:rsidRPr="004D0FC1">
        <w:rPr>
          <w:color w:val="44546A"/>
          <w:sz w:val="28"/>
        </w:rPr>
        <w:br/>
        <w:t xml:space="preserve">se zaměřením na </w:t>
      </w:r>
      <w:r w:rsidR="0028740C">
        <w:rPr>
          <w:color w:val="44546A"/>
          <w:sz w:val="28"/>
        </w:rPr>
        <w:t>monitoring vnitrodruhové genetické diverzity a jejích změn v čase</w:t>
      </w:r>
    </w:p>
    <w:p w:rsidR="004D0FC1" w:rsidRPr="004D0FC1" w:rsidRDefault="004D0FC1" w:rsidP="00C6101E">
      <w:pPr>
        <w:spacing w:before="440"/>
        <w:jc w:val="center"/>
        <w:rPr>
          <w:i/>
          <w:color w:val="646464"/>
        </w:rPr>
      </w:pPr>
      <w:r w:rsidRPr="004D0FC1">
        <w:rPr>
          <w:i/>
          <w:color w:val="646464"/>
        </w:rPr>
        <w:t>Ing. Radek Hejda</w:t>
      </w:r>
    </w:p>
    <w:p w:rsidR="004D0FC1" w:rsidRPr="004D0FC1" w:rsidRDefault="004D0FC1" w:rsidP="004B1106">
      <w:pPr>
        <w:spacing w:before="440"/>
        <w:jc w:val="both"/>
      </w:pPr>
    </w:p>
    <w:p w:rsidR="004D0FC1" w:rsidRPr="004D0FC1" w:rsidRDefault="004D0FC1" w:rsidP="004B1106">
      <w:pPr>
        <w:spacing w:after="0"/>
        <w:jc w:val="both"/>
      </w:pPr>
    </w:p>
    <w:p w:rsidR="004D0FC1" w:rsidRPr="004D0FC1" w:rsidRDefault="004D0FC1" w:rsidP="004B1106">
      <w:pPr>
        <w:jc w:val="both"/>
      </w:pPr>
      <w:r w:rsidRPr="004D0FC1">
        <w:br w:type="page"/>
      </w:r>
    </w:p>
    <w:p w:rsidR="004D0FC1" w:rsidRPr="004D0FC1" w:rsidRDefault="00601938" w:rsidP="004B1106">
      <w:pPr>
        <w:pStyle w:val="Nadpis1"/>
        <w:numPr>
          <w:ilvl w:val="0"/>
          <w:numId w:val="2"/>
        </w:numPr>
        <w:tabs>
          <w:tab w:val="num" w:pos="360"/>
        </w:tabs>
        <w:ind w:left="0" w:firstLine="0"/>
        <w:jc w:val="both"/>
        <w:rPr>
          <w:rFonts w:ascii="Arial" w:hAnsi="Arial"/>
        </w:rPr>
      </w:pPr>
      <w:r>
        <w:rPr>
          <w:rFonts w:ascii="Arial" w:hAnsi="Arial"/>
        </w:rPr>
        <w:lastRenderedPageBreak/>
        <w:t>Shrnutí</w:t>
      </w:r>
    </w:p>
    <w:p w:rsidR="004D0FC1" w:rsidRPr="004D0FC1" w:rsidRDefault="004D0FC1" w:rsidP="004B1106">
      <w:pPr>
        <w:jc w:val="both"/>
      </w:pPr>
      <w:r w:rsidRPr="0028740C">
        <w:t>V České republice dosud není zaveden standardizovaný a dlouhodobý národní systém monitoringu genetické diverzity volně žijících druhů s definovaným výběrem taxonů, periodicitou, indikátory, standardy odběru a stabilním financováním. Strategická potřeba ochrany genetické variability je přitom v českých strategických dokumentech formulována; dosud však nebyla převedena do jednotného dlouhodobého monitorovacího systému. Genetická data jsou v současnosti získávána převážně projektově a druhově specificky, často v návaznosti na aktivní druhovou ochranu (záchranné programy, regionální akční plány) a aplikovaný výzkum.</w:t>
      </w:r>
    </w:p>
    <w:p w:rsidR="004D0FC1" w:rsidRPr="004D0FC1" w:rsidRDefault="004D0FC1" w:rsidP="004B1106">
      <w:pPr>
        <w:jc w:val="both"/>
      </w:pPr>
      <w:r w:rsidRPr="004D0FC1">
        <w:t>Zavedení pravidelného genetického monitoringu naráží nejen na finanční, laboratorní a organizační kapacity, ale především na absenci jednotného systému prioritizace druhů a jasně formulovaných managementových otázek. U každého sledovaného druhu by mělo být předem zřejmé, proč genetická data potřebujeme, který parametr budeme sledovat, jak často má být měřen a jaký výsledek povede ke změně managementu.</w:t>
      </w:r>
    </w:p>
    <w:p w:rsidR="004D0FC1" w:rsidRPr="004D0FC1" w:rsidRDefault="004D0FC1" w:rsidP="004B1106">
      <w:pPr>
        <w:jc w:val="both"/>
      </w:pPr>
      <w:r w:rsidRPr="004D0FC1">
        <w:t>Genetický monitoring by neměl být omezen pouze na nejohroženější druhy. Reprezentativní soubor běžnějších druhů může fungovat jako referenční systém pro sledování genetické eroze, funkční konektivity krajiny a reakce populací na fragmentaci či klimatickou změnu. Národní monitoring by měl být metodicky kompatibilní s evropskými a globálními iniciativami a u přeshraničních populací koordinován mezinárodně; jeho zavedení však nemusí čekat na vznik jednotného celoevropského programu</w:t>
      </w:r>
      <w:r w:rsidR="00124829">
        <w:t xml:space="preserve"> (viz příklad Švýcarsko a Švédsko).</w:t>
      </w:r>
    </w:p>
    <w:p w:rsidR="004D0FC1" w:rsidRPr="004D0FC1" w:rsidRDefault="004D0FC1" w:rsidP="004B1106">
      <w:pPr>
        <w:jc w:val="both"/>
      </w:pPr>
      <w:r w:rsidRPr="004D0FC1">
        <w:t xml:space="preserve">U druhů zařazených do ZP a RAP, zejména u populací podléhajících </w:t>
      </w:r>
      <w:proofErr w:type="spellStart"/>
      <w:r w:rsidRPr="004D0FC1">
        <w:t>reintrodukcím</w:t>
      </w:r>
      <w:proofErr w:type="spellEnd"/>
      <w:r w:rsidRPr="004D0FC1">
        <w:t xml:space="preserve">, posilování nebo jiným manipulacím, by měla být genetická data využívána nejen při plánování zásahu, ale tam, kde je to biologicky a </w:t>
      </w:r>
      <w:proofErr w:type="spellStart"/>
      <w:r w:rsidRPr="004D0FC1">
        <w:t>managementově</w:t>
      </w:r>
      <w:proofErr w:type="spellEnd"/>
      <w:r w:rsidRPr="004D0FC1">
        <w:t xml:space="preserve"> relevantní, také jako jeden z indikátorů jeho dlouhodobé úspěšnosti – vedle početnosti, populačního trendu a stavu biotopu.</w:t>
      </w:r>
    </w:p>
    <w:p w:rsidR="004D0FC1" w:rsidRPr="004D0FC1" w:rsidRDefault="004D0FC1" w:rsidP="004B1106">
      <w:pPr>
        <w:jc w:val="both"/>
      </w:pPr>
      <w:r w:rsidRPr="004D0FC1">
        <w:t xml:space="preserve">AOPK ČR má významný potenciál fungovat jako celostátní síť pro standardizovaný odběr biologického materiálu, správu metadat a formulaci otázek praktické ochrany. Laboratorní a </w:t>
      </w:r>
      <w:proofErr w:type="spellStart"/>
      <w:r w:rsidRPr="004D0FC1">
        <w:t>bioinformatické</w:t>
      </w:r>
      <w:proofErr w:type="spellEnd"/>
      <w:r w:rsidRPr="004D0FC1">
        <w:t xml:space="preserve"> kapacity lze rozvíjet partnersky s univerzitami a ústavy AV ČR. Zvláštní význam má systematická archivace vzorků: vzorek odebraný dnes lze analyzovat budoucí metodou, zatímco minulou populaci již zpětně odebrat nelze.</w:t>
      </w:r>
    </w:p>
    <w:p w:rsidR="004D0FC1" w:rsidRPr="004D0FC1" w:rsidRDefault="004D0FC1" w:rsidP="004B1106">
      <w:pPr>
        <w:spacing w:after="0"/>
        <w:jc w:val="both"/>
      </w:pPr>
    </w:p>
    <w:p w:rsidR="004D0FC1" w:rsidRPr="004D0FC1" w:rsidRDefault="004D0FC1" w:rsidP="004B1106">
      <w:pPr>
        <w:pStyle w:val="Nadpis1"/>
        <w:jc w:val="both"/>
      </w:pPr>
      <w:r w:rsidRPr="004D0FC1">
        <w:rPr>
          <w:rFonts w:ascii="Arial" w:hAnsi="Arial"/>
        </w:rPr>
        <w:t xml:space="preserve">2. </w:t>
      </w:r>
      <w:r w:rsidR="00BB3AF3">
        <w:rPr>
          <w:rFonts w:ascii="Arial" w:hAnsi="Arial"/>
        </w:rPr>
        <w:t>Genetický monitoring</w:t>
      </w:r>
      <w:r w:rsidR="0028740C">
        <w:rPr>
          <w:rFonts w:ascii="Arial" w:hAnsi="Arial"/>
        </w:rPr>
        <w:t>/studie</w:t>
      </w:r>
    </w:p>
    <w:p w:rsidR="004D0FC1" w:rsidRPr="004D0FC1" w:rsidRDefault="004D0FC1" w:rsidP="004B1106">
      <w:pPr>
        <w:jc w:val="both"/>
      </w:pPr>
      <w:r w:rsidRPr="004D0FC1">
        <w:rPr>
          <w:b/>
        </w:rPr>
        <w:t>Genetická charakterizace populace</w:t>
      </w:r>
      <w:r w:rsidRPr="004D0FC1">
        <w:t xml:space="preserve"> je jednorázová studie – například zjištění struktury populací před </w:t>
      </w:r>
      <w:proofErr w:type="spellStart"/>
      <w:r w:rsidRPr="004D0FC1">
        <w:t>reintrodukcí</w:t>
      </w:r>
      <w:proofErr w:type="spellEnd"/>
      <w:r w:rsidRPr="004D0FC1">
        <w:t>, výběr vhodné zdrojové populace nebo ověření míry příbuznosti. Je velmi užitečná, ale sama o sobě ještě není monitoring.</w:t>
      </w:r>
    </w:p>
    <w:p w:rsidR="004D0FC1" w:rsidRPr="004D0FC1" w:rsidRDefault="004D0FC1" w:rsidP="004B1106">
      <w:pPr>
        <w:jc w:val="both"/>
      </w:pPr>
      <w:r w:rsidRPr="004D0FC1">
        <w:rPr>
          <w:b/>
        </w:rPr>
        <w:t>Genetický monitoring</w:t>
      </w:r>
      <w:r w:rsidRPr="004D0FC1">
        <w:t xml:space="preserve"> předpokládá opakovaný, metodicky srovnatelný odběr a analýzu v čase. Potřebuje </w:t>
      </w:r>
      <w:proofErr w:type="spellStart"/>
      <w:r w:rsidRPr="004D0FC1">
        <w:t>baseline</w:t>
      </w:r>
      <w:proofErr w:type="spellEnd"/>
      <w:r w:rsidRPr="004D0FC1">
        <w:t>, definovaný vzorkovací design, archivaci vzorků a předem stanovené indikátory. IUCN (2022) výslovně pracuje s monitorováním genetické diverzity v různých časových bodech jako s nástrojem pro identifikaci ohrožených populací, cílení opatření a následné prokazování jejich účinnosti.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 xml:space="preserve">Jednorázová genetická studie: odpovídá na aktuální otázku, ale </w:t>
      </w:r>
      <w:proofErr w:type="gramStart"/>
      <w:r w:rsidRPr="004D0FC1">
        <w:t>nevytváří</w:t>
      </w:r>
      <w:proofErr w:type="gramEnd"/>
      <w:r w:rsidRPr="004D0FC1">
        <w:t xml:space="preserve"> časovou řadu.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 xml:space="preserve">Genetický </w:t>
      </w:r>
      <w:proofErr w:type="spellStart"/>
      <w:r w:rsidRPr="004D0FC1">
        <w:t>baseline</w:t>
      </w:r>
      <w:proofErr w:type="spellEnd"/>
      <w:r w:rsidRPr="004D0FC1">
        <w:t>: referenční stav, proti němuž lze budoucí změnu porovnávat.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Genetický monitoring: opakované měření podle stejného nebo transparentně převoditelného designu.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28740C">
        <w:t>Genomický monitoring: využívá velké množství markerů nebo celogenomová data; může zvýšit citlivost pro hodnocení inbreedingu, Nₑ, konektivity i potenciálně adaptivní genomické variability.</w:t>
      </w:r>
    </w:p>
    <w:p w:rsidR="004D0FC1" w:rsidRPr="004D0FC1" w:rsidRDefault="004D0FC1" w:rsidP="004B1106">
      <w:pPr>
        <w:pStyle w:val="Nadpis1"/>
        <w:jc w:val="both"/>
      </w:pPr>
      <w:r w:rsidRPr="004D0FC1">
        <w:rPr>
          <w:rFonts w:ascii="Arial" w:hAnsi="Arial"/>
        </w:rPr>
        <w:t xml:space="preserve">3. </w:t>
      </w:r>
      <w:r w:rsidR="00B73A54">
        <w:rPr>
          <w:rFonts w:ascii="Arial" w:hAnsi="Arial"/>
        </w:rPr>
        <w:t>Mezinárodní rámec</w:t>
      </w:r>
    </w:p>
    <w:p w:rsidR="00474936" w:rsidRPr="0028740C" w:rsidRDefault="0028740C" w:rsidP="0028740C">
      <w:pPr>
        <w:jc w:val="both"/>
      </w:pPr>
      <w:r w:rsidRPr="0028740C">
        <w:rPr>
          <w:i/>
          <w:iCs/>
          <w:u w:val="single"/>
        </w:rPr>
        <w:t>Kunming-montrealský globální rámec biodiverzity</w:t>
      </w:r>
      <w:r w:rsidRPr="0028740C">
        <w:rPr>
          <w:i/>
          <w:iCs/>
        </w:rPr>
        <w:t xml:space="preserve"> (CBD, 2022) </w:t>
      </w:r>
      <w:r w:rsidRPr="0028740C">
        <w:t xml:space="preserve">posunul genetickou diverzitu mezi explicitně sledované složky </w:t>
      </w:r>
      <w:r w:rsidRPr="0028740C">
        <w:t>biodiverzity. Goal A požaduje zachování genetické diverzity populací tak, aby byl zachován jejich adaptační potenciál, a Target 4 ukládá udržovat a obnovovat genetickou diverzitu uvnitř i mezi populacemi původních volně žijících druhů.</w:t>
      </w:r>
    </w:p>
    <w:p w:rsidR="004D0FC1" w:rsidRPr="004D0FC1" w:rsidRDefault="004D0FC1" w:rsidP="004B1106">
      <w:pPr>
        <w:jc w:val="both"/>
      </w:pPr>
      <w:r w:rsidRPr="004D0FC1">
        <w:t xml:space="preserve">Metodika </w:t>
      </w:r>
      <w:r w:rsidRPr="00E97F17">
        <w:rPr>
          <w:i/>
          <w:iCs/>
        </w:rPr>
        <w:t>IUCN</w:t>
      </w:r>
      <w:r w:rsidR="0028740C">
        <w:rPr>
          <w:i/>
          <w:iCs/>
        </w:rPr>
        <w:t xml:space="preserve"> </w:t>
      </w:r>
      <w:proofErr w:type="spellStart"/>
      <w:r w:rsidRPr="0028740C">
        <w:rPr>
          <w:i/>
          <w:iCs/>
          <w:u w:val="single"/>
        </w:rPr>
        <w:t>Selecting</w:t>
      </w:r>
      <w:proofErr w:type="spellEnd"/>
      <w:r w:rsidRPr="0028740C">
        <w:rPr>
          <w:i/>
          <w:iCs/>
          <w:u w:val="single"/>
        </w:rPr>
        <w:t xml:space="preserve"> species and </w:t>
      </w:r>
      <w:proofErr w:type="spellStart"/>
      <w:r w:rsidRPr="0028740C">
        <w:rPr>
          <w:i/>
          <w:iCs/>
          <w:u w:val="single"/>
        </w:rPr>
        <w:t>populations</w:t>
      </w:r>
      <w:proofErr w:type="spellEnd"/>
      <w:r w:rsidRPr="0028740C">
        <w:rPr>
          <w:i/>
          <w:iCs/>
          <w:u w:val="single"/>
        </w:rPr>
        <w:t xml:space="preserve"> </w:t>
      </w:r>
      <w:proofErr w:type="spellStart"/>
      <w:r w:rsidRPr="0028740C">
        <w:rPr>
          <w:i/>
          <w:iCs/>
          <w:u w:val="single"/>
        </w:rPr>
        <w:t>for</w:t>
      </w:r>
      <w:proofErr w:type="spellEnd"/>
      <w:r w:rsidRPr="0028740C">
        <w:rPr>
          <w:i/>
          <w:iCs/>
          <w:u w:val="single"/>
        </w:rPr>
        <w:t xml:space="preserve"> monitoring </w:t>
      </w:r>
      <w:proofErr w:type="spellStart"/>
      <w:r w:rsidRPr="0028740C">
        <w:rPr>
          <w:i/>
          <w:iCs/>
          <w:u w:val="single"/>
        </w:rPr>
        <w:t>of</w:t>
      </w:r>
      <w:proofErr w:type="spellEnd"/>
      <w:r w:rsidRPr="0028740C">
        <w:rPr>
          <w:i/>
          <w:iCs/>
          <w:u w:val="single"/>
        </w:rPr>
        <w:t xml:space="preserve"> </w:t>
      </w:r>
      <w:proofErr w:type="spellStart"/>
      <w:r w:rsidRPr="0028740C">
        <w:rPr>
          <w:i/>
          <w:iCs/>
          <w:u w:val="single"/>
        </w:rPr>
        <w:t>genetic</w:t>
      </w:r>
      <w:proofErr w:type="spellEnd"/>
      <w:r w:rsidRPr="0028740C">
        <w:rPr>
          <w:i/>
          <w:iCs/>
          <w:u w:val="single"/>
        </w:rPr>
        <w:t xml:space="preserve"> </w:t>
      </w:r>
      <w:proofErr w:type="gramStart"/>
      <w:r w:rsidRPr="0028740C">
        <w:rPr>
          <w:i/>
          <w:iCs/>
          <w:u w:val="single"/>
        </w:rPr>
        <w:t>diversity</w:t>
      </w:r>
      <w:proofErr w:type="gramEnd"/>
      <w:r w:rsidRPr="004D0FC1">
        <w:t xml:space="preserve"> (2022) je určena přímo pro státní orgány, NGO a praktické správce. Její význam pro AOPK spočívá zejména v tom, že nepředpokládá monitoring všech druhů, ale systematický výběr taxonů a populací podle ochranné relevance, proveditelnosti odběru a schopnosti získané informace ovlivnit rozhodování.</w:t>
      </w:r>
    </w:p>
    <w:p w:rsidR="00474936" w:rsidRDefault="0028740C">
      <w:r w:rsidRPr="0028740C">
        <w:rPr>
          <w:i/>
          <w:iCs/>
          <w:u w:val="single"/>
        </w:rPr>
        <w:lastRenderedPageBreak/>
        <w:t xml:space="preserve">IUCN </w:t>
      </w:r>
      <w:r w:rsidRPr="0028740C">
        <w:rPr>
          <w:i/>
          <w:iCs/>
          <w:u w:val="single"/>
        </w:rPr>
        <w:t>Guidelines for Reintroductions and Other Conservation Translocations</w:t>
      </w:r>
      <w:r w:rsidRPr="0028740C">
        <w:t xml:space="preserve"> (2013) </w:t>
      </w:r>
      <w:r w:rsidRPr="0028740C">
        <w:t>doporučují začlenit genetické aspekty do plánování a následného monitoringu translokací tam, kde mohou být kritické pro úspěch zásahu. Pro ZP/RAP z toho plyne praktické pravidlo: u</w:t>
      </w:r>
      <w:r w:rsidRPr="0028740C">
        <w:t xml:space="preserve"> každého programu má být genetická relevance explicitně posouzena; pokud genetické faktory mohou ovlivnit úspěšnost zásahu, mají být předem stanoveny genetické cíle a způsob jejich následného ověření.</w:t>
      </w:r>
    </w:p>
    <w:p w:rsidR="004D0FC1" w:rsidRPr="004D0FC1" w:rsidRDefault="004D0FC1" w:rsidP="004B1106">
      <w:pPr>
        <w:jc w:val="both"/>
      </w:pPr>
      <w:r w:rsidRPr="0028740C">
        <w:rPr>
          <w:i/>
          <w:iCs/>
          <w:u w:val="single"/>
        </w:rPr>
        <w:t xml:space="preserve">IUCN SSC </w:t>
      </w:r>
      <w:proofErr w:type="spellStart"/>
      <w:r w:rsidRPr="0028740C">
        <w:rPr>
          <w:i/>
          <w:iCs/>
          <w:u w:val="single"/>
        </w:rPr>
        <w:t>Biobanking</w:t>
      </w:r>
      <w:proofErr w:type="spellEnd"/>
      <w:r w:rsidRPr="0028740C">
        <w:rPr>
          <w:i/>
          <w:iCs/>
          <w:u w:val="single"/>
        </w:rPr>
        <w:t xml:space="preserve"> </w:t>
      </w:r>
      <w:proofErr w:type="spellStart"/>
      <w:r w:rsidRPr="0028740C">
        <w:rPr>
          <w:i/>
          <w:iCs/>
          <w:u w:val="single"/>
        </w:rPr>
        <w:t>Guidelines</w:t>
      </w:r>
      <w:proofErr w:type="spellEnd"/>
      <w:r w:rsidRPr="0028740C">
        <w:rPr>
          <w:i/>
          <w:iCs/>
          <w:u w:val="single"/>
        </w:rPr>
        <w:t xml:space="preserve"> </w:t>
      </w:r>
      <w:proofErr w:type="spellStart"/>
      <w:r w:rsidRPr="0028740C">
        <w:rPr>
          <w:i/>
          <w:iCs/>
          <w:u w:val="single"/>
        </w:rPr>
        <w:t>for</w:t>
      </w:r>
      <w:proofErr w:type="spellEnd"/>
      <w:r w:rsidRPr="0028740C">
        <w:rPr>
          <w:i/>
          <w:iCs/>
          <w:u w:val="single"/>
        </w:rPr>
        <w:t xml:space="preserve"> </w:t>
      </w:r>
      <w:proofErr w:type="spellStart"/>
      <w:r w:rsidRPr="0028740C">
        <w:rPr>
          <w:i/>
          <w:iCs/>
          <w:u w:val="single"/>
        </w:rPr>
        <w:t>Conservation</w:t>
      </w:r>
      <w:proofErr w:type="spellEnd"/>
      <w:r w:rsidRPr="004D0FC1">
        <w:t xml:space="preserve"> </w:t>
      </w:r>
      <w:proofErr w:type="spellStart"/>
      <w:r w:rsidRPr="004D0FC1">
        <w:t>Purposes</w:t>
      </w:r>
      <w:proofErr w:type="spellEnd"/>
      <w:r w:rsidRPr="004D0FC1">
        <w:t xml:space="preserve"> (2025) zdůrazňu</w:t>
      </w:r>
      <w:r w:rsidR="002E1079">
        <w:t>je</w:t>
      </w:r>
      <w:r w:rsidRPr="004D0FC1">
        <w:t xml:space="preserve"> standardizaci odběru, uchování vzorků, metadat, pravidel využívání a sdílení dat. Pro AOPK je </w:t>
      </w:r>
      <w:proofErr w:type="spellStart"/>
      <w:r w:rsidRPr="004D0FC1">
        <w:t>biobanking</w:t>
      </w:r>
      <w:proofErr w:type="spellEnd"/>
      <w:r w:rsidRPr="004D0FC1">
        <w:t xml:space="preserve"> potenciálně nejlevnější a současně nejvíce „</w:t>
      </w:r>
      <w:proofErr w:type="spellStart"/>
      <w:r w:rsidRPr="004D0FC1">
        <w:t>future-proof</w:t>
      </w:r>
      <w:proofErr w:type="spellEnd"/>
      <w:r w:rsidRPr="004D0FC1">
        <w:t xml:space="preserve">“ krok: není nutné okamžitě </w:t>
      </w:r>
      <w:proofErr w:type="spellStart"/>
      <w:r w:rsidRPr="004D0FC1">
        <w:t>sekvenovat</w:t>
      </w:r>
      <w:proofErr w:type="spellEnd"/>
      <w:r w:rsidRPr="004D0FC1">
        <w:t xml:space="preserve"> všechny vzorky, ale je nezbytné zajistit, aby biologický materiál z dnešních populací byl v budoucnu dostupný.</w:t>
      </w:r>
    </w:p>
    <w:p w:rsidR="004D0FC1" w:rsidRPr="004D0FC1" w:rsidRDefault="004D0FC1" w:rsidP="004B1106">
      <w:pPr>
        <w:spacing w:after="0"/>
        <w:jc w:val="both"/>
      </w:pPr>
    </w:p>
    <w:p w:rsidR="004D0FC1" w:rsidRPr="0028740C" w:rsidRDefault="004D0FC1" w:rsidP="004B1106">
      <w:pPr>
        <w:pStyle w:val="Nadpis1"/>
        <w:jc w:val="both"/>
        <w:rPr>
          <w:rFonts w:ascii="Arial" w:hAnsi="Arial"/>
        </w:rPr>
      </w:pPr>
      <w:r w:rsidRPr="0028740C">
        <w:rPr>
          <w:rFonts w:ascii="Arial" w:hAnsi="Arial"/>
        </w:rPr>
        <w:t>4. Zahraniční příklady</w:t>
      </w:r>
    </w:p>
    <w:p w:rsidR="004D0FC1" w:rsidRPr="004D0FC1" w:rsidRDefault="004D0FC1" w:rsidP="004B1106">
      <w:pPr>
        <w:pStyle w:val="Nadpis2"/>
        <w:jc w:val="both"/>
      </w:pPr>
      <w:r w:rsidRPr="004D0FC1">
        <w:rPr>
          <w:rFonts w:ascii="Arial" w:hAnsi="Arial"/>
        </w:rPr>
        <w:t>4.1 Švédsko – návrh národního programu</w:t>
      </w:r>
    </w:p>
    <w:p w:rsidR="004D0FC1" w:rsidRPr="004D0FC1" w:rsidRDefault="004D0FC1" w:rsidP="004B1106">
      <w:pPr>
        <w:jc w:val="both"/>
      </w:pPr>
      <w:r w:rsidRPr="0028740C">
        <w:t>Švédská agentura pro ochranu životního prostředí nechala zpracovat systematický návrh monitoringu genetické diverzity, včetně výběru druhů, metod, velikosti vzorku, lokalit a variant nákladů. Posuzováno bylo celkem 167 druhů; 60 bylo zařazeno do vysoké priority. Mezi kritéria patřily vedle ohroženosti také klimatická zranitelnost, riziko nežádoucího genového toku, genetická odlišnost, možnost využít již existující tkáňové sbírky či monitoring a výslovně také běžnější „natural reference populations“. Samostatná pozornost byla věnována opylovačům.</w:t>
      </w:r>
    </w:p>
    <w:p w:rsidR="004D0FC1" w:rsidRPr="004D0FC1" w:rsidRDefault="004D0FC1" w:rsidP="004B1106">
      <w:pPr>
        <w:jc w:val="both"/>
      </w:pPr>
      <w:r w:rsidRPr="004D0FC1">
        <w:t>Pro AOPK je zvlášť přenositelná myšlenka využívat druhy, u nichž již existuje pravidelný terénní monitoring a při němž lze biologický materiál odebrat s relativně malými dodatečnými náklady.</w:t>
      </w:r>
    </w:p>
    <w:p w:rsidR="004D0FC1" w:rsidRPr="004D0FC1" w:rsidRDefault="004D0FC1" w:rsidP="004B1106">
      <w:pPr>
        <w:pStyle w:val="Nadpis2"/>
        <w:jc w:val="both"/>
      </w:pPr>
      <w:r w:rsidRPr="004D0FC1">
        <w:rPr>
          <w:rFonts w:ascii="Arial" w:hAnsi="Arial"/>
        </w:rPr>
        <w:t xml:space="preserve">4.2 Švýcarsko – </w:t>
      </w:r>
      <w:proofErr w:type="spellStart"/>
      <w:r w:rsidRPr="004D0FC1">
        <w:rPr>
          <w:rFonts w:ascii="Arial" w:hAnsi="Arial"/>
        </w:rPr>
        <w:t>genomický</w:t>
      </w:r>
      <w:proofErr w:type="spellEnd"/>
      <w:r w:rsidRPr="004D0FC1">
        <w:rPr>
          <w:rFonts w:ascii="Arial" w:hAnsi="Arial"/>
        </w:rPr>
        <w:t xml:space="preserve"> pilot monitoringu genetické diverzity</w:t>
      </w:r>
    </w:p>
    <w:p w:rsidR="004D0FC1" w:rsidRPr="004D0FC1" w:rsidRDefault="004D0FC1" w:rsidP="004B1106">
      <w:pPr>
        <w:jc w:val="both"/>
      </w:pPr>
      <w:r w:rsidRPr="004D0FC1">
        <w:t xml:space="preserve">Švýcarský pilot zahrnul pět druhů, mezi nimi motýla hnědáska </w:t>
      </w:r>
      <w:proofErr w:type="spellStart"/>
      <w:r w:rsidRPr="0028740C">
        <w:rPr>
          <w:i/>
          <w:iCs/>
        </w:rPr>
        <w:t>Melitaea</w:t>
      </w:r>
      <w:proofErr w:type="spellEnd"/>
      <w:r w:rsidRPr="0028740C">
        <w:rPr>
          <w:i/>
          <w:iCs/>
        </w:rPr>
        <w:t xml:space="preserve"> </w:t>
      </w:r>
      <w:proofErr w:type="spellStart"/>
      <w:r w:rsidRPr="0028740C">
        <w:rPr>
          <w:i/>
          <w:iCs/>
        </w:rPr>
        <w:t>diamina</w:t>
      </w:r>
      <w:proofErr w:type="spellEnd"/>
      <w:r w:rsidRPr="004D0FC1">
        <w:t xml:space="preserve">. Pomocí proporcionálního stratifikovaného náhodného výběru bylo odebráno více než 1 200 jedinců ze 158 populací. Pro všechny druhy byly vytvořeny referenční genomy a použito </w:t>
      </w:r>
      <w:proofErr w:type="spellStart"/>
      <w:r w:rsidRPr="004D0FC1">
        <w:t>celogenomové</w:t>
      </w:r>
      <w:proofErr w:type="spellEnd"/>
      <w:r w:rsidRPr="004D0FC1">
        <w:t xml:space="preserve"> </w:t>
      </w:r>
      <w:proofErr w:type="spellStart"/>
      <w:r w:rsidRPr="004D0FC1">
        <w:t>resequencingové</w:t>
      </w:r>
      <w:proofErr w:type="spellEnd"/>
      <w:r w:rsidRPr="004D0FC1">
        <w:t xml:space="preserve"> srovnání. U dvou druhů byly analyzovány také historické sbírkové vzorky, což umožnilo retrospektivně hodnotit změny genetické diverzity.</w:t>
      </w:r>
    </w:p>
    <w:p w:rsidR="004D0FC1" w:rsidRPr="004D0FC1" w:rsidRDefault="004D0FC1" w:rsidP="004B1106">
      <w:pPr>
        <w:jc w:val="both"/>
      </w:pPr>
      <w:r w:rsidRPr="0028740C">
        <w:t>Studie ukazuje, že celogenomový přístup lze převést do formátu indikátorů srozumitelných pro státní správu – například diverzita, konektivita, inbreeding, efektivní populační velikost a potenciálně adaptivní genomická variabilita. Zároveň ukazuje hodnotu přírodovědných sbírek jako historického baseline.</w:t>
      </w:r>
    </w:p>
    <w:p w:rsidR="004D0FC1" w:rsidRPr="004D0FC1" w:rsidRDefault="004D0FC1" w:rsidP="004B1106">
      <w:pPr>
        <w:pStyle w:val="Nadpis2"/>
        <w:jc w:val="both"/>
      </w:pPr>
      <w:r w:rsidRPr="004D0FC1">
        <w:rPr>
          <w:rFonts w:ascii="Arial" w:hAnsi="Arial"/>
        </w:rPr>
        <w:t>4.</w:t>
      </w:r>
      <w:r w:rsidR="002A2E37">
        <w:rPr>
          <w:rFonts w:ascii="Arial" w:hAnsi="Arial"/>
        </w:rPr>
        <w:t>3</w:t>
      </w:r>
      <w:r w:rsidRPr="004D0FC1">
        <w:rPr>
          <w:rFonts w:ascii="Arial" w:hAnsi="Arial"/>
        </w:rPr>
        <w:t xml:space="preserve"> BGEMS – genetický monitoring </w:t>
      </w:r>
      <w:r w:rsidR="00ED5E05">
        <w:rPr>
          <w:rFonts w:ascii="Arial" w:hAnsi="Arial"/>
        </w:rPr>
        <w:t>okáče lučního</w:t>
      </w:r>
    </w:p>
    <w:p w:rsidR="004D0FC1" w:rsidRPr="004D0FC1" w:rsidRDefault="004D0FC1" w:rsidP="004B1106">
      <w:pPr>
        <w:jc w:val="both"/>
      </w:pPr>
      <w:r w:rsidRPr="0028740C">
        <w:t>Butterfly Genetics Monitoring Scheme (BGEMS) demonstruje, že genetický monitoring nemusí být omezen na ohrožené druhy. U běžného okáče lučního Maniola jurtina bylo v jižní Anglii v letech 2012–2019 odebráno 1 024 jedinců z 15 lokalit; skutečná každoroční osmiletá časová řada byla získána na třech lokalitách. Evropské prostorové srovnání zahrnulo další lokality v deseti zemích a bylo propojeno s existující sítí butterfly monitoring schemes.</w:t>
      </w:r>
    </w:p>
    <w:p w:rsidR="00474936" w:rsidRDefault="004D0FC1" w:rsidP="0028740C">
      <w:pPr>
        <w:jc w:val="both"/>
      </w:pPr>
      <w:r w:rsidRPr="0028740C">
        <w:t>Tento přístup je pro bezobratlé mimořádně zajímavý: běžný druh může fungovat jako „genetický sentinel“ krajiny a poskytovat doplňující informaci o konektivitě a genetické diverzitě, kterou samotný trend početnosti nemusí zachytit.</w:t>
      </w:r>
    </w:p>
    <w:p w:rsidR="004D0FC1" w:rsidRDefault="0098537C" w:rsidP="004B1106">
      <w:pPr>
        <w:pStyle w:val="Nadpis1"/>
        <w:jc w:val="both"/>
        <w:rPr>
          <w:rFonts w:ascii="Arial" w:hAnsi="Arial"/>
        </w:rPr>
      </w:pPr>
      <w:r>
        <w:rPr>
          <w:rFonts w:ascii="Arial" w:hAnsi="Arial"/>
        </w:rPr>
        <w:t>5</w:t>
      </w:r>
      <w:r w:rsidR="004D0FC1" w:rsidRPr="004D0FC1">
        <w:rPr>
          <w:rFonts w:ascii="Arial" w:hAnsi="Arial"/>
        </w:rPr>
        <w:t xml:space="preserve">. </w:t>
      </w:r>
      <w:r w:rsidR="004622A2">
        <w:rPr>
          <w:rFonts w:ascii="Arial" w:hAnsi="Arial"/>
        </w:rPr>
        <w:t>Potenciální cíle</w:t>
      </w:r>
      <w:r>
        <w:rPr>
          <w:rFonts w:ascii="Arial" w:hAnsi="Arial"/>
        </w:rPr>
        <w:t xml:space="preserve"> AOPK</w:t>
      </w:r>
    </w:p>
    <w:p w:rsidR="00025E91" w:rsidRPr="00025E91" w:rsidRDefault="00025E91" w:rsidP="00025E91"/>
    <w:p w:rsidR="00981E43" w:rsidRPr="004D0FC1" w:rsidRDefault="00F763FD" w:rsidP="00F763FD">
      <w:pPr>
        <w:pStyle w:val="Odstavecseseznamem"/>
        <w:numPr>
          <w:ilvl w:val="0"/>
          <w:numId w:val="3"/>
        </w:numPr>
        <w:spacing w:before="80"/>
        <w:jc w:val="both"/>
      </w:pPr>
      <w:r w:rsidRPr="0028740C">
        <w:rPr>
          <w:b/>
          <w:color w:val="1F4E79"/>
        </w:rPr>
        <w:t>Genetika jako indikátor úspěšnosti ZP/RAP</w:t>
      </w:r>
      <w:r w:rsidRPr="0028740C">
        <w:t xml:space="preserve"> – U každého ZP/RAP explicitně posoudit, zda genetické faktory mohou ovlivnit úspěšnost programu. U reintrodukcí, posilování populací nebo jiných zásahů, kde existuje konkrétní genetické riziko, definovat předem genetické cíle a kritéria úspěchu a propojit je s demografickými a habitatovými indikátory.</w:t>
      </w:r>
    </w:p>
    <w:p w:rsidR="004D0FC1" w:rsidRPr="004D0FC1" w:rsidRDefault="00F763FD" w:rsidP="00F763FD">
      <w:pPr>
        <w:pStyle w:val="Odstavecseseznamem"/>
        <w:numPr>
          <w:ilvl w:val="0"/>
          <w:numId w:val="3"/>
        </w:numPr>
        <w:spacing w:before="80"/>
        <w:jc w:val="both"/>
      </w:pPr>
      <w:r>
        <w:rPr>
          <w:b/>
          <w:color w:val="1F4E79"/>
        </w:rPr>
        <w:t>S</w:t>
      </w:r>
      <w:r w:rsidR="004D0FC1" w:rsidRPr="00F763FD">
        <w:rPr>
          <w:b/>
          <w:color w:val="1F4E79"/>
        </w:rPr>
        <w:t>tandard</w:t>
      </w:r>
      <w:r>
        <w:rPr>
          <w:b/>
          <w:color w:val="1F4E79"/>
        </w:rPr>
        <w:t>izace</w:t>
      </w:r>
      <w:r w:rsidR="004D0FC1" w:rsidRPr="00F763FD">
        <w:rPr>
          <w:b/>
          <w:color w:val="1F4E79"/>
        </w:rPr>
        <w:t xml:space="preserve"> odběru a </w:t>
      </w:r>
      <w:proofErr w:type="spellStart"/>
      <w:r w:rsidR="004D0FC1" w:rsidRPr="00F763FD">
        <w:rPr>
          <w:b/>
          <w:color w:val="1F4E79"/>
        </w:rPr>
        <w:t>biobanka</w:t>
      </w:r>
      <w:proofErr w:type="spellEnd"/>
      <w:r w:rsidR="004D0FC1" w:rsidRPr="004D0FC1">
        <w:t xml:space="preserve"> – </w:t>
      </w:r>
      <w:r w:rsidR="00981E43">
        <w:t xml:space="preserve">Ve spolupráci </w:t>
      </w:r>
      <w:r>
        <w:t>s aplikovaným výzkumem z</w:t>
      </w:r>
      <w:r w:rsidR="004D0FC1" w:rsidRPr="004D0FC1">
        <w:t>avést minimální standard metadat a uchování biologického materiálu u vybraných monitoringů a aktivních druhových programů. Vzorek musí být jednoznačně navázán na lokalitu, datum, jedince/stadium, způsob odběru a údaje v informačních systémech AOPK.</w:t>
      </w:r>
    </w:p>
    <w:p w:rsidR="004D0FC1" w:rsidRPr="004D0FC1" w:rsidRDefault="00AD67B6" w:rsidP="00AD67B6">
      <w:pPr>
        <w:pStyle w:val="Odstavecseseznamem"/>
        <w:numPr>
          <w:ilvl w:val="0"/>
          <w:numId w:val="3"/>
        </w:numPr>
        <w:spacing w:before="80"/>
        <w:jc w:val="both"/>
      </w:pPr>
      <w:r w:rsidRPr="0028740C">
        <w:rPr>
          <w:b/>
          <w:color w:val="1F4E79"/>
        </w:rPr>
        <w:lastRenderedPageBreak/>
        <w:t>Screening genetického rizika pomocí demografických a prostorových proxy</w:t>
      </w:r>
      <w:r w:rsidRPr="0028740C">
        <w:t xml:space="preserve"> – Pro širší reprezentativní soubor druhů využívat dostupné demografické a prostorové údaje k identifikaci populací s pravděpodobně nízkým Nₑ, izolací nebo jiným genetickým rizikem. Tato úroveň může podporovat reporting CBD i výběr priorit pro detailnější genetickou analýzu; nejde však sama o genetický monitoring.</w:t>
      </w:r>
    </w:p>
    <w:p w:rsidR="004D0FC1" w:rsidRPr="004D0FC1" w:rsidRDefault="00F06A73" w:rsidP="004622A2">
      <w:pPr>
        <w:pStyle w:val="Odstavecseseznamem"/>
        <w:numPr>
          <w:ilvl w:val="0"/>
          <w:numId w:val="3"/>
        </w:numPr>
        <w:spacing w:before="80"/>
        <w:jc w:val="both"/>
      </w:pPr>
      <w:r>
        <w:rPr>
          <w:b/>
          <w:color w:val="1F4E79"/>
        </w:rPr>
        <w:t>G</w:t>
      </w:r>
      <w:r w:rsidR="004D0FC1" w:rsidRPr="004622A2">
        <w:rPr>
          <w:b/>
          <w:color w:val="1F4E79"/>
        </w:rPr>
        <w:t xml:space="preserve">enetický </w:t>
      </w:r>
      <w:proofErr w:type="spellStart"/>
      <w:r w:rsidR="004D0FC1" w:rsidRPr="004622A2">
        <w:rPr>
          <w:b/>
          <w:color w:val="1F4E79"/>
        </w:rPr>
        <w:t>baseline</w:t>
      </w:r>
      <w:proofErr w:type="spellEnd"/>
      <w:r w:rsidR="004D0FC1" w:rsidRPr="004622A2">
        <w:rPr>
          <w:b/>
          <w:color w:val="1F4E79"/>
        </w:rPr>
        <w:t xml:space="preserve"> prioritních druhů</w:t>
      </w:r>
      <w:r w:rsidR="004D0FC1" w:rsidRPr="004D0FC1">
        <w:t xml:space="preserve"> – U druhů, kde genetická informace může změnit management, vytvořit referenční genetický stav a archivovat vzorky. Nemusí jít vždy o </w:t>
      </w:r>
      <w:proofErr w:type="spellStart"/>
      <w:r w:rsidR="004D0FC1" w:rsidRPr="004D0FC1">
        <w:t>whole</w:t>
      </w:r>
      <w:proofErr w:type="spellEnd"/>
      <w:r w:rsidR="004D0FC1" w:rsidRPr="004D0FC1">
        <w:t xml:space="preserve">-genome </w:t>
      </w:r>
      <w:proofErr w:type="spellStart"/>
      <w:r w:rsidR="004D0FC1" w:rsidRPr="004D0FC1">
        <w:t>sequencing</w:t>
      </w:r>
      <w:proofErr w:type="spellEnd"/>
      <w:r w:rsidR="004D0FC1" w:rsidRPr="004D0FC1">
        <w:t>; volba markerů má odpovídat otázce a dlouhodobé udržitelnosti metody.</w:t>
      </w:r>
    </w:p>
    <w:p w:rsidR="004D0FC1" w:rsidRDefault="00F06A73" w:rsidP="00F06A73">
      <w:pPr>
        <w:pStyle w:val="Odstavecseseznamem"/>
        <w:numPr>
          <w:ilvl w:val="0"/>
          <w:numId w:val="3"/>
        </w:numPr>
        <w:spacing w:before="80"/>
        <w:jc w:val="both"/>
      </w:pPr>
      <w:r>
        <w:rPr>
          <w:b/>
          <w:color w:val="1F4E79"/>
        </w:rPr>
        <w:t>S</w:t>
      </w:r>
      <w:r w:rsidR="004D0FC1" w:rsidRPr="00F06A73">
        <w:rPr>
          <w:b/>
          <w:color w:val="1F4E79"/>
        </w:rPr>
        <w:t>kutečný opakovaný monitoring</w:t>
      </w:r>
      <w:r w:rsidR="004D0FC1" w:rsidRPr="004D0FC1">
        <w:t xml:space="preserve"> – U užšího portfolia druhů provádět opakovaný odběr podle stejného designu a sledovat změny Nₑ, </w:t>
      </w:r>
      <w:proofErr w:type="spellStart"/>
      <w:r w:rsidR="004D0FC1" w:rsidRPr="004D0FC1">
        <w:t>inbreedingu</w:t>
      </w:r>
      <w:proofErr w:type="spellEnd"/>
      <w:r w:rsidR="004D0FC1" w:rsidRPr="004D0FC1">
        <w:t>, diverzity, konektivity nebo dalších relevantních ukazatelů. Interval má být odvozen od generační doby a rychlosti očekávaných změn, nikoli pouze administrativně.</w:t>
      </w:r>
    </w:p>
    <w:p w:rsidR="00F06A73" w:rsidRPr="004D0FC1" w:rsidRDefault="00F06A73" w:rsidP="00F06A73">
      <w:pPr>
        <w:pStyle w:val="Odstavecseseznamem"/>
        <w:spacing w:before="80"/>
        <w:jc w:val="both"/>
      </w:pPr>
    </w:p>
    <w:p w:rsidR="004D0FC1" w:rsidRPr="004D0FC1" w:rsidRDefault="004D0FC1" w:rsidP="004B1106">
      <w:pPr>
        <w:pStyle w:val="Nadpis2"/>
        <w:jc w:val="both"/>
      </w:pPr>
      <w:r w:rsidRPr="004D0FC1">
        <w:rPr>
          <w:rFonts w:ascii="Arial" w:hAnsi="Arial"/>
        </w:rPr>
        <w:t>Kritéria pro prioritizaci druhů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probíhající nebo plánovaná reintrodukce, posilování či translokace;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malá, izolovaná nebo silně fragmentovaná populace;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 xml:space="preserve">podezření na </w:t>
      </w:r>
      <w:proofErr w:type="spellStart"/>
      <w:r w:rsidRPr="004D0FC1">
        <w:t>inbreeding</w:t>
      </w:r>
      <w:proofErr w:type="spellEnd"/>
      <w:r w:rsidRPr="004D0FC1">
        <w:t xml:space="preserve"> nebo historický </w:t>
      </w:r>
      <w:proofErr w:type="spellStart"/>
      <w:r w:rsidRPr="004D0FC1">
        <w:t>bottleneck</w:t>
      </w:r>
      <w:proofErr w:type="spellEnd"/>
      <w:r w:rsidRPr="004D0FC1">
        <w:t>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proofErr w:type="spellStart"/>
      <w:r w:rsidRPr="004D0FC1">
        <w:t>managementový</w:t>
      </w:r>
      <w:proofErr w:type="spellEnd"/>
      <w:r w:rsidRPr="004D0FC1">
        <w:t xml:space="preserve"> problém spojený s konektivitou populací;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riziko hybridizace nebo introgrese;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výrazně odlišné nebo okrajové populace, u nichž může být relevantní lokální adaptace;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existence pravidelného terénního monitoringu, který umožní levný odběr vzorků;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dostupné historické sbírkové vzorky;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jasná vazba mezi výsledkem genetické analýzy a konkrétním rozhodnutím ochrany přírody;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možnost mezinárodní koordinace u přeshraničních populací.</w:t>
      </w:r>
    </w:p>
    <w:p w:rsidR="004D0FC1" w:rsidRPr="004D0FC1" w:rsidRDefault="00F06A73" w:rsidP="004B1106">
      <w:pPr>
        <w:pStyle w:val="Nadpis1"/>
        <w:jc w:val="both"/>
      </w:pPr>
      <w:r>
        <w:rPr>
          <w:rFonts w:ascii="Arial" w:hAnsi="Arial"/>
        </w:rPr>
        <w:t>6</w:t>
      </w:r>
      <w:r w:rsidR="004D0FC1" w:rsidRPr="004D0FC1">
        <w:rPr>
          <w:rFonts w:ascii="Arial" w:hAnsi="Arial"/>
        </w:rPr>
        <w:t>. Co by měla dělat AOPK a co lze nechat externím partnerům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4D0FC1" w:rsidRPr="004D0FC1" w:rsidTr="00CB27E9">
        <w:trPr>
          <w:tblHeader/>
          <w:jc w:val="center"/>
        </w:trPr>
        <w:tc>
          <w:tcPr>
            <w:tcW w:w="498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b/>
                <w:color w:val="FFFFFF"/>
                <w:sz w:val="19"/>
                <w:lang w:val="cs-CZ"/>
              </w:rPr>
              <w:t>AOPK – vhodná institucionální role</w:t>
            </w:r>
          </w:p>
        </w:tc>
        <w:tc>
          <w:tcPr>
            <w:tcW w:w="498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b/>
                <w:color w:val="FFFFFF"/>
                <w:sz w:val="19"/>
                <w:lang w:val="cs-CZ"/>
              </w:rPr>
              <w:t>Univerzity / AV ČR / externí laboratoře</w:t>
            </w:r>
          </w:p>
        </w:tc>
      </w:tr>
      <w:tr w:rsidR="004D0FC1" w:rsidRPr="004D0FC1" w:rsidTr="00CB27E9">
        <w:trPr>
          <w:jc w:val="center"/>
        </w:trPr>
        <w:tc>
          <w:tcPr>
            <w:tcW w:w="4981" w:type="dxa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prioritizace druhů a managementových otázek</w:t>
            </w:r>
          </w:p>
        </w:tc>
        <w:tc>
          <w:tcPr>
            <w:tcW w:w="4981" w:type="dxa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návrh vhodného genetického designu</w:t>
            </w:r>
          </w:p>
        </w:tc>
      </w:tr>
      <w:tr w:rsidR="004D0FC1" w:rsidRPr="004D0FC1" w:rsidTr="00CB27E9">
        <w:trPr>
          <w:jc w:val="center"/>
        </w:trPr>
        <w:tc>
          <w:tcPr>
            <w:tcW w:w="4981" w:type="dxa"/>
            <w:shd w:val="clear" w:color="auto" w:fill="F4F6F7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standard odběru a metadat</w:t>
            </w:r>
          </w:p>
        </w:tc>
        <w:tc>
          <w:tcPr>
            <w:tcW w:w="4981" w:type="dxa"/>
            <w:shd w:val="clear" w:color="auto" w:fill="F4F6F7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 xml:space="preserve">• laboratorní zpracování a </w:t>
            </w:r>
            <w:proofErr w:type="spellStart"/>
            <w:r w:rsidRPr="004D0FC1">
              <w:rPr>
                <w:color w:val="000000"/>
                <w:sz w:val="18"/>
                <w:lang w:val="cs-CZ"/>
              </w:rPr>
              <w:t>sekvenování</w:t>
            </w:r>
            <w:proofErr w:type="spellEnd"/>
          </w:p>
        </w:tc>
      </w:tr>
      <w:tr w:rsidR="004D0FC1" w:rsidRPr="004D0FC1" w:rsidTr="00CB27E9">
        <w:trPr>
          <w:jc w:val="center"/>
        </w:trPr>
        <w:tc>
          <w:tcPr>
            <w:tcW w:w="4981" w:type="dxa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koordinace celostátní odběrové sítě</w:t>
            </w:r>
          </w:p>
        </w:tc>
        <w:tc>
          <w:tcPr>
            <w:tcW w:w="4981" w:type="dxa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bioinformatika a populačně-genetické analýzy</w:t>
            </w:r>
          </w:p>
        </w:tc>
      </w:tr>
      <w:tr w:rsidR="004D0FC1" w:rsidRPr="004D0FC1" w:rsidTr="00CB27E9">
        <w:trPr>
          <w:jc w:val="center"/>
        </w:trPr>
        <w:tc>
          <w:tcPr>
            <w:tcW w:w="4981" w:type="dxa"/>
            <w:shd w:val="clear" w:color="auto" w:fill="F4F6F7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propojení s NDOP/ISOP a monitoringem druhů</w:t>
            </w:r>
          </w:p>
        </w:tc>
        <w:tc>
          <w:tcPr>
            <w:tcW w:w="4981" w:type="dxa"/>
            <w:shd w:val="clear" w:color="auto" w:fill="F4F6F7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vývoj nebo validace markerů a referenčních genomů</w:t>
            </w:r>
          </w:p>
        </w:tc>
      </w:tr>
      <w:tr w:rsidR="004D0FC1" w:rsidRPr="004D0FC1" w:rsidTr="00CB27E9">
        <w:trPr>
          <w:jc w:val="center"/>
        </w:trPr>
        <w:tc>
          <w:tcPr>
            <w:tcW w:w="4981" w:type="dxa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 xml:space="preserve">• </w:t>
            </w:r>
            <w:proofErr w:type="spellStart"/>
            <w:r w:rsidRPr="004D0FC1">
              <w:rPr>
                <w:color w:val="000000"/>
                <w:sz w:val="18"/>
                <w:lang w:val="cs-CZ"/>
              </w:rPr>
              <w:t>biobanking</w:t>
            </w:r>
            <w:proofErr w:type="spellEnd"/>
            <w:r w:rsidRPr="004D0FC1">
              <w:rPr>
                <w:color w:val="000000"/>
                <w:sz w:val="18"/>
                <w:lang w:val="cs-CZ"/>
              </w:rPr>
              <w:t xml:space="preserve"> / dlouhodobá správa vzorků nebo jeho smluvní zajištění</w:t>
            </w:r>
          </w:p>
        </w:tc>
        <w:tc>
          <w:tcPr>
            <w:tcW w:w="4981" w:type="dxa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metodická interpretace složitých výsledků</w:t>
            </w:r>
          </w:p>
        </w:tc>
      </w:tr>
      <w:tr w:rsidR="004D0FC1" w:rsidRPr="004D0FC1" w:rsidTr="00CB27E9">
        <w:trPr>
          <w:jc w:val="center"/>
        </w:trPr>
        <w:tc>
          <w:tcPr>
            <w:tcW w:w="4981" w:type="dxa"/>
            <w:shd w:val="clear" w:color="auto" w:fill="F4F6F7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převod výsledků do ZP, RAP, plánů péče a rozhodování</w:t>
            </w:r>
          </w:p>
        </w:tc>
        <w:tc>
          <w:tcPr>
            <w:tcW w:w="4981" w:type="dxa"/>
            <w:shd w:val="clear" w:color="auto" w:fill="F4F6F7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 xml:space="preserve">• vývoj statistických </w:t>
            </w:r>
            <w:proofErr w:type="spellStart"/>
            <w:r w:rsidRPr="004D0FC1">
              <w:rPr>
                <w:color w:val="000000"/>
                <w:sz w:val="18"/>
                <w:lang w:val="cs-CZ"/>
              </w:rPr>
              <w:t>thresholdů</w:t>
            </w:r>
            <w:proofErr w:type="spellEnd"/>
            <w:r w:rsidRPr="004D0FC1">
              <w:rPr>
                <w:color w:val="000000"/>
                <w:sz w:val="18"/>
                <w:lang w:val="cs-CZ"/>
              </w:rPr>
              <w:t xml:space="preserve"> / referenčních rámců</w:t>
            </w:r>
          </w:p>
        </w:tc>
      </w:tr>
      <w:tr w:rsidR="004D0FC1" w:rsidRPr="004D0FC1" w:rsidTr="00CB27E9">
        <w:trPr>
          <w:jc w:val="center"/>
        </w:trPr>
        <w:tc>
          <w:tcPr>
            <w:tcW w:w="4981" w:type="dxa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zajištění dlouhodobé kontinuity a opakování</w:t>
            </w:r>
          </w:p>
        </w:tc>
        <w:tc>
          <w:tcPr>
            <w:tcW w:w="4981" w:type="dxa"/>
          </w:tcPr>
          <w:p w:rsidR="004D0FC1" w:rsidRPr="004D0FC1" w:rsidRDefault="004D0FC1" w:rsidP="004B1106">
            <w:pPr>
              <w:spacing w:after="0"/>
              <w:jc w:val="both"/>
              <w:rPr>
                <w:lang w:val="cs-CZ"/>
              </w:rPr>
            </w:pPr>
            <w:r w:rsidRPr="004D0FC1">
              <w:rPr>
                <w:color w:val="000000"/>
                <w:sz w:val="18"/>
                <w:lang w:val="cs-CZ"/>
              </w:rPr>
              <w:t>• výzkumné projekty a mezinárodní srovnání</w:t>
            </w:r>
          </w:p>
        </w:tc>
      </w:tr>
    </w:tbl>
    <w:p w:rsidR="004D0FC1" w:rsidRPr="004D0FC1" w:rsidRDefault="004D0FC1" w:rsidP="004B1106">
      <w:pPr>
        <w:spacing w:after="0"/>
        <w:jc w:val="both"/>
      </w:pPr>
    </w:p>
    <w:p w:rsidR="004D0FC1" w:rsidRPr="004D0FC1" w:rsidRDefault="00FD754B" w:rsidP="004B1106">
      <w:pPr>
        <w:pStyle w:val="Nadpis1"/>
        <w:jc w:val="both"/>
      </w:pPr>
      <w:r>
        <w:rPr>
          <w:rFonts w:ascii="Arial" w:hAnsi="Arial"/>
        </w:rPr>
        <w:t>7</w:t>
      </w:r>
      <w:r w:rsidR="004D0FC1" w:rsidRPr="004D0FC1">
        <w:rPr>
          <w:rFonts w:ascii="Arial" w:hAnsi="Arial"/>
        </w:rPr>
        <w:t>. Využití stávajících kapacit AOPK pro externí výzkumné projekty</w:t>
      </w:r>
    </w:p>
    <w:p w:rsidR="004D0FC1" w:rsidRPr="004D0FC1" w:rsidRDefault="004D0FC1" w:rsidP="004B1106">
      <w:pPr>
        <w:jc w:val="both"/>
      </w:pPr>
      <w:r w:rsidRPr="004D0FC1">
        <w:t>Už nyní lze genetický výzkum významně podpořit bez budování nového interního programu. AOPK má jedinečnou výhodu celostátní terénní sítě, znalosti lokalit a vazby na dlouhodobé monitoringy. U externích projektů může zejména: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koordinovat standardizovaný odběr vzorků napříč ČR;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zajistit reprezentativní prostorové pokrytí a vazbu na existující monitoring;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 xml:space="preserve">upozornit výzkumné týmy na </w:t>
      </w:r>
      <w:proofErr w:type="spellStart"/>
      <w:r w:rsidRPr="004D0FC1">
        <w:t>managementovou</w:t>
      </w:r>
      <w:proofErr w:type="spellEnd"/>
      <w:r w:rsidRPr="004D0FC1">
        <w:t xml:space="preserve"> otázku, kterou musí studie řešit;</w:t>
      </w:r>
    </w:p>
    <w:p w:rsidR="004D0FC1" w:rsidRPr="004D0FC1" w:rsidRDefault="004D0FC1" w:rsidP="004B1106">
      <w:pPr>
        <w:pStyle w:val="Seznamsodrkami"/>
        <w:keepLines/>
        <w:spacing w:after="60"/>
        <w:ind w:left="198" w:hanging="85"/>
        <w:jc w:val="both"/>
      </w:pPr>
      <w:r w:rsidRPr="004D0FC1">
        <w:t>zajistit, aby výsledky nezůstaly pouze v publikaci, ale byly převedeny do praktických doporučení.</w:t>
      </w:r>
    </w:p>
    <w:p w:rsidR="00FD754B" w:rsidRDefault="00FD754B" w:rsidP="004B1106">
      <w:pPr>
        <w:jc w:val="both"/>
      </w:pPr>
    </w:p>
    <w:p w:rsidR="004D0FC1" w:rsidRDefault="004D0FC1" w:rsidP="004B1106">
      <w:pPr>
        <w:jc w:val="both"/>
      </w:pPr>
      <w:r w:rsidRPr="004D0FC1">
        <w:t>Tento model může být zároveň přechodovým krokem k budoucímu systematickému monitoringu: jednotlivé externí projekty by měly již dnes používat standardy, které umožní jejich data a uložené vzorky v budoucnu spojit do dlouhodobé časové řady.</w:t>
      </w:r>
    </w:p>
    <w:p w:rsidR="00FD754B" w:rsidRDefault="00FD754B" w:rsidP="004B1106">
      <w:pPr>
        <w:jc w:val="both"/>
      </w:pPr>
    </w:p>
    <w:p w:rsidR="004D0FC1" w:rsidRPr="0028740C" w:rsidRDefault="00FD754B" w:rsidP="004B1106">
      <w:pPr>
        <w:pStyle w:val="Nadpis1"/>
        <w:spacing w:after="0"/>
        <w:jc w:val="both"/>
        <w:rPr>
          <w:rFonts w:ascii="Arial" w:hAnsi="Arial"/>
        </w:rPr>
      </w:pPr>
      <w:r w:rsidRPr="0028740C">
        <w:rPr>
          <w:rFonts w:ascii="Arial" w:hAnsi="Arial"/>
        </w:rPr>
        <w:lastRenderedPageBreak/>
        <w:t>8. Příklady již realizovaných a probíhajících projektů relevantních pro AOPK</w:t>
      </w:r>
    </w:p>
    <w:p w:rsidR="00CB5376" w:rsidRDefault="00CB5376" w:rsidP="004B1106">
      <w:pPr>
        <w:spacing w:after="0"/>
        <w:jc w:val="both"/>
        <w:rPr>
          <w:rFonts w:eastAsiaTheme="majorEastAsia" w:cstheme="majorBidi"/>
          <w:b/>
          <w:bCs/>
          <w:color w:val="1F4E79"/>
          <w:sz w:val="28"/>
          <w:szCs w:val="28"/>
        </w:rPr>
      </w:pPr>
    </w:p>
    <w:p w:rsidR="00811072" w:rsidRDefault="00CB5376" w:rsidP="0080231D">
      <w:pPr>
        <w:spacing w:after="0"/>
        <w:jc w:val="both"/>
      </w:pPr>
      <w:r w:rsidRPr="00CB5376">
        <w:rPr>
          <w:b/>
          <w:bCs/>
        </w:rPr>
        <w:t xml:space="preserve">Hodnocení genetických poměrů v současných i historických populacích evropsky významných druhů motýlů a návrh budoucího genetického managementu </w:t>
      </w:r>
      <w:r w:rsidR="0080231D" w:rsidRPr="00CB5376">
        <w:rPr>
          <w:b/>
          <w:bCs/>
        </w:rPr>
        <w:t>populací</w:t>
      </w:r>
      <w:r w:rsidR="0080231D">
        <w:rPr>
          <w:b/>
          <w:bCs/>
        </w:rPr>
        <w:t xml:space="preserve"> – </w:t>
      </w:r>
      <w:r w:rsidR="0080231D" w:rsidRPr="0080231D">
        <w:t xml:space="preserve">studie </w:t>
      </w:r>
      <w:r w:rsidR="0080231D">
        <w:t>byla</w:t>
      </w:r>
      <w:r w:rsidR="0080231D" w:rsidRPr="0080231D">
        <w:t xml:space="preserve"> zaměřena na několik druhů ohrožených motýlů, zahrnutých v soustavě Natura 2000</w:t>
      </w:r>
      <w:r w:rsidR="0080231D">
        <w:t xml:space="preserve"> s</w:t>
      </w:r>
      <w:r w:rsidR="00811072">
        <w:t> </w:t>
      </w:r>
      <w:r w:rsidR="0080231D">
        <w:t>cíl</w:t>
      </w:r>
      <w:r w:rsidR="00811072">
        <w:t>i:</w:t>
      </w:r>
    </w:p>
    <w:p w:rsidR="00811072" w:rsidRDefault="00D20736" w:rsidP="0080231D">
      <w:pPr>
        <w:spacing w:after="0"/>
        <w:jc w:val="both"/>
      </w:pPr>
      <w:r>
        <w:t xml:space="preserve">1) </w:t>
      </w:r>
      <w:r w:rsidR="0080231D" w:rsidRPr="0080231D">
        <w:t xml:space="preserve">pomocí </w:t>
      </w:r>
      <w:proofErr w:type="spellStart"/>
      <w:r w:rsidR="0080231D" w:rsidRPr="0080231D">
        <w:t>mikrosatelitových</w:t>
      </w:r>
      <w:proofErr w:type="spellEnd"/>
      <w:r w:rsidR="0080231D" w:rsidRPr="0080231D">
        <w:t xml:space="preserve"> markerů (SSR) zmapovat genetické parametry</w:t>
      </w:r>
      <w:r>
        <w:t xml:space="preserve"> </w:t>
      </w:r>
      <w:r w:rsidR="0080231D" w:rsidRPr="0080231D">
        <w:t>populací zájmových druhů (</w:t>
      </w:r>
      <w:proofErr w:type="spellStart"/>
      <w:r w:rsidR="0080231D" w:rsidRPr="0080231D">
        <w:t>Lycaena</w:t>
      </w:r>
      <w:proofErr w:type="spellEnd"/>
      <w:r w:rsidR="0080231D" w:rsidRPr="0080231D">
        <w:t xml:space="preserve"> </w:t>
      </w:r>
      <w:proofErr w:type="spellStart"/>
      <w:r w:rsidR="0080231D" w:rsidRPr="0080231D">
        <w:t>helle</w:t>
      </w:r>
      <w:proofErr w:type="spellEnd"/>
      <w:r w:rsidR="0080231D" w:rsidRPr="0080231D">
        <w:t xml:space="preserve">, </w:t>
      </w:r>
      <w:proofErr w:type="spellStart"/>
      <w:r w:rsidR="0080231D" w:rsidRPr="0080231D">
        <w:t>Coenonympha</w:t>
      </w:r>
      <w:proofErr w:type="spellEnd"/>
      <w:r w:rsidR="0080231D" w:rsidRPr="0080231D">
        <w:t xml:space="preserve"> </w:t>
      </w:r>
      <w:proofErr w:type="spellStart"/>
      <w:r w:rsidR="0080231D" w:rsidRPr="0080231D">
        <w:t>hero</w:t>
      </w:r>
      <w:proofErr w:type="spellEnd"/>
      <w:r w:rsidR="0080231D" w:rsidRPr="0080231D">
        <w:t xml:space="preserve">, </w:t>
      </w:r>
      <w:proofErr w:type="spellStart"/>
      <w:r w:rsidR="0080231D" w:rsidRPr="0080231D">
        <w:t>Colias</w:t>
      </w:r>
      <w:proofErr w:type="spellEnd"/>
      <w:r w:rsidR="0080231D" w:rsidRPr="0080231D">
        <w:t xml:space="preserve"> myrmidone, Parnassius</w:t>
      </w:r>
      <w:r>
        <w:t xml:space="preserve"> </w:t>
      </w:r>
      <w:r w:rsidR="0080231D" w:rsidRPr="0080231D">
        <w:t>mnemosyne, Phengaris arion, P. nausithous, P. teleius) a srovnat ji se stejnými parametry</w:t>
      </w:r>
      <w:r w:rsidR="00811072">
        <w:t xml:space="preserve"> </w:t>
      </w:r>
      <w:r w:rsidR="0080231D" w:rsidRPr="0080231D">
        <w:t>podobných populací v</w:t>
      </w:r>
      <w:r w:rsidR="00811072">
        <w:t> </w:t>
      </w:r>
      <w:r w:rsidR="0080231D" w:rsidRPr="0080231D">
        <w:t>minulosti</w:t>
      </w:r>
      <w:r w:rsidR="00811072">
        <w:t>.</w:t>
      </w:r>
    </w:p>
    <w:p w:rsidR="00CB5376" w:rsidRPr="0080231D" w:rsidRDefault="0080231D" w:rsidP="0080231D">
      <w:pPr>
        <w:spacing w:after="0"/>
        <w:jc w:val="both"/>
      </w:pPr>
      <w:r w:rsidRPr="0080231D">
        <w:t xml:space="preserve">2) pomocí </w:t>
      </w:r>
      <w:proofErr w:type="spellStart"/>
      <w:r w:rsidRPr="0080231D">
        <w:t>sekvenování</w:t>
      </w:r>
      <w:proofErr w:type="spellEnd"/>
      <w:r w:rsidRPr="0080231D">
        <w:t xml:space="preserve"> nové generace (metoda </w:t>
      </w:r>
      <w:proofErr w:type="spellStart"/>
      <w:r w:rsidRPr="0080231D">
        <w:t>RADseq</w:t>
      </w:r>
      <w:proofErr w:type="spellEnd"/>
      <w:r w:rsidRPr="0080231D">
        <w:t>)</w:t>
      </w:r>
      <w:r w:rsidR="00811072">
        <w:t xml:space="preserve"> </w:t>
      </w:r>
      <w:r w:rsidRPr="0080231D">
        <w:t>zhodnotit postavení a stav současných populací druhů Eriogaster catax a Euplagia</w:t>
      </w:r>
      <w:r w:rsidR="00811072">
        <w:t xml:space="preserve"> </w:t>
      </w:r>
      <w:r w:rsidRPr="0080231D">
        <w:t>quadripunctaria.</w:t>
      </w:r>
    </w:p>
    <w:p w:rsidR="00811072" w:rsidRPr="00CB5376" w:rsidRDefault="00811072" w:rsidP="004B1106">
      <w:pPr>
        <w:spacing w:after="0"/>
        <w:jc w:val="both"/>
      </w:pPr>
    </w:p>
    <w:p w:rsidR="007E4BC0" w:rsidRDefault="008A208B" w:rsidP="007E4BC0">
      <w:pPr>
        <w:spacing w:after="0"/>
        <w:jc w:val="both"/>
      </w:pPr>
      <w:r w:rsidRPr="0028740C">
        <w:rPr>
          <w:b/>
          <w:bCs/>
        </w:rPr>
        <w:t>Hnědásek osikový</w:t>
      </w:r>
      <w:r w:rsidRPr="0028740C">
        <w:t xml:space="preserve"> – genetická studie realizovaná v roce 2023 na mikrosatelitech hodnotila časový vývoj genetické variability dománovické-polabské populace s využitím historických a recentních vzorků, její vztah k populacím v okolních státech a původ populace u Frýdku-Místku. Výsledky ukázaly pokles genetické variability polabské populace a její výraznou genetickou odlišnost. Populace u Frýdku-Místku není autochtonní; genetická data ukazují na původ v oblasti jižního Slovenska. Pro přednášku je tento případ cenný zejména jako příklad, kdy genetická analýza poskytuje přímý podklad pro rozhodování o dalším genetickém managementu.</w:t>
      </w:r>
    </w:p>
    <w:p w:rsidR="007E4BC0" w:rsidRDefault="008A208B" w:rsidP="007E4BC0">
      <w:pPr>
        <w:spacing w:after="0"/>
        <w:jc w:val="both"/>
      </w:pPr>
      <w:r w:rsidRPr="0028740C">
        <w:t>Sýček obecný – v rámci záchranného programu byla hodnocena genetická struktura a variabilita populace v širším středoevropském kontextu, včetně toku genů, genetické diferenciace, alelové bohatosti, heterozygotnosti, efektivní velikosti populace, příbuznosti a inbreedingu. Podle dostupných, zčásti dosud nepublikovaných výsledků genetická variabilita české populace zatím není dramaticky snížena, současně však nízká efektivní velikost populace a lokálně zvýšený inbreeding představují relevantní varovné signály. Při prezentaci přesných hodnot nebo časových trendů je vhodné uvést konkrétní závěrečnou zprávu či nepublikovaný zdroj.</w:t>
      </w:r>
    </w:p>
    <w:p w:rsidR="007E4BC0" w:rsidRDefault="007E4BC0" w:rsidP="007E4BC0">
      <w:pPr>
        <w:spacing w:after="0"/>
        <w:jc w:val="both"/>
      </w:pPr>
    </w:p>
    <w:p w:rsidR="006A18D4" w:rsidRDefault="008A208B" w:rsidP="007E4BC0">
      <w:pPr>
        <w:spacing w:after="0"/>
        <w:jc w:val="both"/>
      </w:pPr>
      <w:r w:rsidRPr="0028740C">
        <w:rPr>
          <w:b/>
          <w:bCs/>
        </w:rPr>
        <w:t>Užovka stromová</w:t>
      </w:r>
      <w:r w:rsidRPr="0028740C">
        <w:t xml:space="preserve"> – dosavadní genetické studie českých populací ukazují výraznou populační strukturu a v některých populacích omezenou variabilitu vybraných markerů. Novější studie publikovaná v roce 2025 však odhalila mimořádně zajímavou mitochondriální diverzitu populace na Želinském meandru: společně zde byly nalezeny dvě hluboce divergentní mitochondriální linie – běžná východní linie E1 a nově popsaný haplotyp W10 západní linie. Jde o první potvrzený západní haplotyp v ČR a vzácný příklad koexistence obou linií. Tento případ dobře ukazuje limity zobecňování výsledků získaných z omezeného počtu markerů nebo lokalit.</w:t>
      </w:r>
    </w:p>
    <w:p w:rsidR="000A4AB6" w:rsidRDefault="006A18D4" w:rsidP="007E4BC0">
      <w:pPr>
        <w:spacing w:after="0"/>
        <w:jc w:val="both"/>
      </w:pPr>
      <w:r w:rsidRPr="0028740C">
        <w:t>V letech 2024–2026 probíhá projekt TA ČR „Užovka stromová jako model: genomika, populační struktura a odolnost populací“, u něhož je AOPK ČR aplikačním garantem. Cílem je zpřesnit poznání příbuznosti a genetické variability jednotlivých populací a vytvořit rámec pro posuzování původu nových či sporadických nálezů.</w:t>
      </w:r>
    </w:p>
    <w:p w:rsidR="00474936" w:rsidRDefault="0028740C">
      <w:r w:rsidRPr="0028740C">
        <w:t xml:space="preserve">Využití genomiky pro ochranu hmyzu v ČR: motýli jako modelová skupina – </w:t>
      </w:r>
      <w:r w:rsidRPr="0028740C">
        <w:t xml:space="preserve">projekt TA ČR probíhající v letech 2024–2026, u něhož je AOPK ČR aplikačním garantem. Představuje důležitý krok od jednotlivých </w:t>
      </w:r>
      <w:r w:rsidRPr="0028740C">
        <w:t>druhových studií k širšímu testování genomických přístupů využitelných v praktické ochraně bezobratlých.</w:t>
      </w:r>
    </w:p>
    <w:p w:rsidR="00474936" w:rsidRPr="0028740C" w:rsidRDefault="0028740C">
      <w:pPr>
        <w:pStyle w:val="Nadpis1"/>
        <w:rPr>
          <w:rFonts w:ascii="Arial" w:hAnsi="Arial"/>
        </w:rPr>
      </w:pPr>
      <w:r w:rsidRPr="0028740C">
        <w:rPr>
          <w:rFonts w:ascii="Arial" w:hAnsi="Arial"/>
        </w:rPr>
        <w:t>9. Doporučené minimum pro zavádění genetického monitoringu v AOPK</w:t>
      </w:r>
    </w:p>
    <w:p w:rsidR="00474936" w:rsidRPr="0028740C" w:rsidRDefault="0028740C">
      <w:pPr>
        <w:pStyle w:val="Seznamsodrkami"/>
      </w:pPr>
      <w:r w:rsidRPr="0028740C">
        <w:t>U ZP/RAP vždy explicitně posoudit genetickou relevanci; genetický monitoring zavádět tam, kde může ovlivnit rozhodnutí nebo vyhodnocení úspěšnosti.</w:t>
      </w:r>
    </w:p>
    <w:p w:rsidR="00474936" w:rsidRPr="0028740C" w:rsidRDefault="0028740C">
      <w:pPr>
        <w:pStyle w:val="Seznamsodrkami"/>
      </w:pPr>
      <w:r w:rsidRPr="0028740C">
        <w:t>Standardizovat o</w:t>
      </w:r>
      <w:r w:rsidRPr="0028740C">
        <w:t>dběr, metadata a dlouhodobou archivaci vzorků i v případech, kdy sekvenování proběhne až později.</w:t>
      </w:r>
    </w:p>
    <w:p w:rsidR="00474936" w:rsidRPr="0028740C" w:rsidRDefault="0028740C">
      <w:pPr>
        <w:pStyle w:val="Seznamsodrkami"/>
      </w:pPr>
      <w:r w:rsidRPr="0028740C">
        <w:t>Využít existující terénní monitorovací sítě AOPK jako infrastrukturu pro opakovaný odběr, zejména u bezobratlých.</w:t>
      </w:r>
    </w:p>
    <w:p w:rsidR="00474936" w:rsidRPr="0028740C" w:rsidRDefault="0028740C">
      <w:pPr>
        <w:pStyle w:val="Seznamsodrkami"/>
      </w:pPr>
      <w:r w:rsidRPr="0028740C">
        <w:t>Kombinovat úzké portfolio skutečně genomicky</w:t>
      </w:r>
      <w:r w:rsidRPr="0028740C">
        <w:t xml:space="preserve"> monitorovaných druhů s širším screeningem genetického rizika pomocí populačních a prostorových proxy.</w:t>
      </w:r>
    </w:p>
    <w:p w:rsidR="00474936" w:rsidRPr="0028740C" w:rsidRDefault="0028740C">
      <w:pPr>
        <w:pStyle w:val="Seznamsodrkami"/>
      </w:pPr>
      <w:r w:rsidRPr="0028740C">
        <w:t>U přeshraničních populací usilovat o kompatibilitu a společný design se sousedními státy; na vznik celoevropského jednotného programu však není nutné ček</w:t>
      </w:r>
      <w:r w:rsidRPr="0028740C">
        <w:t>at.</w:t>
      </w:r>
    </w:p>
    <w:p w:rsidR="00474936" w:rsidRPr="0028740C" w:rsidRDefault="0028740C">
      <w:pPr>
        <w:pStyle w:val="Seznamsodrkami"/>
      </w:pPr>
      <w:r w:rsidRPr="0028740C">
        <w:t>Předem definovat indikátor, interval opakování a rozhodovací reakci: co bude znamenat pokles Nₑ, růst inbreedingu, ztráta konektivity nebo naopak stabilní stav.</w:t>
      </w:r>
    </w:p>
    <w:p w:rsidR="006F7D12" w:rsidRPr="008A208B" w:rsidRDefault="006F7D12" w:rsidP="007E4BC0">
      <w:pPr>
        <w:spacing w:after="0"/>
        <w:jc w:val="both"/>
      </w:pPr>
    </w:p>
    <w:sectPr w:rsidR="006F7D12" w:rsidRPr="008A208B" w:rsidSect="00034616">
      <w:pgSz w:w="12240" w:h="15840"/>
      <w:pgMar w:top="964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C2E4E76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0C7A20"/>
    <w:multiLevelType w:val="hybridMultilevel"/>
    <w:tmpl w:val="5330BDA6"/>
    <w:lvl w:ilvl="0" w:tplc="F33865D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1F4E79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A71EF"/>
    <w:multiLevelType w:val="hybridMultilevel"/>
    <w:tmpl w:val="2772CDD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435684">
    <w:abstractNumId w:val="0"/>
  </w:num>
  <w:num w:numId="2" w16cid:durableId="573011915">
    <w:abstractNumId w:val="2"/>
  </w:num>
  <w:num w:numId="3" w16cid:durableId="1336953316">
    <w:abstractNumId w:val="1"/>
  </w:num>
  <w:num w:numId="4" w16cid:durableId="12997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2F"/>
    <w:rsid w:val="00025E91"/>
    <w:rsid w:val="000A4AB6"/>
    <w:rsid w:val="00124829"/>
    <w:rsid w:val="00226E30"/>
    <w:rsid w:val="00231640"/>
    <w:rsid w:val="00262E61"/>
    <w:rsid w:val="0028740C"/>
    <w:rsid w:val="002A2E37"/>
    <w:rsid w:val="002E1079"/>
    <w:rsid w:val="002F3420"/>
    <w:rsid w:val="00316D2E"/>
    <w:rsid w:val="0038323C"/>
    <w:rsid w:val="00423654"/>
    <w:rsid w:val="004622A2"/>
    <w:rsid w:val="00474936"/>
    <w:rsid w:val="004B1106"/>
    <w:rsid w:val="004D0FC1"/>
    <w:rsid w:val="00601938"/>
    <w:rsid w:val="00633C3C"/>
    <w:rsid w:val="006A18D4"/>
    <w:rsid w:val="006F7D12"/>
    <w:rsid w:val="007C07F9"/>
    <w:rsid w:val="007E4BC0"/>
    <w:rsid w:val="0080231D"/>
    <w:rsid w:val="00811072"/>
    <w:rsid w:val="008928DF"/>
    <w:rsid w:val="008A208B"/>
    <w:rsid w:val="00981E43"/>
    <w:rsid w:val="0098537C"/>
    <w:rsid w:val="009C5FA9"/>
    <w:rsid w:val="00A644FA"/>
    <w:rsid w:val="00AD67B6"/>
    <w:rsid w:val="00B558A3"/>
    <w:rsid w:val="00B73A54"/>
    <w:rsid w:val="00BB3AF3"/>
    <w:rsid w:val="00C6101E"/>
    <w:rsid w:val="00C81826"/>
    <w:rsid w:val="00CB27E9"/>
    <w:rsid w:val="00CB5376"/>
    <w:rsid w:val="00CD55C8"/>
    <w:rsid w:val="00D20736"/>
    <w:rsid w:val="00DF1A6F"/>
    <w:rsid w:val="00E01D2F"/>
    <w:rsid w:val="00E97F17"/>
    <w:rsid w:val="00ED5E05"/>
    <w:rsid w:val="00F06A73"/>
    <w:rsid w:val="00F763FD"/>
    <w:rsid w:val="00F928DD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03764"/>
  <w15:chartTrackingRefBased/>
  <w15:docId w15:val="{DF459983-E9A7-42D0-9722-BD04BC71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D0FC1"/>
    <w:pPr>
      <w:spacing w:after="100"/>
    </w:pPr>
    <w:rPr>
      <w:rFonts w:ascii="Arial" w:eastAsiaTheme="minorEastAsia" w:hAnsi="Arial"/>
      <w:kern w:val="0"/>
      <w:sz w:val="20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4D0F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D0FC1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D0FC1"/>
    <w:rPr>
      <w:rFonts w:asciiTheme="majorHAnsi" w:eastAsiaTheme="majorEastAsia" w:hAnsiTheme="majorHAnsi" w:cstheme="majorBidi"/>
      <w:b/>
      <w:bCs/>
      <w:color w:val="1F4E79"/>
      <w:kern w:val="0"/>
      <w:sz w:val="28"/>
      <w:szCs w:val="28"/>
      <w:lang w:val="en-US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rsid w:val="004D0FC1"/>
    <w:rPr>
      <w:rFonts w:asciiTheme="majorHAnsi" w:eastAsiaTheme="majorEastAsia" w:hAnsiTheme="majorHAnsi" w:cstheme="majorBidi"/>
      <w:b/>
      <w:bCs/>
      <w:color w:val="2F5597"/>
      <w:kern w:val="0"/>
      <w:sz w:val="23"/>
      <w:szCs w:val="26"/>
      <w:lang w:val="en-US"/>
      <w14:ligatures w14:val="none"/>
    </w:rPr>
  </w:style>
  <w:style w:type="paragraph" w:styleId="Seznamsodrkami">
    <w:name w:val="List Bullet"/>
    <w:basedOn w:val="Normln"/>
    <w:uiPriority w:val="99"/>
    <w:unhideWhenUsed/>
    <w:rsid w:val="004D0FC1"/>
    <w:pPr>
      <w:numPr>
        <w:numId w:val="1"/>
      </w:numPr>
      <w:contextualSpacing/>
    </w:pPr>
  </w:style>
  <w:style w:type="table" w:styleId="Mkatabulky">
    <w:name w:val="Table Grid"/>
    <w:basedOn w:val="Normlntabulka"/>
    <w:uiPriority w:val="59"/>
    <w:rsid w:val="004D0FC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F76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7E375-8C32-4DE6-8CC2-DD2DD8DBE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2264</Words>
  <Characters>13360</Characters>
  <Application>Microsoft Office Word</Application>
  <DocSecurity>0</DocSecurity>
  <Lines>111</Lines>
  <Paragraphs>31</Paragraphs>
  <ScaleCrop>false</ScaleCrop>
  <Company/>
  <LinksUpToDate>false</LinksUpToDate>
  <CharactersWithSpaces>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Radek Hejda</dc:creator>
  <cp:keywords/>
  <dc:description/>
  <cp:lastModifiedBy>radek hejda</cp:lastModifiedBy>
  <cp:revision>2</cp:revision>
  <dcterms:created xsi:type="dcterms:W3CDTF">2026-09-06T13:29:00Z</dcterms:created>
  <dcterms:modified xsi:type="dcterms:W3CDTF">2026-09-06T13:29:00Z</dcterms:modified>
</cp:coreProperties>
</file>