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159"/>
        <w:jc w:val="left"/>
        <w:rPr>
          <w:i/>
          <w:i/>
          <w:iCs/>
        </w:rPr>
      </w:pPr>
      <w:r>
        <w:rPr>
          <w:rFonts w:ascii="Times New Roman" w:hAnsi="Times New Roman"/>
          <w:b w:val="false"/>
          <w:i/>
          <w:iCs/>
          <w:strike w:val="false"/>
          <w:dstrike w:val="false"/>
          <w:outline w:val="false"/>
          <w:shadow w:val="false"/>
          <w:color w:val="000000"/>
          <w:sz w:val="28"/>
          <w:szCs w:val="28"/>
          <w:u w:val="none"/>
          <w:shd w:fill="auto" w:val="clear"/>
          <w:em w:val="none"/>
        </w:rPr>
        <w:t xml:space="preserve">Phengaris arion </w:t>
      </w:r>
    </w:p>
    <w:p>
      <w:pPr>
        <w:pStyle w:val="Normal"/>
        <w:spacing w:before="0" w:after="159"/>
        <w:rPr/>
      </w:pPr>
      <w:r>
        <w:rPr>
          <w:rFonts w:ascii="Times New Roman" w:hAnsi="Times New Roman"/>
          <w:color w:val="000000"/>
          <w:shd w:fill="auto" w:val="clear"/>
        </w:rPr>
        <w:t>Pro tvorbu modelů potenciálního rozšíření modráska černoskvrnného bylo sebráno 2212 distribučních bodů.</w:t>
      </w:r>
    </w:p>
    <w:p>
      <w:pPr>
        <w:pStyle w:val="Normal"/>
        <w:spacing w:before="0" w:after="159"/>
        <w:rPr/>
      </w:pPr>
      <w:r>
        <w:rPr>
          <w:rFonts w:ascii="Times New Roman" w:hAnsi="Times New Roman"/>
          <w:i w:val="false"/>
          <w:iCs w:val="false"/>
          <w:color w:val="000000"/>
          <w:sz w:val="24"/>
          <w:szCs w:val="24"/>
          <w:shd w:fill="auto" w:val="clear"/>
        </w:rPr>
        <w:t xml:space="preserve">Při modelování pomocí MaxEnt na škále 30 zeměpisných sekund bylo použito 531 distribučních bodů (vždy 486 trénovacích a 54 testovacích). Byly použity funkce LQH a škálovací konstanta = 3,5 (AUC = 0,943, AICc = 10955,9, N coef. = 73). </w:t>
      </w:r>
      <w:r>
        <w:rPr>
          <w:rFonts w:eastAsia="Noto Serif CJK SC" w:cs="Lohit Devanagari" w:ascii="Times New Roman" w:hAnsi="Times New Roman"/>
          <w:i w:val="false"/>
          <w:iCs w:val="false"/>
          <w:color w:val="000000"/>
          <w:kern w:val="2"/>
          <w:sz w:val="24"/>
          <w:szCs w:val="24"/>
          <w:shd w:fill="auto" w:val="clear"/>
          <w:lang w:val="cs-CZ" w:eastAsia="zh-CN" w:bidi="hi-IN"/>
        </w:rPr>
        <w:t>M</w:t>
      </w:r>
      <w:bookmarkStart w:id="0" w:name="__DdeLink__2042_23606067411"/>
      <w:bookmarkStart w:id="1" w:name="__DdeLink__4780_25507391471"/>
      <w:r>
        <w:rPr>
          <w:rFonts w:ascii="Times New Roman" w:hAnsi="Times New Roman"/>
          <w:i w:val="false"/>
          <w:iCs w:val="false"/>
          <w:color w:val="000000"/>
          <w:sz w:val="24"/>
          <w:szCs w:val="24"/>
          <w:shd w:fill="auto" w:val="clear"/>
        </w:rPr>
        <w:t>odel s vybranými nejlepšími prediktory vysvětluje poměrně velkou variabil</w:t>
      </w:r>
      <w:bookmarkEnd w:id="0"/>
      <w:bookmarkEnd w:id="1"/>
      <w:r>
        <w:rPr>
          <w:rFonts w:ascii="Times New Roman" w:hAnsi="Times New Roman"/>
          <w:i w:val="false"/>
          <w:iCs w:val="false"/>
          <w:color w:val="000000"/>
          <w:sz w:val="24"/>
          <w:szCs w:val="24"/>
          <w:shd w:fill="auto" w:val="clear"/>
        </w:rPr>
        <w:t xml:space="preserve">itu: </w:t>
      </w:r>
      <w:r>
        <w:rPr>
          <w:rFonts w:eastAsia="Calibri" w:cs="" w:ascii="Times New Roman" w:hAnsi="Times New Roman" w:cstheme="minorHAnsi"/>
          <w:i w:val="false"/>
          <w:iCs w:val="false"/>
          <w:color w:val="000000"/>
          <w:sz w:val="24"/>
          <w:szCs w:val="24"/>
          <w:shd w:fill="auto" w:val="clear"/>
        </w:rPr>
        <w:t>AUC = 0,939 (</w:t>
      </w:r>
      <w:bookmarkStart w:id="2" w:name="__DdeLink__5223_24552824081111"/>
      <w:r>
        <w:rPr>
          <w:rFonts w:eastAsia="Calibri" w:cs="" w:ascii="Times New Roman" w:hAnsi="Times New Roman" w:cstheme="minorHAnsi"/>
          <w:i w:val="false"/>
          <w:iCs w:val="false"/>
          <w:color w:val="000000"/>
          <w:sz w:val="24"/>
          <w:szCs w:val="24"/>
          <w:shd w:fill="auto" w:val="clear"/>
        </w:rPr>
        <w:t>±0</w:t>
      </w:r>
      <w:bookmarkEnd w:id="2"/>
      <w:r>
        <w:rPr>
          <w:rFonts w:eastAsia="Calibri" w:cs="" w:ascii="Times New Roman" w:hAnsi="Times New Roman" w:cstheme="minorHAnsi"/>
          <w:i w:val="false"/>
          <w:iCs w:val="false"/>
          <w:color w:val="000000"/>
          <w:sz w:val="24"/>
          <w:szCs w:val="24"/>
          <w:shd w:fill="auto" w:val="clear"/>
        </w:rPr>
        <w:t xml:space="preserve">,015). Hodnota tresholdu je 0,094. </w:t>
      </w:r>
      <w:r>
        <w:rPr>
          <w:rFonts w:eastAsia="Calibri" w:cs="" w:ascii="Times New Roman" w:hAnsi="Times New Roman"/>
          <w:i w:val="false"/>
          <w:iCs w:val="false"/>
          <w:color w:val="000000"/>
          <w:sz w:val="24"/>
          <w:szCs w:val="24"/>
          <w:shd w:fill="auto" w:val="clear"/>
        </w:rPr>
        <w:t xml:space="preserve">Detailněji </w:t>
      </w:r>
      <w:r>
        <w:rPr>
          <w:rFonts w:eastAsia="Calibri" w:cs="" w:ascii="Times New Roman" w:hAnsi="Times New Roman"/>
          <w:b/>
          <w:bCs/>
          <w:i w:val="false"/>
          <w:iCs w:val="false"/>
          <w:color w:val="000000"/>
          <w:sz w:val="24"/>
          <w:szCs w:val="24"/>
          <w:shd w:fill="auto" w:val="clear"/>
        </w:rPr>
        <w:t>Obr. 8.1.</w:t>
      </w:r>
    </w:p>
    <w:p>
      <w:pPr>
        <w:pStyle w:val="Normal"/>
        <w:widowControl/>
        <w:suppressAutoHyphens w:val="true"/>
        <w:bidi w:val="0"/>
        <w:spacing w:before="0" w:after="159"/>
        <w:ind w:left="0" w:right="-170" w:hanging="0"/>
        <w:jc w:val="left"/>
        <w:rPr>
          <w:i w:val="false"/>
          <w:i w:val="false"/>
          <w:iCs w:val="false"/>
          <w:sz w:val="24"/>
          <w:szCs w:val="24"/>
          <w:highlight w:val="yellow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-6350</wp:posOffset>
            </wp:positionH>
            <wp:positionV relativeFrom="paragraph">
              <wp:posOffset>-63500</wp:posOffset>
            </wp:positionV>
            <wp:extent cx="6120130" cy="2914015"/>
            <wp:effectExtent l="0" t="0" r="0" b="0"/>
            <wp:wrapSquare wrapText="largest"/>
            <wp:docPr id="1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Calibri" w:cs="" w:ascii="Times New Roman" w:hAnsi="Times New Roman"/>
          <w:b/>
          <w:bCs/>
          <w:i w:val="false"/>
          <w:iCs w:val="false"/>
          <w:color w:val="000000"/>
          <w:sz w:val="24"/>
          <w:szCs w:val="24"/>
          <w:shd w:fill="auto" w:val="clear"/>
        </w:rPr>
        <w:t xml:space="preserve">Obr. 8.1. </w:t>
      </w:r>
      <w:r>
        <w:rPr>
          <w:rFonts w:eastAsia="Calibri" w:cs="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shd w:fill="auto" w:val="clear"/>
        </w:rPr>
        <w:t>Parametry modelu vhodných podmínek pro výskyt modráska černoskvrnného (</w:t>
      </w:r>
      <w:r>
        <w:rPr>
          <w:rFonts w:eastAsia="Calibri" w:cs="" w:ascii="Times New Roman" w:hAnsi="Times New Roman"/>
          <w:b w:val="false"/>
          <w:bCs w:val="false"/>
          <w:i/>
          <w:iCs/>
          <w:color w:val="000000"/>
          <w:sz w:val="24"/>
          <w:szCs w:val="24"/>
          <w:shd w:fill="auto" w:val="clear"/>
        </w:rPr>
        <w:t>Phengaris arion</w:t>
      </w:r>
      <w:r>
        <w:rPr>
          <w:rFonts w:eastAsia="Calibri" w:cs="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shd w:fill="auto" w:val="clear"/>
        </w:rPr>
        <w:t xml:space="preserve">). a) </w:t>
      </w:r>
      <w:r>
        <w:rPr>
          <w:rFonts w:eastAsia="Noto Serif CJK SC" w:cs="Lohit Devanagari" w:ascii="Times New Roman" w:hAnsi="Times New Roman"/>
          <w:b w:val="false"/>
          <w:bCs w:val="false"/>
          <w:i w:val="false"/>
          <w:iCs w:val="false"/>
          <w:color w:val="000000"/>
          <w:kern w:val="2"/>
          <w:sz w:val="24"/>
          <w:szCs w:val="24"/>
          <w:shd w:fill="auto" w:val="clear"/>
          <w:lang w:val="cs-CZ" w:eastAsia="zh-CN" w:bidi="hi-IN"/>
        </w:rPr>
        <w:t>Rozdíl mezi trénovacím a testovacím modelem.</w:t>
      </w:r>
      <w:r>
        <w:rPr>
          <w:rFonts w:eastAsia="Calibri" w:cs="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shd w:fill="auto" w:val="clear"/>
        </w:rPr>
        <w:t xml:space="preserve"> b) Citlivost modelu. Modelováno metodou MaxEnt na škále 30 zeměpisných sekund).</w:t>
      </w:r>
    </w:p>
    <w:p>
      <w:pPr>
        <w:pStyle w:val="Normal"/>
        <w:widowControl/>
        <w:suppressAutoHyphens w:val="true"/>
        <w:bidi w:val="0"/>
        <w:spacing w:before="0" w:after="159"/>
        <w:ind w:left="0" w:right="0" w:hanging="0"/>
        <w:jc w:val="left"/>
        <w:rPr>
          <w:rFonts w:ascii="Times New Roman" w:hAnsi="Times New Roman" w:eastAsia="Calibri" w:cs="" w:cstheme="minorHAnsi"/>
          <w:b w:val="false"/>
          <w:b w:val="false"/>
          <w:bCs w:val="false"/>
          <w:color w:val="000000"/>
          <w:u w:val="double"/>
        </w:rPr>
      </w:pPr>
      <w:r>
        <w:rPr>
          <w:rFonts w:eastAsia="Calibri" w:cs="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shd w:fill="auto" w:val="clear"/>
        </w:rPr>
        <w:t>Výskyt modráska černoskvrnného je podle MaxEnt závislý na výskytu živné rostliny, devíti bioklimatických proměnných, na členitosti a sklonu terénu, na ruderální bylinné vegetaci mimo sídla</w:t>
      </w:r>
      <w:r>
        <w:rPr>
          <w:rFonts w:eastAsia="Calibri" w:cs="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u w:val="none"/>
          <w:shd w:fill="auto" w:val="clear"/>
        </w:rPr>
        <w:t xml:space="preserve"> (X7, X7B), na acidofilních bučinách (L5.4) a čtyřech proměnných z vrstvy KVES (suché trávníky, doubravy a dubohabřiny, degradovaný travní porost, orná půda)</w:t>
      </w:r>
      <w:r>
        <w:rPr>
          <w:rFonts w:eastAsia="Calibri" w:cs="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shd w:fill="auto" w:val="clear"/>
        </w:rPr>
        <w:t xml:space="preserve">. </w:t>
      </w:r>
      <w:r>
        <w:rPr>
          <w:rFonts w:eastAsia="Calibri" w:cs="" w:ascii="Times New Roman" w:hAnsi="Times New Roman" w:cstheme="minorHAnsi"/>
          <w:b w:val="false"/>
          <w:bCs w:val="false"/>
          <w:i w:val="false"/>
          <w:iCs w:val="false"/>
          <w:color w:val="000000"/>
          <w:sz w:val="24"/>
          <w:szCs w:val="24"/>
          <w:shd w:fill="auto" w:val="clear"/>
        </w:rPr>
        <w:t xml:space="preserve">Vliv a význam </w:t>
      </w:r>
      <w:r>
        <w:rPr>
          <w:rFonts w:eastAsia="Calibri" w:cs="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shd w:fill="auto" w:val="clear"/>
        </w:rPr>
        <w:t>jednotlivých proměnných shrnuje</w:t>
      </w:r>
      <w:r>
        <w:rPr>
          <w:rFonts w:eastAsia="Calibri" w:cs="" w:ascii="Times New Roman" w:hAnsi="Times New Roman"/>
          <w:b/>
          <w:bCs/>
          <w:i w:val="false"/>
          <w:iCs w:val="false"/>
          <w:color w:val="000000"/>
          <w:sz w:val="24"/>
          <w:szCs w:val="24"/>
          <w:shd w:fill="auto" w:val="clear"/>
        </w:rPr>
        <w:t xml:space="preserve"> Obr. 8.2</w:t>
      </w:r>
      <w:r>
        <w:rPr>
          <w:rFonts w:eastAsia="Calibri" w:cs="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shd w:fill="auto" w:val="clear"/>
        </w:rPr>
        <w:t>.</w:t>
      </w:r>
      <w:r>
        <w:rPr>
          <w:rFonts w:eastAsia="Calibri" w:cs="" w:ascii="Times New Roman" w:hAnsi="Times New Roman"/>
          <w:b/>
          <w:bCs/>
          <w:i w:val="false"/>
          <w:iCs w:val="false"/>
          <w:color w:val="000000"/>
          <w:sz w:val="24"/>
          <w:szCs w:val="24"/>
          <w:shd w:fill="auto" w:val="clear"/>
        </w:rPr>
        <w:t xml:space="preserve"> </w:t>
      </w:r>
      <w:r>
        <w:rPr>
          <w:rFonts w:eastAsia="Calibri" w:cs="" w:ascii="Times New Roman" w:hAnsi="Times New Roman" w:cstheme="minorHAnsi"/>
          <w:b w:val="false"/>
          <w:bCs w:val="false"/>
          <w:i w:val="false"/>
          <w:iCs w:val="false"/>
          <w:color w:val="000000"/>
          <w:sz w:val="24"/>
          <w:szCs w:val="24"/>
          <w:shd w:fill="auto" w:val="clear"/>
        </w:rPr>
        <w:t>Detaily proměnných viz příloha 1.</w:t>
        <w:br/>
      </w:r>
    </w:p>
    <w:p>
      <w:pPr>
        <w:pStyle w:val="Normal"/>
        <w:widowControl/>
        <w:suppressAutoHyphens w:val="true"/>
        <w:bidi w:val="0"/>
        <w:spacing w:before="0" w:after="159"/>
        <w:ind w:left="0" w:right="0" w:hanging="0"/>
        <w:jc w:val="left"/>
        <w:rPr>
          <w:rFonts w:ascii="Times New Roman" w:hAnsi="Times New Roman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0</wp:posOffset>
            </wp:positionH>
            <wp:positionV relativeFrom="paragraph">
              <wp:posOffset>-219710</wp:posOffset>
            </wp:positionV>
            <wp:extent cx="6120130" cy="8655685"/>
            <wp:effectExtent l="0" t="0" r="0" b="0"/>
            <wp:wrapSquare wrapText="largest"/>
            <wp:docPr id="2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655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Calibri" w:cs="" w:ascii="Times New Roman" w:hAnsi="Times New Roman"/>
          <w:b/>
          <w:bCs/>
          <w:i w:val="false"/>
          <w:iCs w:val="false"/>
          <w:color w:val="000000"/>
          <w:sz w:val="24"/>
          <w:szCs w:val="24"/>
          <w:shd w:fill="auto" w:val="clear"/>
        </w:rPr>
        <w:t xml:space="preserve">Obr. 8.2. </w:t>
      </w:r>
      <w:r>
        <w:rPr>
          <w:rFonts w:eastAsia="Calibri" w:cs="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shd w:fill="auto" w:val="clear"/>
        </w:rPr>
        <w:t>a) Složky modelu vhodných podmínek pro výskyt modráska černoskvrnného (</w:t>
      </w:r>
      <w:r>
        <w:rPr>
          <w:rFonts w:eastAsia="Calibri" w:cs="" w:ascii="Times New Roman" w:hAnsi="Times New Roman"/>
          <w:b w:val="false"/>
          <w:bCs w:val="false"/>
          <w:i/>
          <w:iCs/>
          <w:color w:val="000000"/>
          <w:sz w:val="24"/>
          <w:szCs w:val="24"/>
          <w:shd w:fill="auto" w:val="clear"/>
        </w:rPr>
        <w:t>Phengaris arion</w:t>
      </w:r>
      <w:r>
        <w:rPr>
          <w:rFonts w:eastAsia="Calibri" w:cs="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shd w:fill="auto" w:val="clear"/>
        </w:rPr>
        <w:t>).</w:t>
      </w:r>
      <w:bookmarkStart w:id="3" w:name="__DdeLink__365_323424811511"/>
      <w:bookmarkStart w:id="4" w:name="__DdeLink__165_211782572111"/>
      <w:r>
        <w:rPr>
          <w:rFonts w:eastAsia="Calibri" w:cs="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shd w:fill="auto" w:val="clear"/>
        </w:rPr>
        <w:t xml:space="preserve"> </w:t>
      </w:r>
      <w:bookmarkEnd w:id="4"/>
      <w:r>
        <w:rPr>
          <w:rFonts w:eastAsia="Calibri" w:cs="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shd w:fill="auto" w:val="clear"/>
        </w:rPr>
        <w:t>b)</w:t>
      </w:r>
      <w:bookmarkEnd w:id="3"/>
      <w:r>
        <w:rPr>
          <w:rFonts w:eastAsia="Calibri" w:cs="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shd w:fill="auto" w:val="clear"/>
        </w:rPr>
        <w:t xml:space="preserve"> Vliv jednotlivých proměnných (osy X) na predikci výskytu. Hodnoty pro Bio1–Bio11 jsou v desetinách °C, proměnné Bio12–Bio19 v mm. Modelováno metodou MaxEnt na škále 30 zeměpisných stupňů).</w:t>
      </w:r>
      <w:r>
        <w:br w:type="page"/>
      </w:r>
    </w:p>
    <w:p>
      <w:pPr>
        <w:pStyle w:val="Normal"/>
        <w:rPr>
          <w:rFonts w:ascii="Times New Roman" w:hAnsi="Times New Roman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92075</wp:posOffset>
            </wp:positionH>
            <wp:positionV relativeFrom="paragraph">
              <wp:posOffset>635</wp:posOffset>
            </wp:positionV>
            <wp:extent cx="6052820" cy="6460490"/>
            <wp:effectExtent l="0" t="0" r="0" b="0"/>
            <wp:wrapSquare wrapText="largest"/>
            <wp:docPr id="3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3366" t="0" r="0" b="270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2820" cy="6460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000000"/>
        </w:rPr>
        <w:t>Obr. 8.3.</w:t>
      </w:r>
      <w:r>
        <w:rPr>
          <w:rFonts w:eastAsia="Calibri" w:cs=""/>
          <w:b w:val="false"/>
          <w:bCs w:val="false"/>
          <w:color w:val="000000"/>
          <w:shd w:fill="auto" w:val="clear"/>
        </w:rPr>
        <w:t xml:space="preserve"> </w:t>
      </w:r>
      <w:bookmarkStart w:id="5" w:name="__DdeLink__362_3234248115"/>
      <w:r>
        <w:rPr>
          <w:rFonts w:eastAsia="Calibri" w:cs="" w:ascii="Times New Roman" w:hAnsi="Times New Roman"/>
          <w:b w:val="false"/>
          <w:bCs w:val="false"/>
          <w:color w:val="000000"/>
          <w:shd w:fill="auto" w:val="clear"/>
        </w:rPr>
        <w:t xml:space="preserve">a) Parametry modelu potenciálního rozšíření </w:t>
      </w:r>
      <w:bookmarkEnd w:id="5"/>
      <w:r>
        <w:rPr>
          <w:rFonts w:eastAsia="Calibri" w:cs="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shd w:fill="auto" w:val="clear"/>
        </w:rPr>
        <w:t>modráska černoskvrnného (</w:t>
      </w:r>
      <w:r>
        <w:rPr>
          <w:rFonts w:eastAsia="Calibri" w:cs="" w:ascii="Times New Roman" w:hAnsi="Times New Roman"/>
          <w:b w:val="false"/>
          <w:bCs w:val="false"/>
          <w:i/>
          <w:iCs/>
          <w:color w:val="000000"/>
          <w:sz w:val="24"/>
          <w:szCs w:val="24"/>
          <w:shd w:fill="auto" w:val="clear"/>
        </w:rPr>
        <w:t>Phengaris arion</w:t>
      </w:r>
      <w:r>
        <w:rPr>
          <w:rFonts w:eastAsia="Calibri" w:cs="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shd w:fill="auto" w:val="clear"/>
        </w:rPr>
        <w:t xml:space="preserve">). </w:t>
      </w:r>
      <w:bookmarkStart w:id="6" w:name="__DdeLink__369_3234248115"/>
      <w:r>
        <w:rPr>
          <w:rFonts w:eastAsia="Calibri" w:cs=""/>
          <w:b w:val="false"/>
          <w:bCs w:val="false"/>
          <w:color w:val="000000"/>
          <w:shd w:fill="auto" w:val="clear"/>
        </w:rPr>
        <w:t>b</w:t>
      </w:r>
      <w:bookmarkStart w:id="7" w:name="__DdeLink__365_3234248115"/>
      <w:r>
        <w:rPr>
          <w:rFonts w:eastAsia="Calibri" w:cs=""/>
          <w:b w:val="false"/>
          <w:bCs w:val="false"/>
          <w:color w:val="000000"/>
          <w:shd w:fill="auto" w:val="clear"/>
        </w:rPr>
        <w:t xml:space="preserve">) </w:t>
      </w:r>
      <w:bookmarkStart w:id="8" w:name="__DdeLink__165_2117825721"/>
      <w:r>
        <w:rPr>
          <w:rFonts w:eastAsia="Calibri" w:cs=""/>
          <w:b w:val="false"/>
          <w:bCs w:val="false"/>
          <w:color w:val="000000"/>
          <w:shd w:fill="auto" w:val="clear"/>
        </w:rPr>
        <w:t xml:space="preserve">Relativní důležitost vybraných proměnných. </w:t>
      </w:r>
      <w:bookmarkEnd w:id="8"/>
      <w:r>
        <w:rPr>
          <w:rFonts w:eastAsia="Calibri" w:cs=""/>
          <w:b w:val="false"/>
          <w:bCs w:val="false"/>
          <w:color w:val="000000"/>
          <w:shd w:fill="auto" w:val="clear"/>
        </w:rPr>
        <w:t>c) Vliv jednotlivých proměnných (osy X) na predikci výskytu</w:t>
      </w:r>
      <w:bookmarkEnd w:id="6"/>
      <w:bookmarkEnd w:id="7"/>
      <w:r>
        <w:rPr>
          <w:rFonts w:eastAsia="Calibri" w:cs=""/>
          <w:b w:val="false"/>
          <w:bCs w:val="false"/>
          <w:color w:val="000000"/>
          <w:shd w:fill="auto" w:val="clear"/>
        </w:rPr>
        <w:t>. Hodnoty pro Bio1–Bio11 jsou v desetinách °C, proměnné Bio12–Bio19 v mm. Modelováno metodou BART na škále 30 zeměpisných sekund.</w:t>
      </w:r>
    </w:p>
    <w:p>
      <w:pPr>
        <w:pStyle w:val="Normal"/>
        <w:rPr/>
      </w:pPr>
      <w:r>
        <w:rPr>
          <w:rFonts w:cs="" w:ascii="Times New Roman" w:hAnsi="Times New Roman" w:cstheme="minorBidi"/>
          <w:shd w:fill="auto" w:val="clear"/>
          <w14:ligatures w14:val="standardContextual"/>
        </w:rPr>
        <w:t xml:space="preserve">Na škále 30 zeměpisných sekund oba algoritmy předpovídají větší výskyt zejména v oblasti Novohradských hor, Šumavy, Moravských Beskyd, na Moravských vrchovinách a na Broumovsku, ve Slavkovském lese a ve vojenském újezdu Hradiště. </w:t>
      </w:r>
      <w:r>
        <w:rPr>
          <w:rFonts w:eastAsia="Calibri" w:cs="" w:ascii="Times New Roman" w:hAnsi="Times New Roman"/>
          <w:color w:val="000000"/>
          <w:shd w:fill="auto" w:val="clear"/>
        </w:rPr>
        <w:t>(</w:t>
      </w:r>
      <w:r>
        <w:rPr>
          <w:rFonts w:eastAsia="Calibri" w:cs="" w:ascii="Times New Roman" w:hAnsi="Times New Roman"/>
          <w:b/>
          <w:bCs/>
          <w:color w:val="000000"/>
          <w:shd w:fill="auto" w:val="clear"/>
        </w:rPr>
        <w:t>Obr. 8.4</w:t>
      </w:r>
      <w:r>
        <w:rPr>
          <w:rFonts w:eastAsia="Calibri" w:cs="" w:ascii="Times New Roman" w:hAnsi="Times New Roman"/>
          <w:b w:val="false"/>
          <w:bCs w:val="false"/>
          <w:color w:val="000000"/>
          <w:shd w:fill="auto" w:val="clear"/>
        </w:rPr>
        <w:t>a,b</w:t>
      </w:r>
      <w:r>
        <w:rPr>
          <w:rFonts w:eastAsia="Calibri" w:cs="" w:ascii="Times New Roman" w:hAnsi="Times New Roman"/>
          <w:color w:val="000000"/>
          <w:shd w:fill="auto" w:val="clear"/>
        </w:rPr>
        <w:t>)</w:t>
      </w:r>
      <w:r>
        <w:rPr>
          <w:rFonts w:cs="" w:ascii="Times New Roman" w:hAnsi="Times New Roman" w:cstheme="minorBidi"/>
          <w:shd w:fill="auto" w:val="clear"/>
          <w14:ligatures w14:val="standardContextual"/>
        </w:rPr>
        <w:t xml:space="preserve">. Oba algorytmy se shodují v místech s nízkou pravděpodobností výskytu modráska černoskvrnného a místech s nejvyšší pravděpodobností výskytu. </w:t>
      </w:r>
      <w:r>
        <w:rPr>
          <w:rFonts w:eastAsia="Calibri" w:cs="" w:ascii="Times New Roman" w:hAnsi="Times New Roman"/>
          <w:color w:val="000000"/>
          <w:shd w:fill="auto" w:val="clear"/>
        </w:rPr>
        <w:t>(</w:t>
      </w:r>
      <w:r>
        <w:rPr>
          <w:rFonts w:eastAsia="Calibri" w:cs="" w:ascii="Times New Roman" w:hAnsi="Times New Roman"/>
          <w:b/>
          <w:bCs/>
          <w:color w:val="000000"/>
          <w:shd w:fill="auto" w:val="clear"/>
        </w:rPr>
        <w:t>Obr. 8.4</w:t>
      </w:r>
      <w:r>
        <w:rPr>
          <w:rFonts w:eastAsia="Calibri" w:cs="" w:ascii="Times New Roman" w:hAnsi="Times New Roman"/>
          <w:b w:val="false"/>
          <w:bCs w:val="false"/>
          <w:color w:val="000000"/>
          <w:shd w:fill="auto" w:val="clear"/>
        </w:rPr>
        <w:t>c</w:t>
      </w:r>
      <w:r>
        <w:rPr>
          <w:rFonts w:eastAsia="Calibri" w:cs="" w:ascii="Times New Roman" w:hAnsi="Times New Roman"/>
          <w:color w:val="000000"/>
          <w:shd w:fill="auto" w:val="clear"/>
        </w:rPr>
        <w:t>).</w:t>
      </w:r>
      <w:r>
        <w:rPr>
          <w:rFonts w:cs="" w:ascii="Times New Roman" w:hAnsi="Times New Roman" w:cstheme="minorBidi"/>
          <w:shd w:fill="auto" w:val="clear"/>
          <w14:ligatures w14:val="standardContextual"/>
        </w:rPr>
        <w:t xml:space="preserve"> </w:t>
      </w:r>
    </w:p>
    <w:p>
      <w:pPr>
        <w:pStyle w:val="Normal"/>
        <w:rPr>
          <w:highlight w:val="none"/>
          <w:shd w:fill="FFFF00" w:val="clear"/>
        </w:rPr>
      </w:pPr>
      <w:r>
        <w:rPr>
          <w:rFonts w:cs="" w:ascii="Times New Roman" w:hAnsi="Times New Roman" w:cstheme="minorBidi"/>
          <w:shd w:fill="FFFF00" w:val="clear"/>
          <w14:ligatures w14:val="standardContextual"/>
        </w:rPr>
        <w:t>Obrázek i novými CHKO - předpřipravený v Canva</w:t>
      </w:r>
    </w:p>
    <w:p>
      <w:pPr>
        <w:pStyle w:val="Normal"/>
        <w:rPr>
          <w:highlight w:val="none"/>
          <w:shd w:fill="auto" w:val="clear"/>
        </w:rPr>
      </w:pPr>
      <w:r>
        <w:rPr>
          <w:rFonts w:eastAsia="Calibri" w:cs="" w:ascii="Times New Roman" w:hAnsi="Times New Roman" w:cstheme="minorBidi"/>
          <w:b/>
          <w:bCs/>
          <w:color w:val="000000"/>
          <w:shd w:fill="auto" w:val="clear"/>
          <w14:ligatures w14:val="standardContextual"/>
        </w:rPr>
        <w:t>Obr. 8.4</w:t>
      </w:r>
      <w:r>
        <w:rPr>
          <w:rFonts w:cs="" w:ascii="Times New Roman" w:hAnsi="Times New Roman" w:cstheme="minorBidi"/>
          <w:b/>
          <w:bCs/>
          <w:color w:val="000000"/>
          <w:shd w:fill="auto" w:val="clear"/>
          <w14:ligatures w14:val="standardContextual"/>
        </w:rPr>
        <w:t xml:space="preserve">. </w:t>
      </w:r>
      <w:r>
        <w:rPr>
          <w:rFonts w:cs="" w:ascii="Times New Roman" w:hAnsi="Times New Roman" w:cstheme="minorBidi"/>
          <w:color w:val="000000"/>
          <w:shd w:fill="auto" w:val="clear"/>
          <w14:ligatures w14:val="standardContextual"/>
        </w:rPr>
        <w:t xml:space="preserve">Potenciální rozšíření </w:t>
      </w:r>
      <w:r>
        <w:rPr>
          <w:rFonts w:eastAsia="Calibri" w:cs="" w:ascii="Times New Roman" w:hAnsi="Times New Roman" w:cstheme="minorBidi"/>
          <w:b w:val="false"/>
          <w:bCs w:val="false"/>
          <w:i w:val="false"/>
          <w:iCs w:val="false"/>
          <w:color w:val="000000"/>
          <w:sz w:val="24"/>
          <w:szCs w:val="24"/>
          <w:shd w:fill="auto" w:val="clear"/>
          <w14:ligatures w14:val="standardContextual"/>
        </w:rPr>
        <w:t xml:space="preserve">modráska </w:t>
      </w:r>
      <w:r>
        <w:rPr>
          <w:rFonts w:eastAsia="Calibri" w:cs="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shd w:fill="auto" w:val="clear"/>
        </w:rPr>
        <w:t>černoskvrnného (</w:t>
      </w:r>
      <w:r>
        <w:rPr>
          <w:rFonts w:eastAsia="Calibri" w:cs="" w:ascii="Times New Roman" w:hAnsi="Times New Roman"/>
          <w:b w:val="false"/>
          <w:bCs w:val="false"/>
          <w:i/>
          <w:iCs/>
          <w:color w:val="000000"/>
          <w:sz w:val="24"/>
          <w:szCs w:val="24"/>
          <w:shd w:fill="auto" w:val="clear"/>
        </w:rPr>
        <w:t>Phengaris arion</w:t>
      </w:r>
      <w:r>
        <w:rPr>
          <w:rFonts w:eastAsia="Calibri" w:cs="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shd w:fill="auto" w:val="clear"/>
        </w:rPr>
        <w:t>)</w:t>
      </w:r>
      <w:r>
        <w:rPr>
          <w:rFonts w:cs="" w:ascii="Times New Roman" w:hAnsi="Times New Roman" w:cstheme="minorBidi"/>
          <w:color w:val="000000"/>
          <w:sz w:val="24"/>
          <w:szCs w:val="24"/>
          <w:shd w:fill="auto" w:val="clear"/>
          <w14:ligatures w14:val="standardContextual"/>
        </w:rPr>
        <w:t xml:space="preserve"> na škále 30</w:t>
      </w:r>
      <w:r>
        <w:rPr>
          <w:rFonts w:cs="" w:ascii="Times New Roman" w:hAnsi="Times New Roman" w:cstheme="minorBidi"/>
          <w:color w:val="000000"/>
          <w:shd w:fill="auto" w:val="clear"/>
          <w14:ligatures w14:val="standardContextual"/>
        </w:rPr>
        <w:t xml:space="preserve"> zeměpisných sekund modelované a) metodou MaxEnt a b) BART. Odlišnost těchto dvou modelů (kolmá a vodorovná čára představují prahové hodnoty obou algoritmů).</w:t>
      </w:r>
    </w:p>
    <w:p>
      <w:pPr>
        <w:pStyle w:val="Normal"/>
        <w:rPr>
          <w:highlight w:val="yellow"/>
        </w:rPr>
      </w:pPr>
      <w:r>
        <w:rPr>
          <w:rFonts w:ascii="Times New Roman" w:hAnsi="Times New Roman"/>
          <w:color w:val="000000"/>
          <w:shd w:fill="auto" w:val="clear"/>
        </w:rPr>
        <w:t xml:space="preserve">Na škále 100x100 m a s přidanými DivLand prediktory. bylo vybráno algoritmem BART 18 různých proměnných: přítomnost živné rostliny a dále 9 z data setu DivLand a 8 bioklimatických s různým vlivem. Parametry modelu a průběh jednotlivých proměnných shrnuje </w:t>
      </w:r>
      <w:r>
        <w:rPr>
          <w:rFonts w:ascii="Times New Roman" w:hAnsi="Times New Roman"/>
          <w:b/>
          <w:bCs/>
          <w:color w:val="000000"/>
          <w:shd w:fill="auto" w:val="clear"/>
        </w:rPr>
        <w:t>obr. 8.5</w:t>
      </w:r>
      <w:r>
        <w:rPr>
          <w:rFonts w:ascii="Times New Roman" w:hAnsi="Times New Roman"/>
          <w:color w:val="000000"/>
          <w:shd w:fill="auto" w:val="clear"/>
        </w:rPr>
        <w:t xml:space="preserve">. </w:t>
      </w: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>proměnné jsou popsány v příloze I.</w:t>
      </w:r>
      <w:r>
        <w:rPr>
          <w:rFonts w:ascii="Times New Roman" w:hAnsi="Times New Roman"/>
          <w:color w:val="000000"/>
          <w:shd w:fill="auto" w:val="clear"/>
        </w:rPr>
        <w:t xml:space="preserve"> AUC = 0.996, hodnota tresholdu = 0,378, TSS = 0,947, pravděpodobnost chyby typu I = 0,021 a II = 0,0032.</w:t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62865</wp:posOffset>
            </wp:positionH>
            <wp:positionV relativeFrom="paragraph">
              <wp:posOffset>34925</wp:posOffset>
            </wp:positionV>
            <wp:extent cx="5962015" cy="6340475"/>
            <wp:effectExtent l="0" t="0" r="0" b="0"/>
            <wp:wrapSquare wrapText="largest"/>
            <wp:docPr id="4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2580" t="0" r="0" b="267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015" cy="6340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Calibri" w:ascii="Times New Roman" w:hAnsi="Times New Roman"/>
          <w:b/>
          <w:bCs/>
          <w:color w:val="000000"/>
          <w:sz w:val="24"/>
          <w:szCs w:val="24"/>
          <w:shd w:fill="auto" w:val="clear"/>
        </w:rPr>
        <w:t>Obr. 8.5.</w:t>
      </w:r>
      <w:r>
        <w:rPr>
          <w:rFonts w:eastAsia="Calibri" w:ascii="Times New Roman" w:hAnsi="Times New Roman"/>
          <w:color w:val="000000"/>
          <w:sz w:val="24"/>
          <w:szCs w:val="24"/>
          <w:shd w:fill="auto" w:val="clear"/>
        </w:rPr>
        <w:t xml:space="preserve"> a) Parametry modelu potenciálního rozšíření</w:t>
      </w:r>
      <w:r>
        <w:rPr>
          <w:rFonts w:eastAsia="Calibri" w:ascii="Times New Roman" w:hAnsi="Times New Roman"/>
          <w:i w:val="false"/>
          <w:iCs w:val="false"/>
          <w:color w:val="000000"/>
          <w:sz w:val="24"/>
          <w:szCs w:val="24"/>
          <w:shd w:fill="auto" w:val="clear"/>
        </w:rPr>
        <w:t xml:space="preserve"> </w:t>
      </w:r>
      <w:r>
        <w:rPr>
          <w:rFonts w:eastAsia="Calibri" w:cs="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shd w:fill="auto" w:val="clear"/>
        </w:rPr>
        <w:t>modráska černoskvrnného (</w:t>
      </w:r>
      <w:r>
        <w:rPr>
          <w:rFonts w:eastAsia="Calibri" w:cs="" w:ascii="Times New Roman" w:hAnsi="Times New Roman"/>
          <w:b w:val="false"/>
          <w:bCs w:val="false"/>
          <w:i/>
          <w:iCs/>
          <w:color w:val="000000"/>
          <w:sz w:val="24"/>
          <w:szCs w:val="24"/>
          <w:shd w:fill="auto" w:val="clear"/>
        </w:rPr>
        <w:t>Phengaris arion</w:t>
      </w:r>
      <w:r>
        <w:rPr>
          <w:rFonts w:eastAsia="Calibri" w:cs="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shd w:fill="auto" w:val="clear"/>
        </w:rPr>
        <w:t>)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 xml:space="preserve">. </w:t>
      </w:r>
      <w:r>
        <w:rPr>
          <w:rFonts w:eastAsia="Calibri" w:ascii="Times New Roman" w:hAnsi="Times New Roman"/>
          <w:color w:val="000000"/>
          <w:sz w:val="24"/>
          <w:szCs w:val="24"/>
          <w:shd w:fill="auto" w:val="clear"/>
        </w:rPr>
        <w:t>b</w:t>
      </w:r>
      <w:bookmarkStart w:id="9" w:name="__DdeLink__365_32342481151"/>
      <w:r>
        <w:rPr>
          <w:rFonts w:eastAsia="Calibri" w:ascii="Times New Roman" w:hAnsi="Times New Roman"/>
          <w:color w:val="000000"/>
          <w:sz w:val="24"/>
          <w:szCs w:val="24"/>
          <w:shd w:fill="auto" w:val="clear"/>
        </w:rPr>
        <w:t xml:space="preserve">) </w:t>
      </w:r>
      <w:bookmarkStart w:id="10" w:name="__DdeLink__165_21178257211"/>
      <w:r>
        <w:rPr>
          <w:rFonts w:eastAsia="Calibri" w:ascii="Times New Roman" w:hAnsi="Times New Roman"/>
          <w:color w:val="000000"/>
          <w:sz w:val="24"/>
          <w:szCs w:val="24"/>
          <w:shd w:fill="auto" w:val="clear"/>
        </w:rPr>
        <w:t xml:space="preserve">Relativní důležitost vybraných proměnných. </w:t>
      </w:r>
      <w:bookmarkEnd w:id="10"/>
      <w:r>
        <w:rPr>
          <w:rFonts w:eastAsia="Calibri" w:ascii="Times New Roman" w:hAnsi="Times New Roman"/>
          <w:color w:val="000000"/>
          <w:sz w:val="24"/>
          <w:szCs w:val="24"/>
          <w:shd w:fill="auto" w:val="clear"/>
        </w:rPr>
        <w:t xml:space="preserve">c) 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>Vliv jednotlivých proměnných (osy X) na predikci výskytu</w:t>
      </w:r>
      <w:bookmarkEnd w:id="9"/>
      <w:r>
        <w:rPr>
          <w:rFonts w:ascii="Times New Roman" w:hAnsi="Times New Roman"/>
          <w:color w:val="000000"/>
          <w:sz w:val="24"/>
          <w:szCs w:val="24"/>
          <w:shd w:fill="auto" w:val="clear"/>
        </w:rPr>
        <w:t>. Hodnoty pro Bio1–Bio11 jsou v desetinách °C, proměnné Bio12–Bio19 v mm. Modelováno metodou BART na škále 100 x100 m. s přidanými prediktory Div-land.</w:t>
      </w:r>
      <w:r>
        <w:br w:type="page"/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shd w:fill="auto" w:val="clear"/>
        </w:rPr>
        <w:t>I podle posledního modelu se modrásek černoskvrnný může vyskytovat zejména v několika oblastech v České republice: v Moravských Beskydech, v Novohradských horách a v okolí Vyššího brodu a ve slavkovském lese (</w:t>
      </w:r>
      <w:r>
        <w:rPr>
          <w:rFonts w:ascii="Times New Roman" w:hAnsi="Times New Roman"/>
          <w:b/>
          <w:bCs/>
          <w:color w:val="000000"/>
          <w:sz w:val="24"/>
          <w:szCs w:val="24"/>
          <w:shd w:fill="auto" w:val="clear"/>
        </w:rPr>
        <w:t>Obr 8.6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shd w:fill="auto" w:val="clear"/>
        </w:rPr>
        <w:t>)</w:t>
      </w:r>
    </w:p>
    <w:p>
      <w:pPr>
        <w:pStyle w:val="Normal"/>
        <w:rPr>
          <w:rFonts w:ascii="Times New Roman" w:hAnsi="Times New Roman"/>
          <w:color w:val="000000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31750</wp:posOffset>
            </wp:positionH>
            <wp:positionV relativeFrom="paragraph">
              <wp:posOffset>-19050</wp:posOffset>
            </wp:positionV>
            <wp:extent cx="3475355" cy="3077210"/>
            <wp:effectExtent l="0" t="0" r="0" b="0"/>
            <wp:wrapTopAndBottom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0" t="0" r="1627" b="19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5355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Calibri" w:cs="" w:ascii="Times New Roman" w:hAnsi="Times New Roman"/>
          <w:b/>
          <w:bCs/>
          <w:color w:val="000000"/>
          <w:sz w:val="24"/>
          <w:szCs w:val="24"/>
          <w:shd w:fill="auto" w:val="clear"/>
        </w:rPr>
        <w:t xml:space="preserve">Obr 8.6. </w:t>
      </w:r>
      <w:r>
        <w:rPr>
          <w:rFonts w:eastAsia="Calibri" w:cs="" w:ascii="Times New Roman" w:hAnsi="Times New Roman"/>
          <w:b w:val="false"/>
          <w:bCs w:val="false"/>
          <w:color w:val="000000"/>
          <w:sz w:val="24"/>
          <w:szCs w:val="24"/>
          <w:shd w:fill="auto" w:val="clear"/>
        </w:rPr>
        <w:t xml:space="preserve">Potenciální rozšíření </w:t>
      </w:r>
      <w:r>
        <w:rPr>
          <w:rFonts w:eastAsia="Calibri" w:cs="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shd w:fill="auto" w:val="clear"/>
        </w:rPr>
        <w:t>modráska černoskvrnného (</w:t>
      </w:r>
      <w:r>
        <w:rPr>
          <w:rFonts w:eastAsia="Calibri" w:cs="" w:ascii="Times New Roman" w:hAnsi="Times New Roman"/>
          <w:b w:val="false"/>
          <w:bCs w:val="false"/>
          <w:i/>
          <w:iCs/>
          <w:color w:val="000000"/>
          <w:sz w:val="24"/>
          <w:szCs w:val="24"/>
          <w:shd w:fill="auto" w:val="clear"/>
        </w:rPr>
        <w:t>Phengaris arion</w:t>
      </w:r>
      <w:r>
        <w:rPr>
          <w:rFonts w:eastAsia="Calibri" w:cs="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shd w:fill="auto" w:val="clear"/>
        </w:rPr>
        <w:t>)</w:t>
      </w:r>
      <w:r>
        <w:rPr>
          <w:rFonts w:eastAsia="Calibri" w:cs="" w:ascii="Times New Roman" w:hAnsi="Times New Roman"/>
          <w:b w:val="false"/>
          <w:bCs w:val="false"/>
          <w:color w:val="000000"/>
          <w:sz w:val="24"/>
          <w:szCs w:val="24"/>
          <w:shd w:fill="auto" w:val="clear"/>
        </w:rPr>
        <w:t>.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>modelované metodou BART na škále 100x100 m, s přidanými prediktory Div-land.</w:t>
      </w:r>
    </w:p>
    <w:p>
      <w:pPr>
        <w:pStyle w:val="Normal"/>
        <w:rPr/>
      </w:pPr>
      <w:r>
        <w:rPr>
          <w:rFonts w:ascii="Times New Roman" w:hAnsi="Times New Roman"/>
          <w:color w:val="000000"/>
          <w:shd w:fill="auto" w:val="clear"/>
        </w:rPr>
        <w:t xml:space="preserve">Všechny tři modely se do velké míry shodují v oblastech výskytu modráska </w:t>
      </w:r>
      <w:r>
        <w:rPr>
          <w:rFonts w:eastAsia="Noto Serif CJK SC" w:cs="Lohit Devanagari" w:ascii="Times New Roman" w:hAnsi="Times New Roman"/>
          <w:color w:val="000000"/>
          <w:kern w:val="2"/>
          <w:sz w:val="24"/>
          <w:szCs w:val="24"/>
          <w:shd w:fill="auto" w:val="clear"/>
          <w:lang w:val="cs-CZ" w:eastAsia="zh-CN" w:bidi="hi-IN"/>
        </w:rPr>
        <w:t>černoskvrnného. Významné oblasti s vysokou pravděpodobností výskytu zůstávají podobné.</w:t>
      </w:r>
      <w:r>
        <w:rPr>
          <w:rFonts w:ascii="Times New Roman" w:hAnsi="Times New Roman"/>
          <w:color w:val="000000"/>
          <w:shd w:fill="auto" w:val="clear"/>
        </w:rPr>
        <w:t xml:space="preserve"> </w:t>
      </w:r>
      <w:r>
        <w:rPr>
          <w:rFonts w:ascii="Times New Roman" w:hAnsi="Times New Roman"/>
          <w:b/>
          <w:bCs/>
          <w:color w:val="000000"/>
          <w:shd w:fill="auto" w:val="clear"/>
        </w:rPr>
        <w:t>Tabulka 7.1</w:t>
      </w:r>
      <w:r>
        <w:rPr>
          <w:rFonts w:ascii="Times New Roman" w:hAnsi="Times New Roman"/>
          <w:color w:val="000000"/>
          <w:shd w:fill="auto" w:val="clear"/>
        </w:rPr>
        <w:t xml:space="preserve"> shrnuje korelační koeficienty všech modelů, </w:t>
      </w:r>
      <w:r>
        <w:rPr>
          <w:rFonts w:ascii="Times New Roman" w:hAnsi="Times New Roman"/>
          <w:b/>
          <w:bCs/>
          <w:color w:val="000000"/>
          <w:shd w:fill="auto" w:val="clear"/>
        </w:rPr>
        <w:t xml:space="preserve">Obr. 8.7 </w:t>
      </w:r>
      <w:r>
        <w:rPr>
          <w:rFonts w:ascii="Times New Roman" w:hAnsi="Times New Roman"/>
          <w:color w:val="000000"/>
          <w:shd w:fill="auto" w:val="clear"/>
        </w:rPr>
        <w:t>ukazuje mapu s rozdíly pravděpodobností výskytu d</w:t>
      </w:r>
      <w:r>
        <w:rPr>
          <w:rFonts w:ascii="Times New Roman" w:hAnsi="Times New Roman"/>
          <w:color w:val="000000"/>
          <w:u w:val="none"/>
          <w:shd w:fill="auto" w:val="clear"/>
        </w:rPr>
        <w:t>vou nejvíce odlišných modelů.</w:t>
      </w:r>
    </w:p>
    <w:p>
      <w:pPr>
        <w:pStyle w:val="Normal"/>
        <w:bidi w:val="0"/>
        <w:jc w:val="left"/>
        <w:rPr>
          <w:rFonts w:ascii="Times New Roman" w:hAnsi="Times New Roman"/>
          <w:highlight w:val="yellow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u w:val="none"/>
          <w:shd w:fill="auto" w:val="clear"/>
        </w:rPr>
        <w:t xml:space="preserve">Tabulka 8.1.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Korelace modelů potenciálního rozšíření </w:t>
      </w:r>
      <w:r>
        <w:rPr>
          <w:rFonts w:eastAsia="Calibri" w:cs="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u w:val="none"/>
          <w:shd w:fill="auto" w:val="clear"/>
        </w:rPr>
        <w:t>modráska černoskvrnného (</w:t>
      </w:r>
      <w:r>
        <w:rPr>
          <w:rFonts w:eastAsia="Calibri" w:cs="" w:ascii="Times New Roman" w:hAnsi="Times New Roman"/>
          <w:b w:val="false"/>
          <w:bCs w:val="false"/>
          <w:i/>
          <w:iCs/>
          <w:color w:val="000000"/>
          <w:sz w:val="24"/>
          <w:szCs w:val="24"/>
          <w:u w:val="none"/>
          <w:shd w:fill="auto" w:val="clear"/>
        </w:rPr>
        <w:t>Phengaris arion</w:t>
      </w:r>
      <w:r>
        <w:rPr>
          <w:rFonts w:eastAsia="Calibri" w:cs="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u w:val="none"/>
          <w:shd w:fill="auto" w:val="clear"/>
        </w:rPr>
        <w:t>)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shd w:fill="auto" w:val="clear"/>
        </w:rPr>
        <w:t>. Korelační koeficienty vždy dvojice modelů. MaxEnt = model vytvořený metodou MaxEnt na škále 30 zeměpisných sekund,BART = model vytvořený metodou BART na škále 100 x100 m. s přidanými prediktory Div-land.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409"/>
        <w:gridCol w:w="2409"/>
        <w:gridCol w:w="2410"/>
        <w:gridCol w:w="2409"/>
      </w:tblGrid>
      <w:tr>
        <w:trPr/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bidi w:val="0"/>
              <w:spacing w:before="0" w:after="159"/>
              <w:jc w:val="left"/>
              <w:rPr/>
            </w:pPr>
            <w:r>
              <w:rPr/>
              <w:t>Model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bidi w:val="0"/>
              <w:spacing w:before="0" w:after="159"/>
              <w:jc w:val="left"/>
              <w:rPr/>
            </w:pPr>
            <w:r>
              <w:rPr/>
              <w:t>BART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bidi w:val="0"/>
              <w:spacing w:before="0" w:after="159"/>
              <w:jc w:val="left"/>
              <w:rPr/>
            </w:pPr>
            <w:r>
              <w:rPr/>
              <w:t>MaxEnt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bidi w:val="0"/>
              <w:spacing w:before="0" w:after="160"/>
              <w:jc w:val="left"/>
              <w:rPr/>
            </w:pPr>
            <w:r>
              <w:rPr>
                <w:rFonts w:ascii="Times New Roman" w:hAnsi="Times New Roman"/>
                <w:color w:val="000000"/>
              </w:rPr>
              <w:t>BART - DivLand</w:t>
            </w:r>
          </w:p>
        </w:tc>
      </w:tr>
      <w:tr>
        <w:trPr/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bidi w:val="0"/>
              <w:spacing w:before="0" w:after="159"/>
              <w:jc w:val="left"/>
              <w:rPr/>
            </w:pPr>
            <w:r>
              <w:rPr>
                <w:shd w:fill="auto" w:val="clear"/>
              </w:rPr>
              <w:t>BART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before="0" w:after="159"/>
              <w:jc w:val="left"/>
              <w:rPr>
                <w:rFonts w:ascii="Times New Roman" w:hAnsi="Times New Roman"/>
                <w:highlight w:val="yellow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before="0" w:after="159"/>
              <w:jc w:val="left"/>
              <w:rPr>
                <w:rFonts w:ascii="Times New Roman" w:hAnsi="Times New Roman"/>
                <w:highlight w:val="yellow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4"/>
                <w:szCs w:val="24"/>
                <w:shd w:fill="auto" w:val="clear"/>
              </w:rPr>
              <w:t>0,82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before="0" w:after="159"/>
              <w:jc w:val="left"/>
              <w:rPr>
                <w:rFonts w:ascii="Times New Roman" w:hAnsi="Times New Roman"/>
                <w:highlight w:val="yellow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4"/>
                <w:szCs w:val="24"/>
                <w:shd w:fill="auto" w:val="clear"/>
              </w:rPr>
              <w:t>0,60</w:t>
            </w:r>
          </w:p>
        </w:tc>
      </w:tr>
      <w:tr>
        <w:trPr/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bidi w:val="0"/>
              <w:spacing w:before="0" w:after="159"/>
              <w:jc w:val="left"/>
              <w:rPr/>
            </w:pPr>
            <w:r>
              <w:rPr>
                <w:shd w:fill="auto" w:val="clear"/>
              </w:rPr>
              <w:t>MaxEnt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before="0" w:after="159"/>
              <w:jc w:val="left"/>
              <w:rPr>
                <w:rFonts w:ascii="Times New Roman" w:hAnsi="Times New Roman"/>
                <w:highlight w:val="yellow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4"/>
                <w:szCs w:val="24"/>
                <w:shd w:fill="auto" w:val="clear"/>
              </w:rPr>
              <w:t>0,82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before="0" w:after="159"/>
              <w:jc w:val="left"/>
              <w:rPr>
                <w:rFonts w:ascii="Times New Roman" w:hAnsi="Times New Roman"/>
                <w:highlight w:val="yellow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before="0" w:after="159"/>
              <w:jc w:val="left"/>
              <w:rPr>
                <w:rFonts w:ascii="Times New Roman" w:hAnsi="Times New Roman"/>
                <w:highlight w:val="yellow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4"/>
                <w:szCs w:val="24"/>
                <w:shd w:fill="auto" w:val="clear"/>
              </w:rPr>
              <w:t>0,70</w:t>
            </w:r>
          </w:p>
        </w:tc>
      </w:tr>
      <w:tr>
        <w:trPr/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bidi w:val="0"/>
              <w:spacing w:before="0" w:after="160"/>
              <w:jc w:val="left"/>
              <w:rPr/>
            </w:pPr>
            <w:r>
              <w:rPr>
                <w:rFonts w:ascii="Times New Roman" w:hAnsi="Times New Roman"/>
                <w:color w:val="000000"/>
                <w:shd w:fill="auto" w:val="clear"/>
              </w:rPr>
              <w:t>BART - DivLand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before="0" w:after="159"/>
              <w:jc w:val="left"/>
              <w:rPr>
                <w:rFonts w:ascii="Times New Roman" w:hAnsi="Times New Roman"/>
                <w:highlight w:val="yellow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4"/>
                <w:szCs w:val="24"/>
                <w:shd w:fill="auto" w:val="clear"/>
              </w:rPr>
              <w:t>0,60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before="0" w:after="159"/>
              <w:jc w:val="left"/>
              <w:rPr>
                <w:rFonts w:ascii="Times New Roman" w:hAnsi="Times New Roman"/>
                <w:highlight w:val="yellow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4"/>
                <w:szCs w:val="24"/>
                <w:shd w:fill="auto" w:val="clear"/>
              </w:rPr>
              <w:t>0,71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before="0" w:after="159"/>
              <w:jc w:val="left"/>
              <w:rPr>
                <w:rFonts w:ascii="Times New Roman" w:hAnsi="Times New Roman"/>
                <w:highlight w:val="yellow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4"/>
                <w:szCs w:val="24"/>
                <w:shd w:fill="auto" w:val="clear"/>
              </w:rPr>
              <w:t>-</w:t>
            </w:r>
          </w:p>
        </w:tc>
      </w:tr>
    </w:tbl>
    <w:p>
      <w:pPr>
        <w:pStyle w:val="Normal"/>
        <w:rPr/>
      </w:pPr>
      <w:r>
        <w:br w:type="page"/>
      </w:r>
      <w:r>
        <w:rPr>
          <w:rFonts w:ascii="Times New Roman" w:hAnsi="Times New Roman"/>
          <w:b/>
          <w:bCs/>
          <w:color w:val="000000"/>
          <w:shd w:fill="auto" w:val="clear"/>
        </w:rPr>
        <w:t>Obr. 8.7.</w:t>
      </w: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 xml:space="preserve"> Odlišnosti potenciálního </w:t>
      </w:r>
      <w:r>
        <w:rPr>
          <w:rFonts w:eastAsia="Calibri" w:cs="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u w:val="none"/>
          <w:shd w:fill="auto" w:val="clear"/>
        </w:rPr>
        <w:t>modráska černoskvrnného (</w:t>
      </w:r>
      <w:r>
        <w:rPr>
          <w:rFonts w:eastAsia="Calibri" w:cs="" w:ascii="Times New Roman" w:hAnsi="Times New Roman"/>
          <w:b w:val="false"/>
          <w:bCs w:val="false"/>
          <w:i/>
          <w:iCs/>
          <w:color w:val="000000"/>
          <w:sz w:val="24"/>
          <w:szCs w:val="24"/>
          <w:u w:val="none"/>
          <w:shd w:fill="auto" w:val="clear"/>
        </w:rPr>
        <w:t>Phengaris arion</w:t>
      </w:r>
      <w:r>
        <w:rPr>
          <w:rFonts w:eastAsia="Calibri" w:cs="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u w:val="none"/>
          <w:shd w:fill="auto" w:val="clear"/>
        </w:rPr>
        <w:t>),</w:t>
      </w: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 xml:space="preserve"> modelované metodou BART a MaxEnt na škále 30 zeměpisných sekund. Modrá = vyšší pravděpodobnost výskytu podle modelu vytvořeného metodou </w:t>
      </w:r>
      <w:r>
        <w:rPr>
          <w:rFonts w:ascii="Times New Roman" w:hAnsi="Times New Roman"/>
          <w:b w:val="false"/>
          <w:bCs w:val="false"/>
          <w:color w:val="000000"/>
          <w:shd w:fill="FFFF00" w:val="clear"/>
        </w:rPr>
        <w:t>BART</w:t>
      </w: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 xml:space="preserve">, Červená = vyšší pravděpodobnost výskytu podle modelu vytvořeného metodou </w:t>
      </w:r>
      <w:r>
        <w:rPr>
          <w:rFonts w:ascii="Times New Roman" w:hAnsi="Times New Roman"/>
          <w:b w:val="false"/>
          <w:bCs w:val="false"/>
          <w:color w:val="000000"/>
          <w:shd w:fill="FFFF00" w:val="clear"/>
        </w:rPr>
        <w:t>BART s přidanými prediktory DivLand. - tohle aktualizovat, a udělat znovu v R - správně.</w:t>
      </w:r>
    </w:p>
    <w:p>
      <w:pPr>
        <w:pStyle w:val="Normal"/>
        <w:widowControl w:val="false"/>
        <w:rPr/>
      </w:pPr>
      <w:r>
        <w:rPr>
          <w:rFonts w:ascii="Times New Roman" w:hAnsi="Times New Roman"/>
          <w:color w:val="000000"/>
        </w:rPr>
        <w:t xml:space="preserve">Potenciálně vhodné lokality pro modráska </w:t>
      </w:r>
      <w:r>
        <w:rPr>
          <w:rFonts w:eastAsia="Noto Serif CJK SC" w:cs="Lohit Devanagari" w:ascii="Times New Roman" w:hAnsi="Times New Roman"/>
          <w:color w:val="000000"/>
          <w:kern w:val="2"/>
          <w:sz w:val="24"/>
          <w:szCs w:val="24"/>
          <w:lang w:val="cs-CZ" w:eastAsia="zh-CN" w:bidi="hi-IN"/>
        </w:rPr>
        <w:t>očkovaného</w:t>
      </w:r>
      <w:r>
        <w:rPr>
          <w:rFonts w:eastAsia="Calibri" w:ascii="Times New Roman" w:hAnsi="Times New Roman"/>
          <w:b w:val="false"/>
          <w:bCs w:val="false"/>
          <w:i w:val="false"/>
          <w:iCs w:val="false"/>
          <w:color w:val="000000"/>
          <w:shd w:fill="auto" w:val="clear"/>
        </w:rPr>
        <w:t xml:space="preserve"> na </w:t>
      </w:r>
      <w:r>
        <w:rPr>
          <w:rFonts w:ascii="Times New Roman" w:hAnsi="Times New Roman"/>
          <w:color w:val="000000"/>
        </w:rPr>
        <w:t xml:space="preserve">95% nejčastějších kategorií v KVES, s nejvíce záznamy shrnuje </w:t>
      </w:r>
      <w:r>
        <w:rPr>
          <w:rFonts w:ascii="Times New Roman" w:hAnsi="Times New Roman"/>
          <w:b/>
          <w:bCs/>
          <w:color w:val="000000"/>
        </w:rPr>
        <w:t>Tabulka 8.2</w:t>
      </w:r>
      <w:r>
        <w:rPr>
          <w:rFonts w:ascii="Times New Roman" w:hAnsi="Times New Roman"/>
          <w:color w:val="000000"/>
        </w:rPr>
        <w:t xml:space="preserve">. Ukázka potenciálně vhodných lokalit včetně pravděpodobnosti výskytu podle modelu BART - DivLand </w:t>
      </w:r>
      <w:r>
        <w:rPr>
          <w:rFonts w:ascii="Times New Roman" w:hAnsi="Times New Roman"/>
          <w:b/>
          <w:bCs/>
          <w:color w:val="000000"/>
        </w:rPr>
        <w:t>Obr. 8.8.</w:t>
      </w:r>
    </w:p>
    <w:p>
      <w:pPr>
        <w:pStyle w:val="Normal"/>
        <w:widowControl w:val="false"/>
        <w:rPr>
          <w:highlight w:val="yellow"/>
        </w:rPr>
      </w:pPr>
      <w:r>
        <w:rPr>
          <w:rFonts w:ascii="Times New Roman" w:hAnsi="Times New Roman"/>
          <w:b/>
          <w:bCs/>
          <w:color w:val="000000"/>
          <w:shd w:fill="FFFF00" w:val="clear"/>
        </w:rPr>
        <w:t xml:space="preserve">- </w:t>
      </w:r>
      <w:r>
        <w:rPr>
          <w:rFonts w:ascii="Times New Roman" w:hAnsi="Times New Roman"/>
          <w:b w:val="false"/>
          <w:bCs w:val="false"/>
          <w:color w:val="000000"/>
          <w:shd w:fill="FFFF00" w:val="clear"/>
        </w:rPr>
        <w:t>vytáhnout z R :/</w:t>
      </w:r>
    </w:p>
    <w:p>
      <w:pPr>
        <w:pStyle w:val="Normal"/>
        <w:widowControl w:val="false"/>
        <w:bidi w:val="0"/>
        <w:jc w:val="left"/>
        <w:rPr>
          <w:highlight w:val="yellow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shd w:fill="auto" w:val="clear"/>
        </w:rPr>
        <w:t>Tabulka 8.2.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shd w:fill="auto" w:val="clear"/>
        </w:rPr>
        <w:t xml:space="preserve"> </w:t>
      </w:r>
      <w:r>
        <w:rPr>
          <w:rFonts w:eastAsia="Calibri" w:ascii="Times New Roman" w:hAnsi="Times New Roman"/>
          <w:b w:val="false"/>
          <w:bCs w:val="false"/>
          <w:color w:val="000000"/>
          <w:sz w:val="24"/>
          <w:szCs w:val="24"/>
          <w:shd w:fill="auto" w:val="clear"/>
        </w:rPr>
        <w:t xml:space="preserve">Počet záznamů </w:t>
      </w:r>
      <w:r>
        <w:rPr>
          <w:rFonts w:eastAsia="Calibri" w:cs="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u w:val="none"/>
          <w:shd w:fill="auto" w:val="clear"/>
        </w:rPr>
        <w:t>modráska černoskvrnného (</w:t>
      </w:r>
      <w:r>
        <w:rPr>
          <w:rFonts w:eastAsia="Calibri" w:cs="" w:ascii="Times New Roman" w:hAnsi="Times New Roman"/>
          <w:b w:val="false"/>
          <w:bCs w:val="false"/>
          <w:i/>
          <w:iCs/>
          <w:color w:val="000000"/>
          <w:sz w:val="24"/>
          <w:szCs w:val="24"/>
          <w:u w:val="none"/>
          <w:shd w:fill="auto" w:val="clear"/>
        </w:rPr>
        <w:t>Phengaris arion</w:t>
      </w:r>
      <w:r>
        <w:rPr>
          <w:rFonts w:eastAsia="Calibri" w:cs="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u w:val="none"/>
          <w:shd w:fill="auto" w:val="clear"/>
        </w:rPr>
        <w:t xml:space="preserve">) </w:t>
      </w:r>
      <w:r>
        <w:rPr>
          <w:rFonts w:eastAsia="Calibri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shd w:fill="auto" w:val="clear"/>
        </w:rPr>
        <w:t>použitých pro model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shd w:fill="auto" w:val="clear"/>
        </w:rPr>
        <w:t xml:space="preserve"> </w:t>
      </w:r>
      <w:r>
        <w:rPr>
          <w:rFonts w:eastAsia="Calibri" w:ascii="Times New Roman" w:hAnsi="Times New Roman"/>
          <w:b w:val="false"/>
          <w:bCs w:val="false"/>
          <w:color w:val="000000"/>
          <w:sz w:val="24"/>
          <w:szCs w:val="24"/>
          <w:shd w:fill="auto" w:val="clear"/>
        </w:rPr>
        <w:t>podle kategorií KVES. Tučně: proměnné použité pro výběr konkrétních lokalit.</w:t>
      </w:r>
    </w:p>
    <w:p>
      <w:pPr>
        <w:pStyle w:val="Normal"/>
        <w:widowControl w:val="false"/>
        <w:bidi w:val="0"/>
        <w:jc w:val="left"/>
        <w:rPr>
          <w:highlight w:val="yellow"/>
        </w:rPr>
      </w:pPr>
      <w:r>
        <w:rPr>
          <w:rFonts w:eastAsia="Calibri" w:ascii="Times New Roman" w:hAnsi="Times New Roman"/>
          <w:b w:val="false"/>
          <w:bCs w:val="false"/>
          <w:color w:val="000000"/>
          <w:sz w:val="24"/>
          <w:szCs w:val="24"/>
          <w:shd w:fill="auto" w:val="clear"/>
        </w:rPr>
        <w:t>XX</w:t>
      </w:r>
    </w:p>
    <w:p>
      <w:pPr>
        <w:pStyle w:val="Obsahtabulky"/>
        <w:widowControl w:val="false"/>
        <w:suppressLineNumbers/>
        <w:bidi w:val="0"/>
        <w:spacing w:before="0" w:after="159"/>
        <w:jc w:val="left"/>
        <w:rPr>
          <w:highlight w:val="yellow"/>
        </w:rPr>
      </w:pPr>
      <w:r>
        <w:rPr>
          <w:rFonts w:eastAsia="Calibri" w:ascii="Times New Roman" w:hAnsi="Times New Roman"/>
          <w:b/>
          <w:bCs/>
          <w:color w:val="000000"/>
          <w:sz w:val="24"/>
          <w:szCs w:val="24"/>
          <w:shd w:fill="auto" w:val="clear"/>
        </w:rPr>
        <w:t>Obr. 8.8.</w:t>
      </w:r>
      <w:r>
        <w:rPr>
          <w:rFonts w:eastAsia="Calibri" w:cs="" w:ascii="Times New Roman" w:hAnsi="Times New Roman" w:cstheme="minorHAnsi"/>
          <w:b w:val="false"/>
          <w:bCs w:val="false"/>
          <w:color w:val="000000"/>
          <w:sz w:val="24"/>
          <w:szCs w:val="24"/>
          <w:shd w:fill="auto" w:val="clear"/>
        </w:rPr>
        <w:t xml:space="preserve"> Ukázka potenciálně vhodných lokalit pro výskyt </w:t>
      </w:r>
      <w:r>
        <w:rPr>
          <w:rFonts w:eastAsia="Calibri" w:cs="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u w:val="none"/>
          <w:shd w:fill="auto" w:val="clear"/>
        </w:rPr>
        <w:t>modráska černoskvrnného (</w:t>
      </w:r>
      <w:r>
        <w:rPr>
          <w:rFonts w:eastAsia="Calibri" w:cs="" w:ascii="Times New Roman" w:hAnsi="Times New Roman"/>
          <w:b w:val="false"/>
          <w:bCs w:val="false"/>
          <w:i/>
          <w:iCs/>
          <w:color w:val="000000"/>
          <w:sz w:val="24"/>
          <w:szCs w:val="24"/>
          <w:u w:val="none"/>
          <w:shd w:fill="auto" w:val="clear"/>
        </w:rPr>
        <w:t>Phengaris arion</w:t>
      </w:r>
      <w:r>
        <w:rPr>
          <w:rFonts w:eastAsia="Calibri" w:cs="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u w:val="none"/>
          <w:shd w:fill="auto" w:val="clear"/>
        </w:rPr>
        <w:t>)</w:t>
      </w:r>
      <w:r>
        <w:rPr>
          <w:rFonts w:eastAsia="Calibri" w:ascii="Times New Roman" w:hAnsi="Times New Roman"/>
          <w:b w:val="false"/>
          <w:bCs w:val="false"/>
          <w:color w:val="000000"/>
          <w:sz w:val="24"/>
          <w:szCs w:val="24"/>
          <w:shd w:fill="auto" w:val="clear"/>
        </w:rPr>
        <w:t xml:space="preserve"> v závislosti na výskytu druhu (nahoře) a v místě nálezů po roce 2025 (které nevstoupily do modelu). Modelováno metodou BART na škále 100x100 m.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5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cs-CZ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159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cs-CZ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Obsahtabulky">
    <w:name w:val="Obsah tabulky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285</TotalTime>
  <Application>LibreOffice/7.3.7.2$Linux_X86_64 LibreOffice_project/30$Build-2</Application>
  <AppVersion>15.0000</AppVersion>
  <Pages>4</Pages>
  <Words>762</Words>
  <Characters>4599</Characters>
  <CharactersWithSpaces>5320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2026-05-20T16:29:29Z</dcterms:created>
  <dc:creator/>
  <dc:description/>
  <dc:language>cs-CZ</dc:language>
  <cp:lastModifiedBy/>
  <dcterms:modified xsi:type="dcterms:W3CDTF">2026-10-20T10:02:45Z</dcterms:modified>
  <cp:revision>53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