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Phengaris nausithous</w:t>
      </w:r>
    </w:p>
    <w:p>
      <w:pPr>
        <w:pStyle w:val="Normal"/>
        <w:rPr/>
      </w:pPr>
      <w:r>
        <w:rPr>
          <w:rFonts w:ascii="Times New Roman" w:hAnsi="Times New Roman"/>
          <w:color w:val="000000"/>
        </w:rPr>
        <w:t>Pro tvorbu modelů potenciálního rozšíření tohoto druhu bylo sebráno 8563 distribučních bodů.</w:t>
      </w:r>
    </w:p>
    <w:p>
      <w:pPr>
        <w:pStyle w:val="Normal"/>
        <w:rPr/>
      </w:pPr>
      <w:r>
        <w:rPr>
          <w:rFonts w:ascii="Times New Roman" w:hAnsi="Times New Roman"/>
          <w:color w:val="000000"/>
        </w:rPr>
        <w:t>P</w:t>
      </w:r>
      <w:r>
        <w:rPr>
          <w:rFonts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ři modelování pomocí MaxEnt na škále 30 zeměpisných sekund bylo použito 3754 distribučních bodů (v průměru 3378,6 trénovacích a 375,4 testovacích). Byly použity funkce LQHPT a škálovací konstanta = 0,5 (AUC = 0,785, AICc = 87504,7, N coef. = 144). </w:t>
      </w:r>
      <w:r>
        <w:rPr>
          <w:rFonts w:eastAsia="Noto Serif CJK SC" w:cs="Lohit Devanagari" w:ascii="Times New Roman" w:hAnsi="Times New Roman"/>
          <w:i w:val="false"/>
          <w:iCs w:val="false"/>
          <w:color w:val="000000"/>
          <w:kern w:val="2"/>
          <w:sz w:val="24"/>
          <w:szCs w:val="24"/>
          <w:shd w:fill="auto" w:val="clear"/>
          <w:lang w:val="cs-CZ" w:eastAsia="zh-CN" w:bidi="hi-IN"/>
        </w:rPr>
        <w:t>M</w:t>
      </w:r>
      <w:bookmarkStart w:id="0" w:name="__DdeLink__2042_2360606741"/>
      <w:bookmarkStart w:id="1" w:name="__DdeLink__4780_2550739147"/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>odel s vybranými nejlepšími prediktory vysvětluje poměrně velkou variabil</w:t>
      </w:r>
      <w:bookmarkEnd w:id="0"/>
      <w:bookmarkEnd w:id="1"/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 xml:space="preserve">itu: </w:t>
      </w:r>
      <w:r>
        <w:rPr>
          <w:rFonts w:eastAsia="Calibri" w:cs="" w:ascii="Times New Roman" w:hAnsi="Times New Roman" w:cstheme="minorHAnsi"/>
          <w:i w:val="false"/>
          <w:iCs w:val="false"/>
          <w:sz w:val="24"/>
          <w:szCs w:val="24"/>
          <w:shd w:fill="auto" w:val="clear"/>
        </w:rPr>
        <w:t>AUC = 0,808 (</w:t>
      </w:r>
      <w:bookmarkStart w:id="2" w:name="__DdeLink__5223_2455282408111"/>
      <w:r>
        <w:rPr>
          <w:rFonts w:eastAsia="Calibri" w:cs="" w:ascii="Times New Roman" w:hAnsi="Times New Roman" w:cstheme="minorHAnsi"/>
          <w:i w:val="false"/>
          <w:iCs w:val="false"/>
          <w:sz w:val="24"/>
          <w:szCs w:val="24"/>
          <w:shd w:fill="auto" w:val="clear"/>
        </w:rPr>
        <w:t>±0</w:t>
      </w:r>
      <w:bookmarkEnd w:id="2"/>
      <w:r>
        <w:rPr>
          <w:rFonts w:eastAsia="Calibri" w:cs="" w:ascii="Times New Roman" w:hAnsi="Times New Roman" w:cstheme="minorHAnsi"/>
          <w:i w:val="false"/>
          <w:iCs w:val="false"/>
          <w:sz w:val="24"/>
          <w:szCs w:val="24"/>
          <w:shd w:fill="auto" w:val="clear"/>
        </w:rPr>
        <w:t xml:space="preserve">,008). Hodnota tresholdu je 0,359. </w:t>
      </w:r>
      <w:r>
        <w:rPr>
          <w:rFonts w:eastAsia="Calibri" w:cs=""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 xml:space="preserve">Detailněji </w:t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-55880</wp:posOffset>
            </wp:positionH>
            <wp:positionV relativeFrom="paragraph">
              <wp:posOffset>958215</wp:posOffset>
            </wp:positionV>
            <wp:extent cx="6120130" cy="291274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" w:ascii="Times New Roman" w:hAnsi="Times New Roman"/>
          <w:b/>
          <w:bCs/>
          <w:i w:val="false"/>
          <w:iCs w:val="false"/>
          <w:color w:val="000000"/>
          <w:sz w:val="24"/>
          <w:szCs w:val="24"/>
          <w:shd w:fill="auto" w:val="clear"/>
        </w:rPr>
        <w:t>Obr. 6.1.</w:t>
      </w:r>
    </w:p>
    <w:p>
      <w:pPr>
        <w:pStyle w:val="Normal"/>
        <w:rPr/>
      </w:pP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 xml:space="preserve">Obr. 6.1. </w:t>
      </w:r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Parametry</w:t>
      </w:r>
      <w:r>
        <w:rPr>
          <w:rFonts w:eastAsia="Calibri" w:cs="" w:ascii="Times New Roman" w:hAnsi="Times New Roman"/>
          <w:color w:val="000000"/>
          <w:shd w:fill="auto" w:val="clear"/>
        </w:rPr>
        <w:t xml:space="preserve"> modelu vhodných podmínek pro výskyt modráska bahenního (</w:t>
      </w:r>
      <w:r>
        <w:rPr>
          <w:rFonts w:eastAsia="Calibri" w:cs="" w:ascii="Times New Roman" w:hAnsi="Times New Roman"/>
          <w:i/>
          <w:iCs/>
          <w:color w:val="000000"/>
          <w:sz w:val="24"/>
          <w:szCs w:val="24"/>
          <w:shd w:fill="auto" w:val="clear"/>
        </w:rPr>
        <w:t>Phengaris nausithous</w:t>
      </w:r>
      <w:r>
        <w:rPr>
          <w:rFonts w:eastAsia="Calibri" w:cs="" w:ascii="Times New Roman" w:hAnsi="Times New Roman"/>
          <w:color w:val="000000"/>
          <w:shd w:fill="auto" w:val="clear"/>
        </w:rPr>
        <w:t xml:space="preserve">). a) </w:t>
      </w:r>
      <w:r>
        <w:rPr>
          <w:rFonts w:eastAsia="Noto Serif CJK SC" w:cs="Lohit Devanagari" w:ascii="Times New Roman" w:hAnsi="Times New Roman"/>
          <w:color w:val="000000"/>
          <w:kern w:val="2"/>
          <w:sz w:val="24"/>
          <w:szCs w:val="24"/>
          <w:shd w:fill="auto" w:val="clear"/>
          <w:lang w:val="cs-CZ" w:eastAsia="zh-CN" w:bidi="hi-IN"/>
        </w:rPr>
        <w:t>Rozdíl mezi trénovacím a testovacím modelem.</w:t>
      </w:r>
      <w:r>
        <w:rPr>
          <w:rFonts w:eastAsia="Calibri" w:cs="" w:ascii="Times New Roman" w:hAnsi="Times New Roman"/>
          <w:color w:val="000000"/>
          <w:shd w:fill="auto" w:val="clear"/>
        </w:rPr>
        <w:t xml:space="preserve"> b) Citlivost modelu. Modelováno metodou MaxEnt na škále 30 zeměpisných sekund).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Podle algoritmu MaxEnt byly vybrány tyto prediktory jako nejlepší proměnné: b</w:t>
      </w:r>
      <w:r>
        <w:rPr/>
        <w:t xml:space="preserve">učiny, severnost, členitost terénu, mezofilní louky, orná půda, T1.4 (Aluviální psárkové louky), X2 (Intenzivně obhospodařovaná pole), X5 (Intenzivně obhospodařované louky), řada bioklimatických proměnných, pětileté záplavy a živná rostlina. Vliv a význam </w:t>
      </w:r>
      <w:r>
        <w:rPr>
          <w:rFonts w:eastAsia="Calibri" w:cs="" w:ascii="Times New Roman" w:hAnsi="Times New Roman"/>
          <w:color w:val="000000"/>
          <w:shd w:fill="auto" w:val="clear"/>
        </w:rPr>
        <w:t xml:space="preserve">jednotlivých proměnných shrnuje 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>Obr. 6.2</w:t>
      </w:r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.</w:t>
      </w:r>
      <w:r>
        <w:rPr>
          <w:rFonts w:eastAsia="Calibri" w:cs="" w:ascii="Times New Roman" w:hAnsi="Times New Roman"/>
          <w:color w:val="000000"/>
          <w:shd w:fill="auto" w:val="clear"/>
        </w:rPr>
        <w:t xml:space="preserve"> </w:t>
      </w:r>
      <w:r>
        <w:rPr>
          <w:rFonts w:eastAsia="Calibri" w:cs="" w:ascii="Times New Roman" w:hAnsi="Times New Roman" w:cstheme="minorHAnsi"/>
          <w:b w:val="false"/>
          <w:bCs w:val="false"/>
          <w:color w:val="000000"/>
          <w:shd w:fill="auto" w:val="clear"/>
        </w:rPr>
        <w:t>Detaily proměnných viz příloha 1.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3670" cy="2425700"/>
            <wp:effectExtent l="0" t="0" r="0" b="0"/>
            <wp:wrapTopAndBottom/>
            <wp:docPr id="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67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-42545</wp:posOffset>
            </wp:positionH>
            <wp:positionV relativeFrom="paragraph">
              <wp:posOffset>-6350</wp:posOffset>
            </wp:positionV>
            <wp:extent cx="5760720" cy="3945255"/>
            <wp:effectExtent l="0" t="0" r="0" b="0"/>
            <wp:wrapTopAndBottom/>
            <wp:docPr id="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44450</wp:posOffset>
            </wp:positionH>
            <wp:positionV relativeFrom="paragraph">
              <wp:posOffset>-6350</wp:posOffset>
            </wp:positionV>
            <wp:extent cx="6119495" cy="847153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2124" r="1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47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Obr. 6.2. </w:t>
      </w:r>
      <w:r>
        <w:rPr>
          <w:b w:val="false"/>
          <w:bCs w:val="false"/>
          <w:color w:val="000000"/>
        </w:rPr>
        <w:t xml:space="preserve">a) </w:t>
      </w:r>
      <w:r>
        <w:rPr>
          <w:color w:val="000000"/>
        </w:rPr>
        <w:t xml:space="preserve">Složky modelu vhodných podmínek pro výskyt </w:t>
      </w:r>
      <w:r>
        <w:rPr>
          <w:rFonts w:eastAsia="Calibri" w:cs=""/>
          <w:color w:val="000000"/>
          <w:shd w:fill="auto" w:val="clear"/>
        </w:rPr>
        <w:t>modráska bahenního (</w:t>
      </w:r>
      <w:r>
        <w:rPr>
          <w:rFonts w:eastAsia="Calibri" w:cs=""/>
          <w:i/>
          <w:iCs/>
          <w:color w:val="000000"/>
          <w:sz w:val="24"/>
          <w:szCs w:val="24"/>
          <w:shd w:fill="auto" w:val="clear"/>
        </w:rPr>
        <w:t>Phengaris nausithous</w:t>
      </w:r>
      <w:r>
        <w:rPr>
          <w:rFonts w:eastAsia="Calibri" w:cs=""/>
          <w:color w:val="000000"/>
          <w:shd w:fill="auto" w:val="clear"/>
        </w:rPr>
        <w:t>)</w:t>
      </w:r>
      <w:r>
        <w:rPr>
          <w:color w:val="000000"/>
        </w:rPr>
        <w:t>.</w:t>
      </w:r>
      <w:bookmarkStart w:id="3" w:name="__DdeLink__365_323424811511"/>
      <w:bookmarkStart w:id="4" w:name="__DdeLink__165_211782572111"/>
      <w:r>
        <w:rPr>
          <w:rFonts w:eastAsia="Calibri"/>
          <w:color w:val="000000"/>
          <w:sz w:val="24"/>
          <w:szCs w:val="24"/>
        </w:rPr>
        <w:t xml:space="preserve"> </w:t>
      </w:r>
      <w:bookmarkEnd w:id="4"/>
      <w:r>
        <w:rPr>
          <w:rFonts w:eastAsia="Calibri"/>
          <w:color w:val="000000"/>
          <w:sz w:val="24"/>
          <w:szCs w:val="24"/>
        </w:rPr>
        <w:t>b)</w:t>
      </w:r>
      <w:bookmarkEnd w:id="3"/>
      <w:r>
        <w:rPr>
          <w:rFonts w:eastAsia="Calibri"/>
          <w:color w:val="000000"/>
          <w:sz w:val="24"/>
          <w:szCs w:val="24"/>
        </w:rPr>
        <w:t xml:space="preserve"> V</w:t>
      </w:r>
      <w:r>
        <w:rPr>
          <w:color w:val="000000"/>
        </w:rPr>
        <w:t>liv jednotlivých proměnných (osy X) na predikci výskytu. Hodnoty pro Bio1–Bio11 jsou v desetinách °C, proměnné Bio12–Bio19 v mm. Modelováno metodou MaxEnt na škále 30 zeměpisných stupňů).</w:t>
      </w:r>
    </w:p>
    <w:p>
      <w:pPr>
        <w:pStyle w:val="Normal"/>
        <w:rPr/>
      </w:pPr>
      <w:r>
        <w:rPr>
          <w:rFonts w:ascii="Times New Roman" w:hAnsi="Times New Roman"/>
        </w:rPr>
        <w:t>Metoda BART vybrala 35 nejlepších prediktorů pro potenciální rozšíření s různým průběhem. Model a jeho j</w:t>
      </w:r>
      <w:r>
        <w:rPr>
          <w:rFonts w:ascii="Times New Roman" w:hAnsi="Times New Roman"/>
          <w:color w:val="000000"/>
        </w:rPr>
        <w:t xml:space="preserve">ednotlivé proměnné shrnuje </w:t>
      </w:r>
      <w:r>
        <w:rPr>
          <w:rFonts w:ascii="Times New Roman" w:hAnsi="Times New Roman"/>
          <w:b/>
          <w:bCs/>
          <w:color w:val="000000"/>
        </w:rPr>
        <w:t>Obr. 6.3</w:t>
      </w:r>
      <w:r>
        <w:rPr>
          <w:rFonts w:ascii="Times New Roman" w:hAnsi="Times New Roman"/>
          <w:b w:val="false"/>
          <w:bCs w:val="false"/>
          <w:color w:val="000000"/>
        </w:rPr>
        <w:t>.</w:t>
      </w:r>
      <w:r>
        <w:rPr>
          <w:rFonts w:eastAsia="Calibri" w:cs="" w:ascii="Times New Roman" w:hAnsi="Times New Roman" w:cstheme="minorHAnsi"/>
          <w:b w:val="false"/>
          <w:bCs w:val="false"/>
          <w:color w:val="000000"/>
          <w:shd w:fill="auto" w:val="clear"/>
        </w:rPr>
        <w:t>, proměnné jsou popsány v příloze I.</w:t>
      </w:r>
      <w:r>
        <w:rPr>
          <w:rFonts w:ascii="Times New Roman" w:hAnsi="Times New Roman"/>
        </w:rPr>
        <w:t xml:space="preserve"> AUC = 0,898. Hodnota tresholdu tohoto modelu je 0,617, TSS = 0,637, pravděpodobnost chyby typu jedna je 0,184 a II 0,179.</w:t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-25400</wp:posOffset>
            </wp:positionH>
            <wp:positionV relativeFrom="paragraph">
              <wp:posOffset>-43815</wp:posOffset>
            </wp:positionV>
            <wp:extent cx="6168390" cy="637476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1299" r="924" b="2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Obr. 6.3. </w:t>
      </w:r>
      <w:bookmarkStart w:id="5" w:name="__DdeLink__362_3234248115"/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 xml:space="preserve">a) 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 xml:space="preserve"> </w:t>
      </w:r>
      <w:bookmarkStart w:id="6" w:name="__DdeLink__362_32342481151"/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a) Parametry modelu potenciálního rozšíření</w:t>
      </w:r>
      <w:bookmarkEnd w:id="6"/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 xml:space="preserve"> </w:t>
      </w:r>
      <w:bookmarkEnd w:id="5"/>
      <w:r>
        <w:rPr>
          <w:rFonts w:eastAsia="Calibri" w:cs=""/>
          <w:b w:val="false"/>
          <w:bCs w:val="false"/>
          <w:color w:val="000000"/>
          <w:sz w:val="24"/>
          <w:szCs w:val="24"/>
          <w:shd w:fill="auto" w:val="clear"/>
        </w:rPr>
        <w:t>modráska bahenního (</w:t>
      </w:r>
      <w:r>
        <w:rPr>
          <w:rFonts w:eastAsia="Calibri" w:cs=""/>
          <w:b w:val="false"/>
          <w:bCs w:val="false"/>
          <w:i/>
          <w:iCs/>
          <w:color w:val="000000"/>
          <w:sz w:val="24"/>
          <w:szCs w:val="24"/>
          <w:shd w:fill="auto" w:val="clear"/>
        </w:rPr>
        <w:t>Phengaris nausithous</w:t>
      </w:r>
      <w:r>
        <w:rPr>
          <w:rFonts w:eastAsia="Calibri" w:cs=""/>
          <w:b w:val="false"/>
          <w:bCs w:val="false"/>
          <w:color w:val="000000"/>
          <w:sz w:val="24"/>
          <w:szCs w:val="24"/>
          <w:shd w:fill="auto" w:val="clear"/>
        </w:rPr>
        <w:t>)</w:t>
      </w:r>
      <w:r>
        <w:rPr>
          <w:rFonts w:eastAsia="Calibri" w:cs=""/>
          <w:b w:val="false"/>
          <w:bCs w:val="false"/>
          <w:color w:val="000000"/>
          <w:shd w:fill="auto" w:val="clear"/>
        </w:rPr>
        <w:t xml:space="preserve">. </w:t>
      </w:r>
      <w:bookmarkStart w:id="7" w:name="__DdeLink__369_3234248115"/>
      <w:r>
        <w:rPr>
          <w:rFonts w:eastAsia="Calibri" w:cs=""/>
          <w:b w:val="false"/>
          <w:bCs w:val="false"/>
          <w:color w:val="000000"/>
          <w:shd w:fill="auto" w:val="clear"/>
        </w:rPr>
        <w:t>b</w:t>
      </w:r>
      <w:bookmarkStart w:id="8" w:name="__DdeLink__365_3234248115"/>
      <w:r>
        <w:rPr>
          <w:rFonts w:eastAsia="Calibri" w:cs=""/>
          <w:b w:val="false"/>
          <w:bCs w:val="false"/>
          <w:color w:val="000000"/>
          <w:shd w:fill="auto" w:val="clear"/>
        </w:rPr>
        <w:t xml:space="preserve">) </w:t>
      </w:r>
      <w:bookmarkStart w:id="9" w:name="__DdeLink__165_2117825721"/>
      <w:r>
        <w:rPr>
          <w:rFonts w:eastAsia="Calibri" w:cs=""/>
          <w:b w:val="false"/>
          <w:bCs w:val="false"/>
          <w:color w:val="000000"/>
          <w:shd w:fill="auto" w:val="clear"/>
        </w:rPr>
        <w:t xml:space="preserve">Relativní důležitost vybraných proměnných. </w:t>
      </w:r>
      <w:bookmarkEnd w:id="9"/>
      <w:r>
        <w:rPr>
          <w:rFonts w:eastAsia="Calibri" w:cs=""/>
          <w:b w:val="false"/>
          <w:bCs w:val="false"/>
          <w:color w:val="000000"/>
          <w:shd w:fill="auto" w:val="clear"/>
        </w:rPr>
        <w:t>c) Vliv jednotlivých proměnných (osy X) na predikci výskytu</w:t>
      </w:r>
      <w:bookmarkEnd w:id="7"/>
      <w:bookmarkEnd w:id="8"/>
      <w:r>
        <w:rPr>
          <w:rFonts w:eastAsia="Calibri" w:cs=""/>
          <w:b w:val="false"/>
          <w:bCs w:val="false"/>
          <w:color w:val="000000"/>
          <w:shd w:fill="auto" w:val="clear"/>
        </w:rPr>
        <w:t>. Hodnoty pro Bio1–Bio11 jsou v desetinách °C, proměnné Bio12–Bio19 v mm. Modelováno metodou BART na škále 30 zeměpisných sekund.</w:t>
      </w:r>
    </w:p>
    <w:p>
      <w:pPr>
        <w:pStyle w:val="Normal"/>
        <w:rPr/>
      </w:pPr>
      <w:r>
        <w:rPr>
          <w:rFonts w:eastAsia="Calibri" w:cs="" w:ascii="Times New Roman" w:hAnsi="Times New Roman"/>
          <w:color w:val="000000"/>
          <w:shd w:fill="auto" w:val="clear"/>
        </w:rPr>
        <w:t xml:space="preserve">Oba algoritmy dospěly k téměř shodným predikcím výskytu </w:t>
      </w:r>
      <w:bookmarkStart w:id="10" w:name="__DdeLink__4739_255073914711"/>
      <w:r>
        <w:rPr>
          <w:rFonts w:eastAsia="Calibri" w:cs="" w:ascii="Times New Roman" w:hAnsi="Times New Roman"/>
          <w:color w:val="000000"/>
          <w:shd w:fill="auto" w:val="clear"/>
        </w:rPr>
        <w:t>(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>Obr. 6.4</w:t>
      </w:r>
      <w:r>
        <w:rPr>
          <w:rFonts w:eastAsia="Calibri" w:cs="" w:ascii="Times New Roman" w:hAnsi="Times New Roman"/>
          <w:b w:val="false"/>
          <w:bCs w:val="false"/>
          <w:color w:val="000000"/>
          <w:shd w:fill="auto" w:val="clear"/>
        </w:rPr>
        <w:t>a,b</w:t>
      </w:r>
      <w:r>
        <w:rPr>
          <w:rFonts w:eastAsia="Calibri" w:cs="" w:ascii="Times New Roman" w:hAnsi="Times New Roman"/>
          <w:color w:val="000000"/>
          <w:shd w:fill="auto" w:val="clear"/>
        </w:rPr>
        <w:t>) ukazuj největší pravděpodobnost vhodných míst zejména v </w:t>
      </w:r>
      <w:bookmarkEnd w:id="10"/>
      <w:r>
        <w:rPr>
          <w:rFonts w:eastAsia="Calibri" w:cs="" w:ascii="Times New Roman" w:hAnsi="Times New Roman"/>
          <w:color w:val="000000"/>
          <w:shd w:fill="auto" w:val="clear"/>
        </w:rPr>
        <w:t xml:space="preserve">podhorských oblastech na severu republiky, v CHKO Křivokládsku, v Brdech, na vlhkých mstech na Šumavě, v </w:t>
      </w:r>
      <w:r>
        <w:rPr>
          <w:rFonts w:eastAsia="Calibri" w:cs="" w:ascii="Times New Roman" w:hAnsi="Times New Roman"/>
          <w:color w:val="000000"/>
          <w:u w:val="none"/>
          <w:shd w:fill="auto" w:val="clear"/>
        </w:rPr>
        <w:t>CHKO Ž</w:t>
      </w:r>
      <w:r>
        <w:rPr>
          <w:rFonts w:eastAsia="Calibri" w:cs="" w:ascii="Times New Roman" w:hAnsi="Times New Roman"/>
          <w:color w:val="000000"/>
          <w:kern w:val="2"/>
          <w:sz w:val="24"/>
          <w:szCs w:val="24"/>
          <w:u w:val="none"/>
          <w:shd w:fill="auto" w:val="clear"/>
          <w:lang w:val="cs-CZ" w:eastAsia="zh-CN" w:bidi="hi-IN"/>
        </w:rPr>
        <w:t>ďáské vrchy a Železné hory a v chráněných oblastech na Moravě. p</w:t>
      </w:r>
      <w:r>
        <w:rPr>
          <w:rFonts w:eastAsia="Calibri" w:cs="" w:ascii="Times New Roman" w:hAnsi="Times New Roman"/>
          <w:color w:val="000000"/>
          <w:shd w:fill="auto" w:val="clear"/>
        </w:rPr>
        <w:t>oměrně shodují (</w:t>
      </w:r>
      <w:r>
        <w:rPr>
          <w:rFonts w:eastAsia="Calibri" w:cs="" w:ascii="Times New Roman" w:hAnsi="Times New Roman"/>
          <w:b/>
          <w:bCs/>
          <w:color w:val="000000"/>
          <w:shd w:fill="auto" w:val="clear"/>
        </w:rPr>
        <w:t>Obr. 6.4</w:t>
      </w:r>
      <w:r>
        <w:rPr>
          <w:rFonts w:eastAsia="Calibri" w:cs="" w:ascii="Times New Roman" w:hAnsi="Times New Roman"/>
          <w:color w:val="000000"/>
          <w:shd w:fill="auto" w:val="clear"/>
        </w:rPr>
        <w:t>c.).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293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Times New Roman" w:hAnsi="Times New Roman"/>
          <w:b/>
          <w:bCs/>
          <w:color w:val="000000"/>
        </w:rPr>
        <w:t>Obr. 6.4</w:t>
      </w:r>
      <w:r>
        <w:rPr>
          <w:rFonts w:ascii="Times New Roman" w:hAnsi="Times New Roman"/>
          <w:b/>
          <w:bCs/>
          <w:color w:val="000000"/>
        </w:rPr>
        <w:t xml:space="preserve">. </w:t>
      </w:r>
      <w:r>
        <w:rPr>
          <w:rFonts w:ascii="Times New Roman" w:hAnsi="Times New Roman"/>
          <w:color w:val="000000"/>
        </w:rPr>
        <w:t xml:space="preserve">Potenciální rozšíření </w:t>
      </w:r>
      <w:r>
        <w:rPr>
          <w:rFonts w:eastAsia="Calibri" w:cs="" w:ascii="Times New Roman" w:hAnsi="Times New Roman"/>
          <w:color w:val="000000"/>
          <w:shd w:fill="auto" w:val="clear"/>
        </w:rPr>
        <w:t>modráska bahenního (</w:t>
      </w:r>
      <w:r>
        <w:rPr>
          <w:rFonts w:eastAsia="Calibri" w:cs="" w:ascii="Times New Roman" w:hAnsi="Times New Roman"/>
          <w:i/>
          <w:iCs/>
          <w:color w:val="000000"/>
          <w:sz w:val="24"/>
          <w:szCs w:val="24"/>
          <w:shd w:fill="auto" w:val="clear"/>
        </w:rPr>
        <w:t>Phengaris nausithous</w:t>
      </w:r>
      <w:r>
        <w:rPr>
          <w:rFonts w:eastAsia="Calibri" w:cs="" w:ascii="Times New Roman" w:hAnsi="Times New Roman"/>
          <w:color w:val="000000"/>
          <w:shd w:fill="auto" w:val="clear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t xml:space="preserve"> na škále 30</w:t>
      </w:r>
      <w:r>
        <w:rPr>
          <w:rFonts w:ascii="Times New Roman" w:hAnsi="Times New Roman"/>
          <w:color w:val="000000"/>
        </w:rPr>
        <w:t xml:space="preserve"> zeměpisných sekund modelované a) metodou MaxEnt a b) BART .Odlišnost těchto dvou modelů (kolmá a vodorovná čára představují prahové hodnoty obou algoritmů). </w:t>
      </w:r>
    </w:p>
    <w:p>
      <w:pPr>
        <w:pStyle w:val="Normal"/>
        <w:rPr/>
      </w:pPr>
      <w:bookmarkStart w:id="11" w:name="__DdeLink__2083_2360606741"/>
      <w:bookmarkStart w:id="12" w:name="__DdeLink__4739_25507391472"/>
      <w:bookmarkEnd w:id="12"/>
      <w:r>
        <w:rPr>
          <w:rFonts w:ascii="Times New Roman" w:hAnsi="Times New Roman"/>
          <w:color w:val="000000"/>
        </w:rPr>
        <w:t>Poslední model (vytvořený algoritmem BART na škále 100x100m a s přidanými prediktory DivLand</w:t>
      </w:r>
      <w:r>
        <w:rPr>
          <w:rFonts w:ascii="Times New Roman" w:hAnsi="Times New Roman"/>
          <w:color w:val="000000"/>
          <w:shd w:fill="auto" w:val="clear"/>
        </w:rPr>
        <w:t>) u</w:t>
      </w:r>
      <w:r>
        <w:rPr>
          <w:rFonts w:ascii="Times New Roman" w:hAnsi="Times New Roman"/>
          <w:color w:val="000000"/>
        </w:rPr>
        <w:t xml:space="preserve">přednostňuje 23 prediktorů. Parametry modelu a vliv jednotlivých prediktorů shrnuje </w:t>
      </w:r>
      <w:r>
        <w:rPr>
          <w:rFonts w:ascii="Times New Roman" w:hAnsi="Times New Roman"/>
          <w:b/>
          <w:bCs/>
          <w:color w:val="000000"/>
        </w:rPr>
        <w:t>obr. 6.5</w:t>
      </w:r>
      <w:r>
        <w:rPr>
          <w:rFonts w:ascii="Times New Roman" w:hAnsi="Times New Roman"/>
          <w:b w:val="false"/>
          <w:bCs w:val="false"/>
          <w:color w:val="000000"/>
        </w:rPr>
        <w:t xml:space="preserve">, proměnné jsou popsány v příloze I. </w:t>
      </w:r>
      <w:r>
        <w:rPr>
          <w:rFonts w:ascii="Times New Roman" w:hAnsi="Times New Roman"/>
          <w:color w:val="000000"/>
        </w:rPr>
        <w:t xml:space="preserve">Model vysvětluje velkou variabilitu (AUC = 0,962), hodnota tresholdu je 0,621, </w:t>
      </w:r>
      <w:bookmarkStart w:id="13" w:name="__DdeLink__4846_2550739147"/>
      <w:r>
        <w:rPr>
          <w:rFonts w:ascii="Times New Roman" w:hAnsi="Times New Roman"/>
          <w:color w:val="000000"/>
        </w:rPr>
        <w:t>pravděpodob</w:t>
      </w:r>
      <w:bookmarkEnd w:id="13"/>
      <w:r>
        <w:rPr>
          <w:rFonts w:ascii="Times New Roman" w:hAnsi="Times New Roman"/>
          <w:color w:val="000000"/>
        </w:rPr>
        <w:t>n</w:t>
      </w:r>
      <w:bookmarkEnd w:id="11"/>
      <w:r>
        <w:rPr>
          <w:rFonts w:ascii="Times New Roman" w:hAnsi="Times New Roman"/>
          <w:color w:val="000000"/>
        </w:rPr>
        <w:t>ost chyby typu I 0,090 a pravděpodobnost chyby typu II 0,111, TSS = 0,799.</w:t>
      </w:r>
    </w:p>
    <w:p>
      <w:pPr>
        <w:pStyle w:val="Normal"/>
        <w:rPr>
          <w:rFonts w:ascii="Times New Roman" w:hAnsi="Times New Roman"/>
          <w:highlight w:val="yellow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48425"/>
            <wp:effectExtent l="0" t="0" r="0" b="0"/>
            <wp:wrapTopAndBottom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2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Times New Roman" w:hAnsi="Times New Roman"/>
          <w:b/>
          <w:bCs/>
          <w:color w:val="000000"/>
          <w:sz w:val="24"/>
          <w:szCs w:val="24"/>
        </w:rPr>
        <w:t>Obr. 6.5.</w:t>
      </w:r>
      <w:r>
        <w:rPr>
          <w:rFonts w:eastAsia="Calibri" w:ascii="Times New Roman" w:hAnsi="Times New Roman"/>
          <w:color w:val="000000"/>
          <w:sz w:val="24"/>
          <w:szCs w:val="24"/>
        </w:rPr>
        <w:t xml:space="preserve"> a) Parametry modelu potenciálního rozšíření</w:t>
      </w:r>
      <w:r>
        <w:rPr>
          <w:rFonts w:eastAsia="Calibri" w:ascii="Times New Roman" w:hAnsi="Times New Roman"/>
          <w:i/>
          <w:iCs/>
          <w:color w:val="000000"/>
          <w:sz w:val="24"/>
          <w:szCs w:val="24"/>
        </w:rPr>
        <w:t xml:space="preserve"> </w:t>
      </w:r>
      <w:r>
        <w:rPr>
          <w:rFonts w:eastAsia="Calibri" w:cs=""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>modráska bahenního (</w:t>
      </w:r>
      <w:r>
        <w:rPr>
          <w:rFonts w:eastAsia="Calibri" w:cs="" w:ascii="Times New Roman" w:hAnsi="Times New Roman"/>
          <w:i/>
          <w:iCs/>
          <w:color w:val="000000"/>
          <w:sz w:val="24"/>
          <w:szCs w:val="24"/>
          <w:shd w:fill="auto" w:val="clear"/>
        </w:rPr>
        <w:t>Phengaris nausithous</w:t>
      </w:r>
      <w:r>
        <w:rPr>
          <w:rFonts w:eastAsia="Calibri" w:cs="" w:ascii="Times New Roman" w:hAnsi="Times New Roman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>
        <w:rPr>
          <w:rFonts w:eastAsia="Calibri" w:ascii="Times New Roman" w:hAnsi="Times New Roman"/>
          <w:color w:val="000000"/>
          <w:sz w:val="24"/>
          <w:szCs w:val="24"/>
        </w:rPr>
        <w:t>b</w:t>
      </w:r>
      <w:bookmarkStart w:id="14" w:name="__DdeLink__365_32342481151"/>
      <w:r>
        <w:rPr>
          <w:rFonts w:eastAsia="Calibri" w:ascii="Times New Roman" w:hAnsi="Times New Roman"/>
          <w:color w:val="000000"/>
          <w:sz w:val="24"/>
          <w:szCs w:val="24"/>
        </w:rPr>
        <w:t xml:space="preserve">) </w:t>
      </w:r>
      <w:bookmarkStart w:id="15" w:name="__DdeLink__165_21178257211"/>
      <w:r>
        <w:rPr>
          <w:rFonts w:eastAsia="Calibri" w:ascii="Times New Roman" w:hAnsi="Times New Roman"/>
          <w:color w:val="000000"/>
          <w:sz w:val="24"/>
          <w:szCs w:val="24"/>
        </w:rPr>
        <w:t xml:space="preserve">Relativní důležitost vybraných proměnných. </w:t>
      </w:r>
      <w:bookmarkEnd w:id="15"/>
      <w:r>
        <w:rPr>
          <w:rFonts w:eastAsia="Calibri" w:ascii="Times New Roman" w:hAnsi="Times New Roman"/>
          <w:color w:val="000000"/>
          <w:sz w:val="24"/>
          <w:szCs w:val="24"/>
        </w:rPr>
        <w:t xml:space="preserve">c) </w:t>
      </w:r>
      <w:r>
        <w:rPr>
          <w:rFonts w:ascii="Times New Roman" w:hAnsi="Times New Roman"/>
          <w:color w:val="000000"/>
          <w:sz w:val="24"/>
          <w:szCs w:val="24"/>
        </w:rPr>
        <w:t>Vliv jednotlivých proměnných (osy X) na predikci výskytu</w:t>
      </w:r>
      <w:bookmarkEnd w:id="14"/>
      <w:r>
        <w:rPr>
          <w:rFonts w:ascii="Times New Roman" w:hAnsi="Times New Roman"/>
          <w:color w:val="000000"/>
          <w:sz w:val="24"/>
          <w:szCs w:val="24"/>
        </w:rPr>
        <w:t>. Hodnoty pro Bio1–Bio11 jsou v desetinách °C, proměnné Bio12–Bio19 v mm. Modelováno metodou BART na škále 100 x100 m. s přidanými predikto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ry Div-land.</w:t>
      </w:r>
    </w:p>
    <w:p>
      <w:pPr>
        <w:pStyle w:val="Normal"/>
        <w:rPr>
          <w:rFonts w:ascii="Times New Roman" w:hAnsi="Times New Roman"/>
          <w:highlight w:val="yellow"/>
        </w:rPr>
      </w:pPr>
      <w:r>
        <w:rPr/>
        <w:t>Nejvýznamnější oblasti výskytu se dle posledního modelu nacházejí při vodních tocích zejména v podhorských oblastech.</w:t>
      </w:r>
    </w:p>
    <w:p>
      <w:pPr>
        <w:pStyle w:val="Normal"/>
        <w:rPr>
          <w:rFonts w:ascii="Times New Roman" w:hAnsi="Times New Roman"/>
          <w:color w:val="00000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3703320" cy="3128010"/>
            <wp:effectExtent l="0" t="0" r="0" b="0"/>
            <wp:wrapTopAndBottom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3215" r="327" b="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color w:val="000000"/>
        </w:rPr>
        <w:t>Obr 6.5.</w:t>
      </w:r>
      <w:r>
        <w:rPr>
          <w:rFonts w:ascii="Times New Roman" w:hAnsi="Times New Roman"/>
          <w:color w:val="000000"/>
        </w:rPr>
        <w:t xml:space="preserve"> Potenciální rozšíření </w:t>
      </w:r>
      <w:r>
        <w:rPr>
          <w:rFonts w:eastAsia="Calibri" w:cs="" w:ascii="Times New Roman" w:hAnsi="Times New Roman"/>
          <w:color w:val="000000"/>
          <w:shd w:fill="auto" w:val="clear"/>
        </w:rPr>
        <w:t>modráska bahenního (</w:t>
      </w:r>
      <w:r>
        <w:rPr>
          <w:rFonts w:eastAsia="Calibri" w:cs="" w:ascii="Times New Roman" w:hAnsi="Times New Roman"/>
          <w:i/>
          <w:iCs/>
          <w:color w:val="000000"/>
          <w:sz w:val="24"/>
          <w:szCs w:val="24"/>
          <w:shd w:fill="auto" w:val="clear"/>
        </w:rPr>
        <w:t>Phengaris nausithous</w:t>
      </w:r>
      <w:r>
        <w:rPr>
          <w:rFonts w:eastAsia="Calibri" w:cs="" w:ascii="Times New Roman" w:hAnsi="Times New Roman"/>
          <w:color w:val="000000"/>
          <w:shd w:fill="auto" w:val="clear"/>
        </w:rPr>
        <w:t>)</w:t>
      </w:r>
      <w:r>
        <w:rPr>
          <w:rFonts w:ascii="Times New Roman" w:hAnsi="Times New Roman"/>
          <w:color w:val="000000"/>
          <w:sz w:val="24"/>
          <w:szCs w:val="24"/>
        </w:rPr>
        <w:t xml:space="preserve"> modelované metodou BART na škále 100x100 m, s přidanými predikto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ry Div-land.</w:t>
      </w:r>
    </w:p>
    <w:p>
      <w:pPr>
        <w:pStyle w:val="Normal"/>
        <w:rPr/>
      </w:pPr>
      <w:r>
        <w:rPr>
          <w:rFonts w:ascii="Times New Roman" w:hAnsi="Times New Roman"/>
          <w:color w:val="000000"/>
          <w:shd w:fill="auto" w:val="clear"/>
        </w:rPr>
        <w:t xml:space="preserve">Všechny tři modely se do velkémíry shodují v oblastech výskytu modráska bahenního, ale liší se detailech, které jsou vidět zejména na jemnější škále </w:t>
      </w:r>
      <w:r>
        <w:rPr>
          <w:rFonts w:ascii="Times New Roman" w:hAnsi="Times New Roman"/>
          <w:b/>
          <w:bCs/>
          <w:color w:val="000000"/>
          <w:shd w:fill="auto" w:val="clear"/>
        </w:rPr>
        <w:t>Tabulka 6.1</w:t>
      </w:r>
      <w:r>
        <w:rPr>
          <w:rFonts w:ascii="Times New Roman" w:hAnsi="Times New Roman"/>
          <w:color w:val="000000"/>
          <w:shd w:fill="auto" w:val="clear"/>
        </w:rPr>
        <w:t xml:space="preserve"> shrnuje korelační koeficienty všech modelů, </w:t>
      </w:r>
      <w:r>
        <w:rPr>
          <w:rFonts w:ascii="Times New Roman" w:hAnsi="Times New Roman"/>
          <w:b/>
          <w:bCs/>
          <w:color w:val="000000"/>
          <w:shd w:fill="auto" w:val="clear"/>
        </w:rPr>
        <w:t xml:space="preserve">Obr. 2.7 </w:t>
      </w:r>
      <w:r>
        <w:rPr>
          <w:rFonts w:ascii="Times New Roman" w:hAnsi="Times New Roman"/>
          <w:color w:val="000000"/>
          <w:shd w:fill="auto" w:val="clear"/>
        </w:rPr>
        <w:t>ukazuje mapu s rozdíly pravděpodobností výskytu d</w:t>
      </w:r>
      <w:r>
        <w:rPr>
          <w:rFonts w:ascii="Times New Roman" w:hAnsi="Times New Roman"/>
          <w:color w:val="000000"/>
          <w:u w:val="none"/>
          <w:shd w:fill="auto" w:val="clear"/>
        </w:rPr>
        <w:t>vou nejvíce odlišných modelů.</w:t>
      </w:r>
    </w:p>
    <w:p>
      <w:pPr>
        <w:pStyle w:val="Normal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u w:val="none"/>
          <w:shd w:fill="auto" w:val="clear"/>
        </w:rPr>
        <w:t xml:space="preserve">Tabulka 6.1.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Korelace modelů potenciálního rozšíření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bahenního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 xml:space="preserve"> nausithous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. Korelační koeficienty vždy dvojice modelů. MaxEnt = model vytvořený metodou MaxEnt na škále 30 zeměpisných sekund,BART = model vytvořený metodou BART na škále 100 x100 m. s přidanými prediktory Div-land.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09"/>
        <w:gridCol w:w="2410"/>
        <w:gridCol w:w="2409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MaxENT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BART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60"/>
              <w:jc w:val="left"/>
              <w:rPr/>
            </w:pPr>
            <w:r>
              <w:rPr>
                <w:rFonts w:ascii="Times New Roman" w:hAnsi="Times New Roman"/>
                <w:color w:val="000000"/>
              </w:rPr>
              <w:t>BART - DivLand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MaxENT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-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0.80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0.53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BART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0.80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-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0.61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60"/>
              <w:jc w:val="left"/>
              <w:rPr/>
            </w:pPr>
            <w:r>
              <w:rPr>
                <w:rFonts w:ascii="Times New Roman" w:hAnsi="Times New Roman"/>
                <w:color w:val="000000"/>
              </w:rPr>
              <w:t>BART - DivLand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0.53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>
                <w:rFonts w:ascii="Times New Roman" w:hAnsi="Times New Roman"/>
                <w:color w:val="000000"/>
                <w:shd w:fill="auto" w:val="clear"/>
              </w:rPr>
              <w:t>0.62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before="0" w:after="159"/>
              <w:jc w:val="left"/>
              <w:rPr/>
            </w:pPr>
            <w:r>
              <w:rPr/>
              <w:t>-</w:t>
            </w:r>
          </w:p>
        </w:tc>
      </w:tr>
    </w:tbl>
    <w:p>
      <w:pPr>
        <w:pStyle w:val="Normal"/>
        <w:rPr>
          <w:rFonts w:ascii="Times New Roman" w:hAnsi="Times New Roman"/>
          <w:b w:val="false"/>
          <w:b w:val="false"/>
          <w:bCs w:val="false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</w:rPr>
      </w:r>
      <w:r>
        <w:br w:type="page"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76415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color w:val="000000"/>
          <w:shd w:fill="auto" w:val="clear"/>
        </w:rPr>
        <w:t>Obr. 6.7.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Odlišnosti potenciálního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bahenního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 xml:space="preserve"> nausithous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>.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modelované metodou BART a MaxEnt na škále 30 zeměpisných sekund. Modrá = vyšší pravděpodobnost výskytu podle modelu vytvořeného metodou MaxEnt, Červená = vyšší pravděpodobnost výskytu podle modelu vytvořeného metodou BART.</w:t>
      </w:r>
    </w:p>
    <w:p>
      <w:pPr>
        <w:pStyle w:val="Normal"/>
        <w:widowControl w:val="false"/>
        <w:rPr/>
      </w:pPr>
      <w:r>
        <w:rPr>
          <w:rFonts w:ascii="Times New Roman" w:hAnsi="Times New Roman"/>
          <w:color w:val="000000"/>
        </w:rPr>
        <w:t>Potenciálně vhodné lokality pro modráska bahenního</w:t>
      </w:r>
      <w:r>
        <w:rPr>
          <w:rFonts w:eastAsia="Calibri" w:ascii="Times New Roman" w:hAnsi="Times New Roman"/>
          <w:b w:val="false"/>
          <w:bCs w:val="false"/>
          <w:i w:val="false"/>
          <w:iCs w:val="false"/>
          <w:color w:val="000000"/>
          <w:shd w:fill="auto" w:val="clear"/>
        </w:rPr>
        <w:t xml:space="preserve"> na </w:t>
      </w:r>
      <w:r>
        <w:rPr>
          <w:rFonts w:ascii="Times New Roman" w:hAnsi="Times New Roman"/>
          <w:color w:val="000000"/>
        </w:rPr>
        <w:t xml:space="preserve">95% nejčastějších kategorií v KVES, s nejvíce záznamy shrnuje </w:t>
      </w:r>
      <w:r>
        <w:rPr>
          <w:rFonts w:ascii="Times New Roman" w:hAnsi="Times New Roman"/>
          <w:b/>
          <w:bCs/>
          <w:color w:val="000000"/>
        </w:rPr>
        <w:t>Tabulka 6.2</w:t>
      </w:r>
      <w:r>
        <w:rPr>
          <w:rFonts w:ascii="Times New Roman" w:hAnsi="Times New Roman"/>
          <w:color w:val="000000"/>
        </w:rPr>
        <w:t xml:space="preserve">. Ukázka potenciálně vhodných lokalit včetně pravděpodobnosti výskytu podle modelu BART - DivLand </w:t>
      </w:r>
      <w:r>
        <w:rPr>
          <w:rFonts w:ascii="Times New Roman" w:hAnsi="Times New Roman"/>
          <w:b/>
          <w:bCs/>
          <w:color w:val="000000"/>
        </w:rPr>
        <w:t>Obr. 6.8.</w:t>
      </w:r>
    </w:p>
    <w:tbl>
      <w:tblPr>
        <w:tblW w:w="5497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58"/>
        <w:gridCol w:w="1129"/>
        <w:gridCol w:w="910"/>
      </w:tblGrid>
      <w:tr>
        <w:trPr>
          <w:trHeight w:val="680" w:hRule="exact"/>
        </w:trPr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KVES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počet záznamů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procent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Mezofilní louky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3271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40,8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Degradovaný travní porost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2698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33,6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Aluviální a vlhké louky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336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4,2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Dopravní síť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281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3,5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Rozptýlená zeleň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247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3,1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Souvislá zástavba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197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2,5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Orná půda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148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1,8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Ovocný sad, zahrada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103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1,3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Nepůvodní křoviny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85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1,1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Lužní a mokřadní lesy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78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1,0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Hospodářské lesy smíšené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76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0,9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Suché trávníky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67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0,8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Nesouvislá zástavba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63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/>
            </w:pPr>
            <w:r>
              <w:rPr>
                <w:rFonts w:ascii="Times New Roman" w:hAnsi="Times New Roman"/>
                <w:b/>
                <w:bCs/>
                <w:color w:val="000000"/>
              </w:rPr>
              <w:t>0,8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Mokřady a pobřežní vegetace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58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0,7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Vodní toky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49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0,6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Průmyslové a obchodní jednotky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45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0,6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Rašeliniště a prameniště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42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0,5</w:t>
            </w:r>
          </w:p>
        </w:tc>
      </w:tr>
      <w:tr>
        <w:trPr>
          <w:trHeight w:val="680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Městské zelené plochy, okrasná zahrada, park, hřbitov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39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0,5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Přírodní křoviny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28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0,3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Hospodářské lesy jehličnaté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27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0,3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Rybníky a nádrže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14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0,2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Doubravy a dubohabřiny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13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0,2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Bažina, močál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12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Sportovní a rekreační plochy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11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Makrofytní vegetace stojatých vod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Bučiny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7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Hospodářské lesy listnaté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7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Skládky a staveniště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6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0,1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Rašelinné lesy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&lt; 0,1</w:t>
            </w:r>
          </w:p>
        </w:tc>
      </w:tr>
      <w:tr>
        <w:trPr>
          <w:trHeight w:val="397" w:hRule="exact"/>
        </w:trPr>
        <w:tc>
          <w:tcPr>
            <w:tcW w:w="3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Skály, lomy (umělé)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1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59"/>
              <w:rPr>
                <w:b w:val="false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&lt; 0,1</w:t>
            </w:r>
          </w:p>
        </w:tc>
      </w:tr>
    </w:tbl>
    <w:p>
      <w:pPr>
        <w:pStyle w:val="Normal"/>
        <w:widowControl w:val="false"/>
        <w:bidi w:val="0"/>
        <w:jc w:val="left"/>
        <w:rPr>
          <w:highlight w:val="yellow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>Tabulka 6.2.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Počet záznamů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bahenního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 xml:space="preserve"> nausithous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 xml:space="preserve">) </w:t>
      </w:r>
      <w:r>
        <w:rPr>
          <w:rFonts w:eastAsia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použitých pro model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podle kategorií KVES. Tučně: proměnné použité pro výběr konkrétních lokalit. </w:t>
      </w:r>
    </w:p>
    <w:p>
      <w:pPr>
        <w:pStyle w:val="Obsahtabulky"/>
        <w:widowControl w:val="false"/>
        <w:suppressLineNumbers/>
        <w:bidi w:val="0"/>
        <w:spacing w:before="0" w:after="159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-12700</wp:posOffset>
            </wp:positionH>
            <wp:positionV relativeFrom="paragraph">
              <wp:posOffset>635</wp:posOffset>
            </wp:positionV>
            <wp:extent cx="6112510" cy="432054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606" t="0" r="7" b="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ascii="Times New Roman" w:hAnsi="Times New Roman"/>
          <w:b/>
          <w:bCs/>
          <w:color w:val="000000"/>
          <w:sz w:val="24"/>
          <w:szCs w:val="24"/>
          <w:shd w:fill="auto" w:val="clear"/>
        </w:rPr>
        <w:t>Obr. 6.8.</w:t>
      </w:r>
      <w:r>
        <w:rPr>
          <w:rFonts w:eastAsia="Calibri" w:cs="" w:ascii="Times New Roman" w:hAnsi="Times New Roman" w:cstheme="minorHAnsi"/>
          <w:b w:val="false"/>
          <w:bCs w:val="false"/>
          <w:color w:val="000000"/>
          <w:sz w:val="24"/>
          <w:szCs w:val="24"/>
          <w:shd w:fill="auto" w:val="clear"/>
        </w:rPr>
        <w:t xml:space="preserve"> Ukázka potenciálně vhodných lokalit pro výskyt 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  <w:shd w:fill="auto" w:val="clear"/>
        </w:rPr>
        <w:t>modráska bahenního (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u w:val="none"/>
          <w:shd w:fill="auto" w:val="clear"/>
        </w:rPr>
        <w:t>Phengaris</w:t>
      </w:r>
      <w:r>
        <w:rPr>
          <w:rFonts w:eastAsia="Calibri" w:cs=""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</w:rPr>
        <w:t xml:space="preserve"> nausithous</w:t>
      </w:r>
      <w:r>
        <w:rPr>
          <w:rFonts w:eastAsia="Calibri" w:cs="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)</w:t>
      </w: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  <w:t xml:space="preserve"> v závislosti na výskytu druhu (nahoře) a v místě nálezů po roce 2025 (které nevstoupily do modelu). Modelováno metodou BART na škále 100x100 m. </w:t>
      </w:r>
    </w:p>
    <w:p>
      <w:pPr>
        <w:pStyle w:val="Normal"/>
        <w:widowControl w:val="false"/>
        <w:bidi w:val="0"/>
        <w:spacing w:before="0" w:after="159"/>
        <w:jc w:val="left"/>
        <w:rPr>
          <w:highlight w:val="yellow"/>
        </w:rPr>
      </w:pP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FFFF00" w:val="clear"/>
        </w:rPr>
        <w:t xml:space="preserve">Dodělat: korelace s novými nálezy, naše pozorování (+ na google disku jsou data od Pavla), celkově </w:t>
      </w:r>
    </w:p>
    <w:p>
      <w:pPr>
        <w:pStyle w:val="Normal"/>
        <w:widowControl w:val="false"/>
        <w:bidi w:val="0"/>
        <w:spacing w:before="0" w:after="159"/>
        <w:jc w:val="left"/>
        <w:rPr>
          <w:highlight w:val="yellow"/>
        </w:rPr>
      </w:pPr>
      <w:r>
        <w:rPr>
          <w:rFonts w:eastAsia="Calibri" w:cs="Lohit Devanagari" w:ascii="Times New Roman" w:hAnsi="Times New Roman"/>
          <w:b w:val="false"/>
          <w:bCs w:val="false"/>
          <w:color w:val="000000"/>
          <w:kern w:val="2"/>
          <w:sz w:val="24"/>
          <w:szCs w:val="24"/>
          <w:shd w:fill="auto" w:val="clear"/>
          <w:lang w:val="cs-CZ" w:eastAsia="zh-CN" w:bidi="hi-IN"/>
        </w:rPr>
        <w:t xml:space="preserve">Nové lokality ukazují oblasti se silnou pozitivní korelací k modelu až po silnou negativní korelaci (rozsah </w:t>
      </w:r>
      <w:bookmarkStart w:id="16" w:name="mwBA"/>
      <w:bookmarkEnd w:id="16"/>
      <w:r>
        <w:rPr>
          <w:rFonts w:eastAsia="Calibri" w:cs="Lohit Devanagar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shd w:fill="FFFF00" w:val="clear"/>
          <w:lang w:val="cs-CZ" w:eastAsia="zh-CN" w:bidi="hi-IN"/>
        </w:rPr>
        <w:t>Spearmanova koeficientu</w:t>
      </w:r>
      <w:r>
        <w:rPr>
          <w:rFonts w:eastAsia="Calibri" w:cs="Lohit Devanagari" w:ascii="Times New Roman" w:hAnsi="Times New Roman"/>
          <w:b w:val="false"/>
          <w:bCs w:val="false"/>
          <w:color w:val="000000"/>
          <w:kern w:val="2"/>
          <w:sz w:val="24"/>
          <w:szCs w:val="24"/>
          <w:shd w:fill="auto" w:val="clear"/>
          <w:lang w:val="cs-CZ" w:eastAsia="zh-CN" w:bidi="hi-IN"/>
        </w:rPr>
        <w:t xml:space="preserve"> - 0,82 - 0,93). Většina navštívených lokalit v letech 2025 - 2026 slabě koreluje s modelem (medián 0,30). U 25% lokalit je </w:t>
      </w:r>
      <w:r>
        <w:rPr>
          <w:rFonts w:eastAsia="Calibri" w:cs="Lohit Devanagari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shd w:fill="auto" w:val="clear"/>
          <w:lang w:val="cs-CZ" w:eastAsia="zh-CN" w:bidi="hi-IN"/>
        </w:rPr>
        <w:t>Spearmanův koeficient</w:t>
      </w:r>
      <w:r>
        <w:rPr>
          <w:rFonts w:eastAsia="Calibri" w:cs="Lohit Devanagari" w:ascii="Times New Roman" w:hAnsi="Times New Roman"/>
          <w:b w:val="false"/>
          <w:bCs w:val="false"/>
          <w:color w:val="000000"/>
          <w:kern w:val="2"/>
          <w:sz w:val="24"/>
          <w:szCs w:val="24"/>
          <w:shd w:fill="auto" w:val="clear"/>
          <w:lang w:val="cs-CZ" w:eastAsia="zh-CN" w:bidi="hi-IN"/>
        </w:rPr>
        <w:t xml:space="preserve"> pod hodnotu  - 0.02, a u 25% lokalit je korelace vyšší než 0,51. </w:t>
      </w:r>
      <w:r>
        <w:rPr/>
        <w:commentReference w:id="0"/>
      </w:r>
    </w:p>
    <w:p>
      <w:pPr>
        <w:pStyle w:val="Normal"/>
        <w:widowControl w:val="false"/>
        <w:bidi w:val="0"/>
        <w:spacing w:before="0" w:after="159"/>
        <w:jc w:val="left"/>
        <w:rPr>
          <w:highlight w:val="yellow"/>
        </w:rPr>
      </w:pPr>
      <w:r>
        <w:rPr>
          <w:rFonts w:eastAsia="Calibri" w:ascii="Times New Roman" w:hAnsi="Times New Roman"/>
          <w:b w:val="false"/>
          <w:bCs w:val="false"/>
          <w:color w:val="000000"/>
          <w:sz w:val="24"/>
          <w:szCs w:val="24"/>
          <w:shd w:fill="FFFF00" w:val="clear"/>
        </w:rPr>
        <w:t>popsat z vrstvy nausithous_overovani v adresáři</w:t>
        <w:br/>
      </w:r>
    </w:p>
    <w:p>
      <w:pPr>
        <w:pStyle w:val="Obsahtabulky"/>
        <w:widowControl w:val="false"/>
        <w:suppressLineNumbers/>
        <w:spacing w:before="0" w:after="159"/>
        <w:rPr>
          <w:highlight w:val="none"/>
          <w:shd w:fill="FFFF00" w:val="clea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10-06T12:08:54Z" w:initials="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cs-CZ" w:eastAsia="zh-CN" w:bidi="hi-IN"/>
        </w:rPr>
        <w:t>catax.corlocal&lt;-corLocal(romportl.bart,catax_polygons_ras,method="spearman",use = "complete.obs")</w:t>
      </w:r>
    </w:p>
    <w:p>
      <w:r>
        <w:rPr>
          <w:rFonts w:eastAsia="DejaVu Sans" w:cs="Noto Sans Arabic UI"/>
          <w:kern w:val="0"/>
          <w:lang w:val="en-US" w:eastAsia="en-US" w:bidi="en-US"/>
        </w:rPr>
      </w:r>
    </w:p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cs-CZ" w:eastAsia="zh-CN" w:bidi="hi-IN"/>
        </w:rPr>
        <w:t>Z našich pozorování + NDOPpoužito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159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cs-CZ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Untitled1">
    <w:name w:val="Untitled1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comments" Target="comments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</TotalTime>
  <Application>LibreOffice/7.3.7.2$Linux_X86_64 LibreOffice_project/30$Build-2</Application>
  <AppVersion>15.0000</AppVersion>
  <Pages>9</Pages>
  <Words>971</Words>
  <Characters>5702</Characters>
  <CharactersWithSpaces>6544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2026-10-16T07:41:10Z</dcterms:created>
  <dc:creator/>
  <dc:description/>
  <dc:language>cs-CZ</dc:language>
  <cp:lastModifiedBy/>
  <dcterms:modified xsi:type="dcterms:W3CDTF">2026-10-20T10:02:48Z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