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Phengaris teleius</w:t>
      </w:r>
    </w:p>
    <w:p>
      <w:pPr>
        <w:pStyle w:val="Normal"/>
        <w:rPr/>
      </w:pPr>
      <w:r>
        <w:rPr>
          <w:rFonts w:ascii="Times New Roman" w:hAnsi="Times New Roman"/>
          <w:color w:val="000000"/>
          <w:shd w:fill="auto" w:val="clear"/>
        </w:rPr>
        <w:t xml:space="preserve">Pro tvorbu modelů potenciálního rozšíření modráska očkovaného bylo sebráno 2297 distribučních bodů. 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Při modelování pomocí MaxEnt na škále 30 zeměpisných sekund bylo použito 1063 distribučních bodů (v průměru 956,7 trénovacích a 106,3 testovacích). Byly použity funkce LQH a škálovací konstanta = 3 (AUC = 0,117, AICc = 22319,2, N coef. = 58). </w:t>
      </w:r>
      <w:r>
        <w:rPr>
          <w:rFonts w:eastAsia="Noto Serif CJK SC" w:cs="Lohit Devanagari" w:ascii="Times New Roman" w:hAnsi="Times New Roman"/>
          <w:i w:val="false"/>
          <w:i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>M</w:t>
      </w:r>
      <w:bookmarkStart w:id="0" w:name="__DdeLink__2042_23606067411"/>
      <w:bookmarkStart w:id="1" w:name="__DdeLink__4780_25507391471"/>
      <w:r>
        <w:rPr>
          <w:rFonts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>odel s vybranými nejlepšími prediktory vysvětluje poměrně velkou variabil</w:t>
      </w:r>
      <w:bookmarkEnd w:id="0"/>
      <w:bookmarkEnd w:id="1"/>
      <w:r>
        <w:rPr>
          <w:rFonts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itu: </w:t>
      </w:r>
      <w:r>
        <w:rPr>
          <w:rFonts w:eastAsia="Calibri" w:cs="" w:ascii="Times New Roman" w:hAnsi="Times New Roman" w:cstheme="minorHAnsi"/>
          <w:i w:val="false"/>
          <w:iCs w:val="false"/>
          <w:color w:val="000000"/>
          <w:sz w:val="24"/>
          <w:szCs w:val="24"/>
          <w:shd w:fill="auto" w:val="clear"/>
        </w:rPr>
        <w:t>AUC = 0,875 (</w:t>
      </w:r>
      <w:bookmarkStart w:id="2" w:name="__DdeLink__5223_24552824081111"/>
      <w:r>
        <w:rPr>
          <w:rFonts w:eastAsia="Calibri" w:cs="" w:ascii="Times New Roman" w:hAnsi="Times New Roman" w:cstheme="minorHAnsi"/>
          <w:i w:val="false"/>
          <w:iCs w:val="false"/>
          <w:color w:val="000000"/>
          <w:sz w:val="24"/>
          <w:szCs w:val="24"/>
          <w:shd w:fill="auto" w:val="clear"/>
        </w:rPr>
        <w:t>±0</w:t>
      </w:r>
      <w:bookmarkEnd w:id="2"/>
      <w:r>
        <w:rPr>
          <w:rFonts w:eastAsia="Calibri" w:cs="" w:ascii="Times New Roman" w:hAnsi="Times New Roman" w:cstheme="minorHAnsi"/>
          <w:i w:val="false"/>
          <w:iCs w:val="false"/>
          <w:color w:val="000000"/>
          <w:sz w:val="24"/>
          <w:szCs w:val="24"/>
          <w:shd w:fill="auto" w:val="clear"/>
        </w:rPr>
        <w:t xml:space="preserve">,022). Hodnota tresholdu je 0,262. </w:t>
      </w:r>
      <w:r>
        <w:rPr>
          <w:rFonts w:eastAsia="Calibri" w:cs=""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Detailněji </w:t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>Obr. 7.1.</w:t>
      </w:r>
    </w:p>
    <w:p>
      <w:pPr>
        <w:pStyle w:val="Normal"/>
        <w:rPr>
          <w:i w:val="false"/>
          <w:i w:val="false"/>
          <w:iCs w:val="false"/>
          <w:sz w:val="24"/>
          <w:szCs w:val="24"/>
          <w:highlight w:val="yellow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-77470</wp:posOffset>
            </wp:positionV>
            <wp:extent cx="6120130" cy="28625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 xml:space="preserve">Obr. 7.1.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Parametry modelu vhodných podmínek pro výskyt 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). a) </w:t>
      </w:r>
      <w:r>
        <w:rPr>
          <w:rFonts w:eastAsia="Noto Serif CJK SC" w:cs="Lohit Devanagari" w:ascii="Times New Roman" w:hAnsi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>Rozdíl mezi trénovacím a testovacím modelem.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 b) Citlivost modelu. Modelováno metodou MaxEnt na škále 30 zeměpisných sekund).</w:t>
      </w:r>
    </w:p>
    <w:p>
      <w:pPr>
        <w:pStyle w:val="Normal"/>
        <w:rPr>
          <w:rFonts w:ascii="Times New Roman" w:hAnsi="Times New Roman" w:eastAsia="Calibri" w:cs="" w:cstheme="minorHAnsi"/>
          <w:b w:val="false"/>
          <w:b w:val="false"/>
          <w:bCs w:val="false"/>
          <w:color w:val="000000"/>
          <w:u w:val="double"/>
        </w:rPr>
      </w:pPr>
      <w:r>
        <w:rPr>
          <w:rFonts w:ascii="Times New Roman" w:hAnsi="Times New Roman"/>
        </w:rPr>
        <w:t xml:space="preserve">Výskyt modráska očkovaného je podle MaxEnt závislý na výskytu živné rostliny, několika bioklimatických proměnných a dále je negativně závislý na výskytu orné půdy, jehličnatého lesa a kupodivu pozitivně s nemapovanými biotopy (-1, zde X.1). </w:t>
      </w:r>
      <w:r>
        <w:rPr>
          <w:rFonts w:cs="" w:ascii="Times New Roman" w:hAnsi="Times New Roman" w:cstheme="minorHAnsi"/>
        </w:rPr>
        <w:t xml:space="preserve">Vliv a význam 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jednotlivých proměnných shrnuje 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7.2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.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 </w:t>
      </w:r>
      <w:r>
        <w:rPr>
          <w:rFonts w:eastAsia="Calibri" w:cs="" w:ascii="Times New Roman" w:hAnsi="Times New Roman" w:cstheme="minorHAnsi"/>
          <w:b w:val="false"/>
          <w:bCs w:val="false"/>
          <w:color w:val="000000"/>
          <w:shd w:fill="auto" w:val="clear"/>
        </w:rPr>
        <w:t>Detaily proměnných viz příloha 1.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-24130</wp:posOffset>
            </wp:positionH>
            <wp:positionV relativeFrom="paragraph">
              <wp:posOffset>-12065</wp:posOffset>
            </wp:positionV>
            <wp:extent cx="6286500" cy="80733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890" b="10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07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000000"/>
        </w:rPr>
        <w:t xml:space="preserve">Obr. 7.2. </w:t>
      </w:r>
      <w:r>
        <w:rPr>
          <w:rFonts w:ascii="Times New Roman" w:hAnsi="Times New Roman"/>
          <w:b w:val="false"/>
          <w:bCs w:val="false"/>
          <w:color w:val="000000"/>
        </w:rPr>
        <w:t xml:space="preserve">a) </w:t>
      </w:r>
      <w:r>
        <w:rPr>
          <w:rFonts w:ascii="Times New Roman" w:hAnsi="Times New Roman"/>
          <w:color w:val="000000"/>
        </w:rPr>
        <w:t xml:space="preserve">Složky modelu vhodných podmínek pro výskyt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ascii="Times New Roman" w:hAnsi="Times New Roman"/>
          <w:color w:val="000000"/>
        </w:rPr>
        <w:t>.</w:t>
      </w:r>
      <w:bookmarkStart w:id="3" w:name="__DdeLink__365_323424811511"/>
      <w:bookmarkStart w:id="4" w:name="__DdeLink__165_211782572111"/>
      <w:r>
        <w:rPr>
          <w:rFonts w:eastAsia="Calibri" w:ascii="Times New Roman" w:hAnsi="Times New Roman"/>
          <w:color w:val="000000"/>
          <w:sz w:val="24"/>
          <w:szCs w:val="24"/>
        </w:rPr>
        <w:t xml:space="preserve"> </w:t>
      </w:r>
      <w:bookmarkEnd w:id="4"/>
      <w:r>
        <w:rPr>
          <w:rFonts w:eastAsia="Calibri" w:ascii="Times New Roman" w:hAnsi="Times New Roman"/>
          <w:color w:val="000000"/>
          <w:sz w:val="24"/>
          <w:szCs w:val="24"/>
        </w:rPr>
        <w:t>b)</w:t>
      </w:r>
      <w:bookmarkEnd w:id="3"/>
      <w:r>
        <w:rPr>
          <w:rFonts w:eastAsia="Calibri" w:ascii="Times New Roman" w:hAnsi="Times New Roman"/>
          <w:color w:val="000000"/>
          <w:sz w:val="24"/>
          <w:szCs w:val="24"/>
        </w:rPr>
        <w:t xml:space="preserve"> V</w:t>
      </w:r>
      <w:r>
        <w:rPr>
          <w:rFonts w:ascii="Times New Roman" w:hAnsi="Times New Roman"/>
          <w:color w:val="000000"/>
        </w:rPr>
        <w:t>liv jednotlivých proměnných (osy X) na predikci výskytu. Hodnoty pro Bio1–Bio11 jsou v desetinách °C, proměnné Bio12–Bio19 v mm. Modelováno metodou MaxEnt na škále 30 zeměpisných stupňů).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Metoda BART vybrala jako nejleší prediktory  živnou rostlinu 12 bioklomatických proměnných s různým průběhem vlivu, nemapovaný biotop (opět negativní závislost), degradovaný travní porost, mezofilní louky a nadmořskou výšku.  AUC = 0.951, hodnota tresholdu = 0,336, TSS = 0,779, pravděpodobnost chyby typu I = 0,084 a chyby typu II = 0,136. Model a jeho j</w:t>
      </w:r>
      <w:r>
        <w:rPr>
          <w:rFonts w:ascii="Times New Roman" w:hAnsi="Times New Roman"/>
          <w:color w:val="000000"/>
        </w:rPr>
        <w:t xml:space="preserve">ednotlivé proměnné shrnuje </w:t>
      </w:r>
      <w:r>
        <w:rPr>
          <w:rFonts w:ascii="Times New Roman" w:hAnsi="Times New Roman"/>
          <w:b/>
          <w:bCs/>
          <w:color w:val="000000"/>
        </w:rPr>
        <w:t>Obr. 7.3</w:t>
      </w:r>
      <w:r>
        <w:rPr>
          <w:rFonts w:ascii="Times New Roman" w:hAnsi="Times New Roman"/>
          <w:b w:val="false"/>
          <w:bCs w:val="false"/>
          <w:color w:val="000000"/>
        </w:rPr>
        <w:t>.</w:t>
      </w:r>
      <w:r>
        <w:rPr>
          <w:rFonts w:eastAsia="Calibri" w:cs="" w:ascii="Times New Roman" w:hAnsi="Times New Roman" w:cstheme="minorHAnsi"/>
          <w:b w:val="false"/>
          <w:bCs w:val="false"/>
          <w:color w:val="000000"/>
          <w:shd w:fill="auto" w:val="clear"/>
        </w:rPr>
        <w:t>, proměnné jsou popsány v příloze I.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41275</wp:posOffset>
            </wp:positionH>
            <wp:positionV relativeFrom="paragraph">
              <wp:posOffset>-62865</wp:posOffset>
            </wp:positionV>
            <wp:extent cx="6078855" cy="63976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71" t="0" r="0" b="2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>Obr. 7.3.</w:t>
      </w:r>
      <w:r>
        <w:rPr>
          <w:rFonts w:eastAsia="Calibri" w:cs=""/>
          <w:b w:val="false"/>
          <w:bCs w:val="false"/>
          <w:color w:val="000000"/>
          <w:shd w:fill="auto" w:val="clear"/>
        </w:rPr>
        <w:t xml:space="preserve"> </w:t>
      </w:r>
      <w:bookmarkStart w:id="5" w:name="__DdeLink__362_3234248115"/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 xml:space="preserve">a) Parametry modelu potenciálního rozšíření </w:t>
      </w:r>
      <w:bookmarkEnd w:id="5"/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eastAsia="Calibri" w:cs=""/>
          <w:b w:val="false"/>
          <w:bCs w:val="false"/>
          <w:color w:val="000000"/>
          <w:shd w:fill="auto" w:val="clear"/>
        </w:rPr>
        <w:t xml:space="preserve">. </w:t>
      </w:r>
      <w:bookmarkStart w:id="6" w:name="__DdeLink__369_3234248115"/>
      <w:r>
        <w:rPr>
          <w:rFonts w:eastAsia="Calibri" w:cs=""/>
          <w:b w:val="false"/>
          <w:bCs w:val="false"/>
          <w:color w:val="000000"/>
          <w:shd w:fill="auto" w:val="clear"/>
        </w:rPr>
        <w:t>b</w:t>
      </w:r>
      <w:bookmarkStart w:id="7" w:name="__DdeLink__365_3234248115"/>
      <w:r>
        <w:rPr>
          <w:rFonts w:eastAsia="Calibri" w:cs=""/>
          <w:b w:val="false"/>
          <w:bCs w:val="false"/>
          <w:color w:val="000000"/>
          <w:shd w:fill="auto" w:val="clear"/>
        </w:rPr>
        <w:t xml:space="preserve">) </w:t>
      </w:r>
      <w:bookmarkStart w:id="8" w:name="__DdeLink__165_2117825721"/>
      <w:r>
        <w:rPr>
          <w:rFonts w:eastAsia="Calibri" w:cs=""/>
          <w:b w:val="false"/>
          <w:bCs w:val="false"/>
          <w:color w:val="000000"/>
          <w:shd w:fill="auto" w:val="clear"/>
        </w:rPr>
        <w:t xml:space="preserve">Relativní důležitost vybraných proměnných. </w:t>
      </w:r>
      <w:bookmarkEnd w:id="8"/>
      <w:r>
        <w:rPr>
          <w:rFonts w:eastAsia="Calibri" w:cs=""/>
          <w:b w:val="false"/>
          <w:bCs w:val="false"/>
          <w:color w:val="000000"/>
          <w:shd w:fill="auto" w:val="clear"/>
        </w:rPr>
        <w:t>c) Vliv jednotlivých proměnných (osy X) na predikci výskytu</w:t>
      </w:r>
      <w:bookmarkEnd w:id="6"/>
      <w:bookmarkEnd w:id="7"/>
      <w:r>
        <w:rPr>
          <w:rFonts w:eastAsia="Calibri" w:cs=""/>
          <w:b w:val="false"/>
          <w:bCs w:val="false"/>
          <w:color w:val="000000"/>
          <w:shd w:fill="auto" w:val="clear"/>
        </w:rPr>
        <w:t>. Hodnoty pro Bio1–Bio11 jsou v desetinách °C, proměnné Bio12–Bio19 v mm. Modelováno metodou BART na škále 30 zeměpisných sekund.</w:t>
      </w:r>
    </w:p>
    <w:p>
      <w:pPr>
        <w:pStyle w:val="Normal"/>
        <w:rPr/>
      </w:pPr>
      <w:r>
        <w:rPr>
          <w:rFonts w:cs="" w:ascii="Times New Roman" w:hAnsi="Times New Roman" w:cstheme="minorBidi"/>
          <w:shd w:fill="auto" w:val="clear"/>
          <w14:ligatures w14:val="standardContextual"/>
        </w:rPr>
        <w:t xml:space="preserve">Na škále 30 zeměpisných sekund oba algoritmy předpovídají větší výskyt především na JV Moravě, v severní části česko-moravského pomezí, a v jižních a severních Čechách </w:t>
      </w:r>
      <w:r>
        <w:rPr>
          <w:rFonts w:eastAsia="Calibri" w:cs="" w:ascii="Times New Roman" w:hAnsi="Times New Roman"/>
          <w:color w:val="000000"/>
          <w:shd w:fill="auto" w:val="clear"/>
        </w:rPr>
        <w:t>(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7.4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a,b</w:t>
      </w:r>
      <w:r>
        <w:rPr>
          <w:rFonts w:eastAsia="Calibri" w:cs="" w:ascii="Times New Roman" w:hAnsi="Times New Roman"/>
          <w:color w:val="000000"/>
          <w:shd w:fill="auto" w:val="clear"/>
        </w:rPr>
        <w:t>)</w:t>
      </w:r>
      <w:r>
        <w:rPr>
          <w:rFonts w:cs="" w:ascii="Times New Roman" w:hAnsi="Times New Roman" w:cstheme="minorBidi"/>
          <w:shd w:fill="auto" w:val="clear"/>
          <w14:ligatures w14:val="standardContextual"/>
        </w:rPr>
        <w:t>. Mezi oběma algoritmy je velká shoda v předpokládaném areálu výskytu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 (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7.4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c</w:t>
      </w:r>
      <w:r>
        <w:rPr>
          <w:rFonts w:eastAsia="Calibri" w:cs="" w:ascii="Times New Roman" w:hAnsi="Times New Roman"/>
          <w:color w:val="000000"/>
          <w:shd w:fill="auto" w:val="clear"/>
        </w:rPr>
        <w:t>).</w:t>
      </w:r>
      <w:r>
        <w:rPr>
          <w:rFonts w:cs="" w:ascii="Times New Roman" w:hAnsi="Times New Roman" w:cstheme="minorBidi"/>
          <w:shd w:fill="auto" w:val="clear"/>
          <w14:ligatures w14:val="standardContextu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44450</wp:posOffset>
            </wp:positionH>
            <wp:positionV relativeFrom="paragraph">
              <wp:posOffset>558800</wp:posOffset>
            </wp:positionV>
            <wp:extent cx="6120130" cy="5829300"/>
            <wp:effectExtent l="0" t="0" r="0" b="0"/>
            <wp:wrapTopAndBottom/>
            <wp:docPr id="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" w:ascii="Times New Roman" w:hAnsi="Times New Roman" w:cstheme="minorBidi"/>
          <w:shd w:fill="auto" w:val="clear"/>
          <w14:ligatures w14:val="standardContextual"/>
        </w:rPr>
        <w:t xml:space="preserve"> 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ascii="Times New Roman" w:hAnsi="Times New Roman"/>
          <w:b/>
          <w:bCs/>
          <w:color w:val="000000"/>
          <w:shd w:fill="auto" w:val="clear"/>
        </w:rPr>
        <w:t>Obr. 7.4</w:t>
      </w:r>
      <w:r>
        <w:rPr>
          <w:rFonts w:ascii="Times New Roman" w:hAnsi="Times New Roman"/>
          <w:b/>
          <w:bCs/>
          <w:color w:val="000000"/>
          <w:shd w:fill="auto" w:val="clear"/>
        </w:rPr>
        <w:t xml:space="preserve">. </w:t>
      </w:r>
      <w:r>
        <w:rPr>
          <w:rFonts w:ascii="Times New Roman" w:hAnsi="Times New Roman"/>
          <w:color w:val="000000"/>
          <w:shd w:fill="auto" w:val="clear"/>
        </w:rPr>
        <w:t xml:space="preserve">Potenciální rozšíření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na škále 30</w:t>
      </w:r>
      <w:r>
        <w:rPr>
          <w:rFonts w:ascii="Times New Roman" w:hAnsi="Times New Roman"/>
          <w:color w:val="000000"/>
          <w:shd w:fill="auto" w:val="clear"/>
        </w:rPr>
        <w:t xml:space="preserve"> zeměpisných sekund modelované a) metodou MaxEnt a b) BART. Odlišnost těchto dvou modelů (kolmá a vodorovná čára představují prahové hodnoty obou algoritmů).</w:t>
      </w:r>
    </w:p>
    <w:p>
      <w:pPr>
        <w:pStyle w:val="Normal"/>
        <w:rPr>
          <w:highlight w:val="yellow"/>
        </w:rPr>
      </w:pPr>
      <w:r>
        <w:rPr>
          <w:rFonts w:ascii="Times New Roman" w:hAnsi="Times New Roman"/>
          <w:color w:val="000000"/>
          <w:shd w:fill="auto" w:val="clear"/>
        </w:rPr>
        <w:t xml:space="preserve">Na škále 100x100 m a s přidanými DivLand prediktory. bylo vybráno algoritmem BART 18 různých proměnných. Parametry modelu a průběh jednotlivých proměnných shrnuje </w:t>
      </w:r>
      <w:r>
        <w:rPr>
          <w:rFonts w:ascii="Times New Roman" w:hAnsi="Times New Roman"/>
          <w:b/>
          <w:bCs/>
          <w:color w:val="000000"/>
          <w:shd w:fill="auto" w:val="clear"/>
        </w:rPr>
        <w:t>obr. 7.5</w:t>
      </w:r>
      <w:r>
        <w:rPr>
          <w:rFonts w:ascii="Times New Roman" w:hAnsi="Times New Roman"/>
          <w:color w:val="000000"/>
          <w:shd w:fill="auto" w:val="clear"/>
        </w:rPr>
        <w:t xml:space="preserve">.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proměnné jsou popsány v příloze I.</w:t>
      </w:r>
      <w:r>
        <w:rPr>
          <w:rFonts w:ascii="Times New Roman" w:hAnsi="Times New Roman"/>
          <w:color w:val="000000"/>
          <w:shd w:fill="auto" w:val="clear"/>
        </w:rPr>
        <w:t xml:space="preserve"> AUC = 0,965, hodnota tresholdu = 0,482, TSS = 0,810, pravděpodobnost chyby typu I = 0,094 a II = 0,096.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-635</wp:posOffset>
            </wp:positionH>
            <wp:positionV relativeFrom="paragraph">
              <wp:posOffset>-26035</wp:posOffset>
            </wp:positionV>
            <wp:extent cx="6120130" cy="632714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26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Times New Roman" w:hAnsi="Times New Roman"/>
          <w:b/>
          <w:bCs/>
          <w:color w:val="000000"/>
          <w:sz w:val="24"/>
          <w:szCs w:val="24"/>
          <w:shd w:fill="auto" w:val="clear"/>
        </w:rPr>
        <w:t>Obr. 7.5.</w:t>
      </w:r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 a) Parametry modelu potenciálního rozšíření</w:t>
      </w:r>
      <w:r>
        <w:rPr>
          <w:rFonts w:eastAsia="Calibri"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. </w:t>
      </w:r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>b</w:t>
      </w:r>
      <w:bookmarkStart w:id="9" w:name="__DdeLink__365_32342481151"/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) </w:t>
      </w:r>
      <w:bookmarkStart w:id="10" w:name="__DdeLink__165_21178257211"/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Relativní důležitost vybraných proměnných. </w:t>
      </w:r>
      <w:bookmarkEnd w:id="10"/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c)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Vliv jednotlivých proměnných (osy X) na predikci výskytu</w:t>
      </w:r>
      <w:bookmarkEnd w:id="9"/>
      <w:r>
        <w:rPr>
          <w:rFonts w:ascii="Times New Roman" w:hAnsi="Times New Roman"/>
          <w:color w:val="000000"/>
          <w:sz w:val="24"/>
          <w:szCs w:val="24"/>
          <w:shd w:fill="auto" w:val="clear"/>
        </w:rPr>
        <w:t>. Hodnoty pro Bio1–Bio11 jsou v desetinách °C, proměnné Bio12–Bio19 v mm. Modelováno metodou BART na škále 100 x100 m. s přidanými prediktory Div-land.</w:t>
      </w:r>
      <w:r>
        <w:br w:type="page"/>
      </w:r>
    </w:p>
    <w:p>
      <w:pPr>
        <w:pStyle w:val="Normal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Na této škále jsou pak opět vidět výrazné rozdíly v potenciálním výskytu druhu v predikovaných území. Obecný pattern je podobný. Viz</w:t>
      </w: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 xml:space="preserve"> Obr 7.6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.</w:t>
      </w:r>
    </w:p>
    <w:p>
      <w:pPr>
        <w:pStyle w:val="Normal"/>
        <w:rPr>
          <w:rFonts w:ascii="Times New Roman" w:hAnsi="Times New Roman"/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-20320</wp:posOffset>
            </wp:positionH>
            <wp:positionV relativeFrom="paragraph">
              <wp:posOffset>-12065</wp:posOffset>
            </wp:positionV>
            <wp:extent cx="3682365" cy="3369945"/>
            <wp:effectExtent l="0" t="0" r="0" b="0"/>
            <wp:wrapTopAndBottom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6724" r="2638" b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6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" w:ascii="Times New Roman" w:hAnsi="Times New Roman"/>
          <w:b/>
          <w:bCs/>
          <w:color w:val="000000"/>
          <w:sz w:val="24"/>
          <w:szCs w:val="24"/>
          <w:shd w:fill="auto" w:val="clear"/>
        </w:rPr>
        <w:t xml:space="preserve">Obr 7.6. </w:t>
      </w:r>
      <w:r>
        <w:rPr>
          <w:rFonts w:eastAsia="Calibri" w:cs="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Potenciální rozšíření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eastAsia="Calibri" w:cs="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.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modelované metodou BART na škále 100x100 m, s přidanými prediktory Div-land.</w:t>
      </w:r>
    </w:p>
    <w:p>
      <w:pPr>
        <w:pStyle w:val="Normal"/>
        <w:rPr/>
      </w:pPr>
      <w:r>
        <w:rPr>
          <w:rFonts w:ascii="Times New Roman" w:hAnsi="Times New Roman"/>
          <w:color w:val="000000"/>
          <w:shd w:fill="auto" w:val="clear"/>
        </w:rPr>
        <w:t xml:space="preserve">Modely vytvořené metodou BART se shodují v hlavních oblastech výskytu, </w:t>
      </w:r>
      <w:r>
        <w:rPr>
          <w:rFonts w:ascii="Times New Roman" w:hAnsi="Times New Roman"/>
          <w:color w:val="000000"/>
          <w:shd w:fill="auto" w:val="clear"/>
        </w:rPr>
        <w:t xml:space="preserve">model vtvořený metodou MaxEnt předpovídá nižší pravděpodobnost napříč celou ČR. </w:t>
      </w:r>
      <w:r>
        <w:rPr>
          <w:rFonts w:ascii="Times New Roman" w:hAnsi="Times New Roman"/>
          <w:b/>
          <w:bCs/>
          <w:color w:val="000000"/>
          <w:shd w:fill="auto" w:val="clear"/>
        </w:rPr>
        <w:t>Tabulka 7.1</w:t>
      </w:r>
      <w:r>
        <w:rPr>
          <w:rFonts w:ascii="Times New Roman" w:hAnsi="Times New Roman"/>
          <w:color w:val="000000"/>
          <w:shd w:fill="auto" w:val="clear"/>
        </w:rPr>
        <w:t xml:space="preserve"> shrnuje korelační koeficienty všech modelů, </w:t>
      </w:r>
      <w:r>
        <w:rPr>
          <w:rFonts w:ascii="Times New Roman" w:hAnsi="Times New Roman"/>
          <w:b/>
          <w:bCs/>
          <w:color w:val="000000"/>
          <w:shd w:fill="auto" w:val="clear"/>
        </w:rPr>
        <w:t xml:space="preserve">Obr. 7.7 </w:t>
      </w:r>
      <w:r>
        <w:rPr>
          <w:rFonts w:ascii="Times New Roman" w:hAnsi="Times New Roman"/>
          <w:color w:val="000000"/>
          <w:shd w:fill="auto" w:val="clear"/>
        </w:rPr>
        <w:t>ukazuje mapu s rozdíly pravděpodobností výskytu d</w:t>
      </w:r>
      <w:r>
        <w:rPr>
          <w:rFonts w:ascii="Times New Roman" w:hAnsi="Times New Roman"/>
          <w:color w:val="000000"/>
          <w:u w:val="none"/>
          <w:shd w:fill="auto" w:val="clear"/>
        </w:rPr>
        <w:t>vou nejvíce odlišných modelů.</w:t>
      </w:r>
    </w:p>
    <w:p>
      <w:pPr>
        <w:pStyle w:val="Normal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none"/>
          <w:shd w:fill="auto" w:val="clear"/>
        </w:rPr>
        <w:t xml:space="preserve">Tabulka 7.1.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Korelace modelů potenciálního rozšíření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. Korelační koeficienty vždy dvojice modelů. MaxEnt = model vytvořený metodou MaxEnt na škále 30 zeměpisných sekund,BART = model vytvořený metodou BART na škále 100 x100 m. s přidanými prediktory Div-land.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Model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BART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MaxEnt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60"/>
              <w:jc w:val="left"/>
              <w:rPr/>
            </w:pPr>
            <w:r>
              <w:rPr>
                <w:rFonts w:ascii="Times New Roman" w:hAnsi="Times New Roman"/>
                <w:color w:val="000000"/>
              </w:rPr>
              <w:t>BART - DivLand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>
                <w:shd w:fill="auto" w:val="clear"/>
              </w:rPr>
              <w:t>BART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-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0,84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0,51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>
                <w:shd w:fill="auto" w:val="clear"/>
              </w:rPr>
              <w:t>MaxEnt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0,84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-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0,64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60"/>
              <w:jc w:val="left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BART - DivLand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0,51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0,64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-</w:t>
            </w:r>
          </w:p>
        </w:tc>
      </w:tr>
    </w:tbl>
    <w:p>
      <w:pPr>
        <w:pStyle w:val="Normal"/>
        <w:rPr/>
      </w:pPr>
      <w:r>
        <w:br w:type="page"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-15875</wp:posOffset>
            </wp:positionH>
            <wp:positionV relativeFrom="paragraph">
              <wp:posOffset>57150</wp:posOffset>
            </wp:positionV>
            <wp:extent cx="6120130" cy="304101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8144" r="0" b="4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000000"/>
          <w:shd w:fill="auto" w:val="clear"/>
        </w:rPr>
        <w:t>Obr. 7.7.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Odlišnosti potenciálního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),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modelované metodou BART a MaxEnt na škále 30 zeměpisných sekund. Modrá = vyšší pravděpodobnost výskytu podle modelu vytvořeného meto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dou BART, Červená = vyšší pravděpodobnost výskytu podle modelu vytvořeného metodou BART s přidanými prediktory DivLand. </w:t>
      </w:r>
    </w:p>
    <w:p>
      <w:pPr>
        <w:pStyle w:val="Normal"/>
        <w:widowControl w:val="false"/>
        <w:rPr/>
      </w:pPr>
      <w:r>
        <w:rPr>
          <w:rFonts w:ascii="Times New Roman" w:hAnsi="Times New Roman"/>
          <w:color w:val="000000"/>
        </w:rPr>
        <w:t xml:space="preserve">Potenciálně vhodné lokality pro modráska </w:t>
      </w:r>
      <w:r>
        <w:rPr>
          <w:rFonts w:eastAsia="Noto Serif CJK SC" w:cs="Lohit Devanagari" w:ascii="Times New Roman" w:hAnsi="Times New Roman"/>
          <w:color w:val="000000"/>
          <w:kern w:val="2"/>
          <w:sz w:val="24"/>
          <w:szCs w:val="24"/>
          <w:lang w:val="cs-CZ" w:eastAsia="zh-CN" w:bidi="hi-IN"/>
        </w:rPr>
        <w:t>očkovaného</w:t>
      </w:r>
      <w:r>
        <w:rPr>
          <w:rFonts w:eastAsia="Calibri" w:ascii="Times New Roman" w:hAnsi="Times New Roman"/>
          <w:b w:val="false"/>
          <w:bCs w:val="false"/>
          <w:i w:val="false"/>
          <w:iCs w:val="false"/>
          <w:color w:val="000000"/>
          <w:shd w:fill="auto" w:val="clear"/>
        </w:rPr>
        <w:t xml:space="preserve"> na </w:t>
      </w:r>
      <w:r>
        <w:rPr>
          <w:rFonts w:ascii="Times New Roman" w:hAnsi="Times New Roman"/>
          <w:color w:val="000000"/>
        </w:rPr>
        <w:t xml:space="preserve">95% nejčastějších kategorií v KVES, s nejvíce záznamy shrnuje </w:t>
      </w:r>
      <w:r>
        <w:rPr>
          <w:rFonts w:ascii="Times New Roman" w:hAnsi="Times New Roman"/>
          <w:b/>
          <w:bCs/>
          <w:color w:val="000000"/>
        </w:rPr>
        <w:t>Tabulka 7.2</w:t>
      </w:r>
      <w:r>
        <w:rPr>
          <w:rFonts w:ascii="Times New Roman" w:hAnsi="Times New Roman"/>
          <w:color w:val="000000"/>
        </w:rPr>
        <w:t xml:space="preserve">. Ukázka potenciálně vhodných lokalit včetně pravděpodobnosti výskytu podle modelu BART - DivLand </w:t>
      </w:r>
      <w:r>
        <w:rPr>
          <w:rFonts w:ascii="Times New Roman" w:hAnsi="Times New Roman"/>
          <w:b/>
          <w:bCs/>
          <w:color w:val="000000"/>
        </w:rPr>
        <w:t>Obr. 7.8.</w:t>
      </w:r>
    </w:p>
    <w:tbl>
      <w:tblPr>
        <w:tblW w:w="544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30"/>
        <w:gridCol w:w="1190"/>
        <w:gridCol w:w="1020"/>
      </w:tblGrid>
      <w:tr>
        <w:trPr>
          <w:trHeight w:val="737" w:hRule="exact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KVES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počet záznamů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procent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Mezofilní louky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1168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0,51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Degradovaný travní porost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573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0,25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Aluviální a vlhké louky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99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0,04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Suché trávníky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85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0,04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Dopravní síť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55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0,02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Rozptýlená zeleň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49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0,02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Orná půda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32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Rašeliniště a prameniště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32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Mokřady a pobřežní vegetace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25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Nepůvodní křoviny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25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Hospodářské lesy smíšené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21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Souvislá zástavba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20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/>
                <w:b/>
                <w:bCs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Vodní toky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18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Lužní a mokřadní lesy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Nesouvislá zástavba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Přírodní křoviny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Ovocný sad, zahrada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12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Hospodářské lesy jehličnaté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11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Hospodářské lesy listnaté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6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Doubravy a dubohabřiny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5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737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Průmyslové a obchodní jednotky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4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737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Makrofytní vegetace stojatých vod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3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737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Městské zelené plochy, okrasná zahrada, park, hřbitov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2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Rašelinné lesy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2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Bučiny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Rybníky a nádrže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Skály, lomy (umělé)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Smrčiny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  <w:tr>
        <w:trPr>
          <w:trHeight w:val="369" w:hRule="exact"/>
        </w:trPr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Sportovní a rekreační plochy</w:t>
            </w:r>
          </w:p>
        </w:tc>
        <w:tc>
          <w:tcPr>
            <w:tcW w:w="1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1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hd w:fill="auto" w:val="clear"/>
              </w:rPr>
              <w:t>&lt;0,01</w:t>
            </w:r>
          </w:p>
        </w:tc>
      </w:tr>
    </w:tbl>
    <w:p>
      <w:pPr>
        <w:pStyle w:val="Normal"/>
        <w:widowControl w:val="false"/>
        <w:bidi w:val="0"/>
        <w:jc w:val="left"/>
        <w:rPr>
          <w:highlight w:val="yellow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>Tabulka 7.2.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Počet záznamů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 xml:space="preserve">) </w:t>
      </w:r>
      <w:r>
        <w:rPr>
          <w:rFonts w:eastAsia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použitých pro model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podle kategorií KVES. Tučně: proměnné použité pro výběr konkrétních lokalit.</w:t>
      </w:r>
    </w:p>
    <w:p>
      <w:pPr>
        <w:pStyle w:val="Obsahtabulky"/>
        <w:widowControl w:val="false"/>
        <w:suppressLineNumbers/>
        <w:bidi w:val="0"/>
        <w:spacing w:before="0" w:after="159"/>
        <w:jc w:val="left"/>
        <w:rPr/>
      </w:pPr>
      <w:r>
        <w:rPr/>
      </w:r>
    </w:p>
    <w:p>
      <w:pPr>
        <w:pStyle w:val="Obsahtabulky"/>
        <w:widowControl w:val="false"/>
        <w:suppressLineNumbers/>
        <w:bidi w:val="0"/>
        <w:spacing w:before="0" w:after="159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2190" cy="432879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452" b="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Times New Roman" w:hAnsi="Times New Roman"/>
          <w:b/>
          <w:bCs/>
          <w:color w:val="000000"/>
          <w:sz w:val="24"/>
          <w:szCs w:val="24"/>
          <w:shd w:fill="auto" w:val="clear"/>
        </w:rPr>
        <w:t>Obr. 7.8.</w:t>
      </w:r>
      <w:r>
        <w:rPr>
          <w:rFonts w:eastAsia="Calibri" w:cs="" w:ascii="Times New Roman" w:hAnsi="Times New Roman" w:cstheme="minorHAnsi"/>
          <w:b w:val="false"/>
          <w:bCs w:val="false"/>
          <w:color w:val="000000"/>
          <w:sz w:val="24"/>
          <w:szCs w:val="24"/>
          <w:shd w:fill="auto" w:val="clear"/>
        </w:rPr>
        <w:t xml:space="preserve"> Ukázka potenciálně vhodných lokalit pro výskyt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očkovaného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teleius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)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v závislosti na výskytu druhu (nahoře) a v místě nálezů po roce 2025 (které nevstoupily do modelu). Modelováno metodou BART na škále 100x100 m.</w:t>
      </w:r>
    </w:p>
    <w:p>
      <w:pPr>
        <w:pStyle w:val="Obsahtabulky"/>
        <w:widowControl w:val="false"/>
        <w:suppressLineNumbers/>
        <w:bidi w:val="0"/>
        <w:spacing w:before="0" w:after="159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159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cs-CZ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385</TotalTime>
  <Application>LibreOffice/7.3.7.2$Linux_X86_64 LibreOffice_project/30$Build-2</Application>
  <AppVersion>15.0000</AppVersion>
  <Pages>8</Pages>
  <Words>892</Words>
  <Characters>5223</Characters>
  <CharactersWithSpaces>6017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2026-10-16T15:13:04Z</dcterms:created>
  <dc:creator/>
  <dc:description/>
  <dc:language>cs-CZ</dc:language>
  <cp:lastModifiedBy/>
  <dcterms:modified xsi:type="dcterms:W3CDTF">2026-10-20T10:02:11Z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