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note</w:t>
      </w:r>
    </w:p>
    <w:p>
      <w:pPr>
        <w:pStyle w:val="Heading2"/>
      </w:pPr>
      <w:r>
        <w:t>HG ICC 26 7 - Zytglogge Praezisionsinstrumente AG v. Marchmont Dynamics Ltd</w:t>
      </w:r>
    </w:p>
    <w:p>
      <w:r>
        <w:t>Claim filed 10 March 2026 by Herrmann (Moser Herrmann) on behalf of Zytglogge Praezisionsinstrumente AG. Defence and counterclaim filed 29 June 2026 by Wenger (Wenger Clerc) on behalf of Marchmont Dynamics Ltd. Jurisdiction under Article 6 paragraph 4 letter c ZPO and the English-language basis under Article 129 paragraph 2 letter b ZPO are not contested by either side.</w:t>
      </w:r>
    </w:p>
    <w:p>
      <w:r>
        <w:t>Dispute concerns an ERP implementation ('Project Compass'). Claimant seeks restitution of GBP 336,000.00 and damages of GBP 158,500.00 following withdrawal from the Master Services Agreement; Respondent counterclaims GBP 92,100.00 for an unpaid invoice and disputes that it was in default.</w:t>
      </w:r>
    </w:p>
    <w:p>
      <w:r>
        <w:t>Note for the file: the Statement of Defence refers twice (Rz. 9 and the Evidence list) to an Exhibit R-10, described as the minutes of an emergency Steering Committee call of 28 November 2025. No document bearing that exhibit number is included in the exhibit bundle received from Wenger Clerc Attorneys at Law. The Registry should request confirmation from counsel as to whether Exhibit R-10 was omitted in error or is to be filed separately.</w:t>
      </w:r>
    </w:p>
    <w:p>
      <w:r>
        <w:t>Also for the file: the counterclaim figure pleaded in the Statement of Defence does not appear to match the Respondent's own invoice total shown in Exhibit R-3. This should be clarified at the first case-management hearing.</w:t>
      </w:r>
    </w:p>
    <w:p>
      <w:r>
        <w:t>Exhibit C-10 is in German; all other exhibits are in English. A certified translation has not been requested by either party to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