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Note interne</w:t>
      </w:r>
    </w:p>
    <w:p>
      <w:pPr>
        <w:pStyle w:val="Heading2"/>
      </w:pPr>
      <w:r>
        <w:t>Cause 1C_412/2026, Bettex et consorts c. Dubosson et consorts et Municipalité de Fontanivent</w:t>
      </w:r>
    </w:p>
    <w:p>
      <w:r>
        <w:t>Résumé : recours de trois voisins contre un arrêt de la CDAP confirmant un permis de construire pour deux villas jumelées avec pompes à chaleur extérieures. Quatre griefs : qualité pour recourir de M. Stucki ; violation du droit d'être entendu (note Hofstetter du 18 mars 2026 non communiquée) ; application arbitraire du RPGA sur la distance et la hauteur ; conformité des pompes à chaleur à l'OPB.</w:t>
      </w:r>
    </w:p>
    <w:p>
      <w:pPr>
        <w:pStyle w:val="Heading2"/>
      </w:pPr>
      <w:r>
        <w:t>Recevabilité</w:t>
      </w:r>
    </w:p>
    <w:p>
      <w:r>
        <w:t>Qualité pour recourir de M. Georges et Marianne Bettex non contestée. Celle de M. Stucki discutable (45 m, de l'autre côté de la route) ; la CDAP l'a laissée ouverte, ce que le Tribunal fédéral ne peut pas faire s'il entre en matière sur le fond.</w:t>
      </w:r>
    </w:p>
    <w:p>
      <w:pPr>
        <w:pStyle w:val="Heading2"/>
      </w:pPr>
      <w:r>
        <w:t>Points ouverts</w:t>
      </w:r>
    </w:p>
    <w:p>
      <w:r>
        <w:t>1. Le vice du droit d'être entendu paraît établi par l'arrêt attaqué lui-même (p. 2, let. H) : la note du 18 mars 2026 a été versée au dossier sans détermination des parties. À examiner si un renvoi partiel suffit ou si l'ensemble de l'arrêt doit être annulé.</w:t>
      </w:r>
    </w:p>
    <w:p>
      <w:r>
        <w:t>2. Les observations de l'OFEV relativisent la fiabilité du rapport acoustique Hofstetter (distance de 9,5 m contredite par le plan de situation, qui indique 8,0 m).</w:t>
      </w:r>
    </w:p>
    <w:p>
      <w:r>
        <w:t>3. La question de la hauteur (terrain naturel / terrain aménagé) soulève une question de fait (art. 97 LTF) que l'arrêt attaqué ne discute pas de manière satisfaisante.</w:t>
      </w:r>
    </w:p>
    <w:p>
      <w:pPr>
        <w:pStyle w:val="Heading2"/>
      </w:pPr>
      <w:r>
        <w:t>Options de décision</w:t>
      </w:r>
    </w:p>
    <w:p>
      <w:r>
        <w:t>a) Admission pour violation du droit d'être entendu, annulation et renvoi à la CDAP, qui devra aussi instruire à nouveau la question du bruit et de la hauteur.</w:t>
      </w:r>
    </w:p>
    <w:p>
      <w:r>
        <w:t>b) Rejet si la cour estime la note Hofstetter sans caractère déterminant et les constatations de fait de la CDAP soutenables.</w:t>
      </w:r>
    </w:p>
    <w:p>
      <w:pPr>
        <w:pStyle w:val="Heading2"/>
      </w:pPr>
      <w:r>
        <w:t>Prochaine étape</w:t>
      </w:r>
    </w:p>
    <w:p>
      <w:r>
        <w:t>Mettre la cause en délibération après réception de la réplique des recourants, reçue le 20 juillet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