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Interne Notiz (synthetisch)</w:t>
      </w:r>
    </w:p>
    <w:p>
      <w:r>
        <w:t>Verfahren HG.2026.112, Rheintal Präzision AG gegen Säntis Werkzeugmaschinen AG. Referentin: MLaw Corinne Scherrer, Gerichtsschreiberin.</w:t>
      </w:r>
    </w:p>
    <w:p>
      <w:pPr>
        <w:pStyle w:val="Heading2"/>
      </w:pPr>
      <w:r>
        <w:t>Kurzzusammenfassung</w:t>
      </w:r>
    </w:p>
    <w:p>
      <w:r>
        <w:t>Kauf einer 5-Achsen-CNC-Fräsmaschine (OMV Pentaxis 800) mit Montage. Die Klägerin verlangt Wandelung und Schadenersatz wegen einer die zugesicherte Toleranz der C-Achse übersteigenden Abweichung; die Beklagte bestreitet den Mangel, macht Bedienfehler und eine verspätete Rüge geltend und erhebt Widerklage auf Bezahlung der Schlussrate.</w:t>
      </w:r>
    </w:p>
    <w:p>
      <w:pPr>
        <w:pStyle w:val="Heading2"/>
      </w:pPr>
      <w:r>
        <w:t>Offene Fragen</w:t>
      </w:r>
    </w:p>
    <w:p>
      <w:r>
        <w:t>Wann hatte die Klägerin sichere Kenntnis davon, dass die Abweichung nicht auf eine Fehlbedienung zurückgeht - bereits mit der internen Notiz vom 10. September 2024 oder erst nach den erfolglosen Nachstellversuchen? Ist die Qualifikation als Kauf mit untergeordneter Montage oder als gemischter Vertrag mit Werkvertragselementen zutreffend? Belegt der Rapporto der Herstellerin (KB 12) eine ausschliessliche Werksursache oder eine Mitverursachung durch Bedienung?</w:t>
      </w:r>
    </w:p>
    <w:p>
      <w:pPr>
        <w:pStyle w:val="Heading2"/>
      </w:pPr>
      <w:r>
        <w:t>Nächster Schritt</w:t>
      </w:r>
    </w:p>
    <w:p>
      <w:r>
        <w:t>Instruktionsverhandlung ansetzen; Beweisauflage betreffend Zeitpunkt der sicheren Kenntnis und Ursache der Abweichung prüfen.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