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Instruktionsnotiz (synthetisch)</w:t>
      </w:r>
    </w:p>
    <w:p>
      <w:r>
        <w:t>Verfahren HG.2026.57. Referentin: lic. iur. Nora Steiner.</w:t>
      </w:r>
    </w:p>
    <w:p>
      <w:r>
        <w:t>Offene Fragen: Wann hatte die Klägerin sichere Kenntnis der Undichtigkeit? Liegt KB 4 tatsächlich vor?</w:t>
      </w:r>
    </w:p>
    <w:p>
      <w:r>
        <w:t>Nächster Schritt: Instruktionsverhandlung ansetzen.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