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Interne Notiz</w:t>
      </w:r>
    </w:p>
    <w:p>
      <w:pPr>
        <w:pStyle w:val="Heading2"/>
      </w:pPr>
      <w:r>
        <w:t>Verfahren HG260074-O - Caffè Distribuzione Sud SA gegen Montina Kaffeemaschinen AG</w:t>
      </w:r>
    </w:p>
    <w:p>
      <w:r>
        <w:t>Zusammenfassung: Streit um die fristlose Kündigung eines Alleinvertriebsvertrags für Kaffeemaschinen (Gebiet Tessin/Graubünden). Klägerin verlangt Schadenersatz für die Kündigungsfrist, eine Kundenentschädigung analog Art. 418u OR und die Rücknahme ihres Lagerbestands. Beklagte bestreitet und erhebt Widerklage für zwei unbezahlte Rechnungen.</w:t>
      </w:r>
    </w:p>
    <w:p>
      <w:pPr>
        <w:pStyle w:val="Heading2"/>
      </w:pPr>
      <w:r>
        <w:t>Streitpunkte</w:t>
      </w:r>
    </w:p>
    <w:p>
      <w:r>
        <w:t>1. War der Vertrieb von Maschinen der Marke Imola ein wichtiger Grund für die fristlose Kündigung, oder wurde dieser seit Mai 2024 toleriert? 2. Ist das Kündigungsrecht wegen zu langen Zuwartens zwischen Oktober und Dezember 2025 verwirkt? 3. Besteht Anspruch auf Kundenentschädigung analog Art. 418u OR? 4. Höhe des Lagerbestands (Rechendifferenz zwischen Klage und KB 8).</w:t>
      </w:r>
    </w:p>
    <w:p>
      <w:pPr>
        <w:pStyle w:val="Heading2"/>
      </w:pPr>
      <w:r>
        <w:t>Offene Fragen</w:t>
      </w:r>
    </w:p>
    <w:p>
      <w:r>
        <w:t>Die in der Klage als KB 5 bezeichnete Verkaufsstatistik 2021-2025 fehlt im Dossier; zu prüfen, ob dies im Rahmen der Instruktion nachgefordert werden muss. Der genaue Umfang der mündlichen Äusserung von Thomas Burkhard am Jahresgespräch 2024 ist strittig und nur durch eine private handschriftliche Notiz (KB 3) und einen WhatsApp-Verlauf (KB 7) belegt.</w:t>
      </w:r>
    </w:p>
    <w:p>
      <w:pPr>
        <w:pStyle w:val="Heading2"/>
      </w:pPr>
      <w:r>
        <w:t>Nächster Schritt</w:t>
      </w:r>
    </w:p>
    <w:p>
      <w:r>
        <w:t>Vorschlag: Instruktions- und Vergleichsverhandlung ansetzen; eventualiter Beweisverfügung zur Befragung von Nadja Frei und Flurin Caduff als Zeugen zum Ablauf des Jahresgesprächs vom 14. Mai 2024.</w:t>
      </w:r>
    </w:p>
    <w:p>
      <w:pPr>
        <w:pStyle w:val="Heading2"/>
      </w:pPr>
      <w:r>
        <w:t>Beteiligte Personen (Kurzreferenz)</w:t>
      </w:r>
    </w:p>
    <w:p>
      <w:r>
        <w:t>Klägerin: M. Conti (Geschäftsführer), Flurin Caduff. Beklagte: T. Burkhard (Geschäftsführer), Frau Frei, d.h. N. Frei (Verkaufsleiterin), Herr Huber (Aussendienst).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