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Note interne (synthétique)</w:t>
      </w:r>
    </w:p>
    <w:p>
      <w:pPr>
        <w:pStyle w:val="Heading2"/>
      </w:pPr>
      <w:r>
        <w:t>Dossier CPC n° PC.2026.0914 – Domaine des Tourelles SA / Fiduciaire Chamblandes SA</w:t>
      </w:r>
    </w:p>
    <w:p>
      <w:r>
        <w:t>Action en responsabilité de mandat (art. 394 ss, 398 CO) pour manquements dans la gestion de la TVA et des cotisations AVS, avec demande reconventionnelle en paiement d’honoraires. Valeur litigieuse CHF 104'874.80 ; reconvention CHF 11'674.80.</w:t>
      </w:r>
    </w:p>
    <w:p>
      <w:pPr>
        <w:pStyle w:val="Heading2"/>
      </w:pPr>
      <w:r>
        <w:t>Questions ouvertes</w:t>
      </w:r>
    </w:p>
    <w:p>
      <w:r>
        <w:t>Les administrateurs Cherix et Rey ont validé l’action en justice. Mercier, associé de la fiduciaire intimée, avait pourtant été averti à plusieurs reprises de la nécessité de recevoir les pièces à temps. Le rapport Bovier chiffre le dommage à plus de CHF 100'000.-. Le dossier Baudin (AVS) a été régularisé. Reste à instruire si Lavigne disposait de tous les éléments nécessaires pour agir plus tôt, et si la perte de la déduction de l’impôt préalable est réellement définitive au regard de l’art. 72 al. 1 LTVA.</w:t>
      </w:r>
    </w:p>
    <w:p>
      <w:pPr>
        <w:pStyle w:val="Heading2"/>
      </w:pPr>
      <w:r>
        <w:t>Prochaine étape procédurale</w:t>
      </w:r>
    </w:p>
    <w:p>
      <w:r>
        <w:t>Fixer une audience d’instruction (art. 226 CPC) en vue de clarifier les faits contestés relatifs à la remise des pièces comptables, notamment la date exacte de remise des documents douaniers du 3e trimestre 2024, et d’examiner les possibilités de conciliation judiciaire.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