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Nota interna</w:t>
      </w:r>
    </w:p>
    <w:p>
      <w:pPr>
        <w:pStyle w:val="Heading2"/>
      </w:pPr>
      <w:r>
        <w:t>Causa Lanfranchi c. Technoval Swiss AG - PD.2026.184</w:t>
      </w:r>
    </w:p>
    <w:p>
      <w:r>
        <w:t>Riassunto: l'Attore, già Responsabile vendite Svizzera italiana della Convenuta, lamenta una disdetta nulla, rispettivamente abusiva, intervenuta durante un periodo di malattia, oltre a pretese per lavoro straordinario e per il bonus 2024 non versato. La Convenuta contesta la conoscenza della malattia al momento della decisione di disdetta, nega il lavoro straordinario e qualifica il bonus come gratifica discrezionale.</w:t>
      </w:r>
    </w:p>
    <w:p>
      <w:pPr>
        <w:pStyle w:val="Heading2"/>
      </w:pPr>
      <w:r>
        <w:t>Questioni aperte</w:t>
      </w:r>
    </w:p>
    <w:p>
      <w:r>
        <w:t>1. Se l'incapacità lavorativa fosse nota alla Convenuta già il 7 gennaio 2025, prima della decisione di disdetta.</w:t>
      </w:r>
    </w:p>
    <w:p>
      <w:r>
        <w:t>2. L'entità delle ore di lavoro straordinario effettivamente prestate dall'Attore nel 2024.</w:t>
      </w:r>
    </w:p>
    <w:p>
      <w:r>
        <w:t>3. La natura, salariale o discrezionale, del bonus previsto dal regolamento provvigioni e bonus 2024.</w:t>
      </w:r>
    </w:p>
    <w:p>
      <w:pPr>
        <w:pStyle w:val="Heading2"/>
      </w:pPr>
      <w:r>
        <w:t>Prossima fase procedurale</w:t>
      </w:r>
    </w:p>
    <w:p>
      <w:r>
        <w:t>Fissazione dell'udienza istruttoria con interrogatorio delle parti e assunzione delle prove testimoniali (Vassalli, Baumgartner, Noseda). Da valutare l'opportunità di una perizia giudiziaria sul conteggio delle ore straordinarie.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