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8"/>
          <w:szCs w:val="48"/>
        </w:rPr>
        <w:t xml:space="preserve">Statuten</w:t>
      </w:r>
    </w:p>
    <w:p>
      <w:pPr>
        <w:spacing w:after="60"/>
      </w:pPr>
      <w:r>
        <w:rPr>
          <w:sz w:val="28"/>
          <w:szCs w:val="28"/>
        </w:rPr>
        <w:t xml:space="preserve">des Vereins Lerngesellschaft</w:t>
      </w:r>
    </w:p>
    <w:p>
      <w:pPr>
        <w:pBdr>
          <w:bottom w:val="single" w:color="111111" w:sz="6" w:space="8"/>
        </w:pBdr>
        <w:spacing w:after="360"/>
      </w:pPr>
      <w:r>
        <w:rPr>
          <w:color w:val="555555"/>
          <w:sz w:val="19"/>
          <w:szCs w:val="19"/>
        </w:rPr>
        <w:t xml:space="preserve">Münsterplatz 17, 4051 Basel</w:t>
      </w:r>
    </w:p>
    <w:p>
      <w:pPr>
        <w:keepNext/>
        <w:spacing w:after="120" w:before="400"/>
      </w:pPr>
      <w:r>
        <w:rPr>
          <w:b/>
          <w:bCs/>
          <w:sz w:val="24"/>
          <w:szCs w:val="24"/>
        </w:rPr>
        <w:t xml:space="preserve">I. Name, Sitz und Zweck</w:t>
      </w:r>
    </w:p>
    <w:p>
      <w:pPr>
        <w:keepNext/>
        <w:keepLines/>
        <w:spacing w:after="80" w:before="240"/>
      </w:pPr>
      <w:r>
        <w:rPr>
          <w:b/>
          <w:bCs/>
        </w:rPr>
        <w:t xml:space="preserve">Art. 1 Name und Sitz</w:t>
      </w:r>
    </w:p>
    <w:p>
      <w:pPr>
        <w:tabs>
          <w:tab w:val="left" w:pos="567"/>
        </w:tabs>
        <w:spacing w:after="100" w:line="276" w:lineRule="auto"/>
        <w:ind w:left="567" w:hanging="567"/>
        <w:jc w:val="both"/>
      </w:pPr>
      <w:r>
        <w:rPr>
          <w:b/>
          <w:bCs/>
        </w:rPr>
        <w:t xml:space="preserve">1</w:t>
      </w:r>
      <w:r>
        <w:t xml:space="preserve">	Unter dem Namen «Lerngesellschaft» (englisch «Learning Society») besteht ein Verein im Sinne von Art. 60 ff. ZGB mit Sitz in Basel.</w:t>
      </w:r>
    </w:p>
    <w:p>
      <w:pPr>
        <w:tabs>
          <w:tab w:val="left" w:pos="567"/>
        </w:tabs>
        <w:spacing w:after="100" w:line="276" w:lineRule="auto"/>
        <w:ind w:left="567" w:hanging="567"/>
        <w:jc w:val="both"/>
      </w:pPr>
      <w:r>
        <w:rPr>
          <w:b/>
          <w:bCs/>
        </w:rPr>
        <w:t xml:space="preserve">2</w:t>
      </w:r>
      <w:r>
        <w:t xml:space="preserve">	Der Verein ist politisch unabhängig und konfessionell neutral.</w:t>
      </w:r>
    </w:p>
    <w:p>
      <w:pPr>
        <w:keepNext/>
        <w:keepLines/>
        <w:spacing w:after="80" w:before="240"/>
      </w:pPr>
      <w:r>
        <w:rPr>
          <w:b/>
          <w:bCs/>
        </w:rPr>
        <w:t xml:space="preserve">Art. 2 Zweck</w:t>
      </w:r>
    </w:p>
    <w:p>
      <w:pPr>
        <w:tabs>
          <w:tab w:val="left" w:pos="567"/>
        </w:tabs>
        <w:spacing w:after="100" w:line="276" w:lineRule="auto"/>
        <w:ind w:left="567" w:hanging="567"/>
        <w:jc w:val="both"/>
      </w:pPr>
      <w:r>
        <w:rPr>
          <w:b/>
          <w:bCs/>
        </w:rPr>
        <w:t xml:space="preserve">1</w:t>
      </w:r>
      <w:r>
        <w:t xml:space="preserve">	Der Verein bezweckt, Kinder und Jugendliche für das Lernen und Forschen zu begeistern und ihre Bildung zu fördern, namentlich</w:t>
      </w:r>
    </w:p>
    <w:p>
      <w:pPr>
        <w:tabs>
          <w:tab w:val="left" w:pos="1134"/>
        </w:tabs>
        <w:spacing w:after="60" w:line="276" w:lineRule="auto"/>
        <w:ind w:left="1134" w:hanging="567"/>
        <w:jc w:val="both"/>
      </w:pPr>
      <w:r>
        <w:t xml:space="preserve">a)</w:t>
      </w:r>
      <w:r>
        <w:t xml:space="preserve">	die Lernförderung und die frühe Förderung von Kindern im Kindergarten und in der Unterstufe der Primarschule;</w:t>
      </w:r>
    </w:p>
    <w:p>
      <w:pPr>
        <w:tabs>
          <w:tab w:val="left" w:pos="1134"/>
        </w:tabs>
        <w:spacing w:after="60" w:line="276" w:lineRule="auto"/>
        <w:ind w:left="1134" w:hanging="567"/>
        <w:jc w:val="both"/>
      </w:pPr>
      <w:r>
        <w:t xml:space="preserve">b)</w:t>
      </w:r>
      <w:r>
        <w:t xml:space="preserve">	die Lese- und Sprachförderung;</w:t>
      </w:r>
    </w:p>
    <w:p>
      <w:pPr>
        <w:tabs>
          <w:tab w:val="left" w:pos="1134"/>
        </w:tabs>
        <w:spacing w:after="60" w:line="276" w:lineRule="auto"/>
        <w:ind w:left="1134" w:hanging="567"/>
        <w:jc w:val="both"/>
      </w:pPr>
      <w:r>
        <w:t xml:space="preserve">c)</w:t>
      </w:r>
      <w:r>
        <w:t xml:space="preserve">	die naturwissenschaftliche Bildung im Sinne eines forschend-entdeckenden Lernens;</w:t>
      </w:r>
    </w:p>
    <w:p>
      <w:pPr>
        <w:tabs>
          <w:tab w:val="left" w:pos="1134"/>
        </w:tabs>
        <w:spacing w:after="60" w:line="276" w:lineRule="auto"/>
        <w:ind w:left="1134" w:hanging="567"/>
        <w:jc w:val="both"/>
      </w:pPr>
      <w:r>
        <w:t xml:space="preserve">d)</w:t>
      </w:r>
      <w:r>
        <w:t xml:space="preserve">	die sozial-emotionale Bildung;</w:t>
      </w:r>
    </w:p>
    <w:p>
      <w:pPr>
        <w:tabs>
          <w:tab w:val="left" w:pos="1134"/>
        </w:tabs>
        <w:spacing w:after="60" w:line="276" w:lineRule="auto"/>
        <w:ind w:left="1134" w:hanging="567"/>
        <w:jc w:val="both"/>
      </w:pPr>
      <w:r>
        <w:t xml:space="preserve">e)</w:t>
      </w:r>
      <w:r>
        <w:t xml:space="preserve">	das Erkennen und Entfalten der unterschiedlichen Begabungen und Talente, stets mit Blick auf eine breite Wirkung im Allgemeininteresse.</w:t>
      </w:r>
    </w:p>
    <w:p>
      <w:pPr>
        <w:tabs>
          <w:tab w:val="left" w:pos="567"/>
        </w:tabs>
        <w:spacing w:after="100" w:line="276" w:lineRule="auto"/>
        <w:ind w:left="567" w:hanging="567"/>
        <w:jc w:val="both"/>
      </w:pPr>
      <w:r>
        <w:rPr>
          <w:b/>
          <w:bCs/>
        </w:rPr>
        <w:t xml:space="preserve">2</w:t>
      </w:r>
      <w:r>
        <w:t xml:space="preserve">	Der Verein ist ausschliesslich gemeinnützig tätig. Er verfolgt keine Erwerbs- oder Selbsthilfezwecke und erstrebt keinen Gewinn.</w:t>
      </w:r>
    </w:p>
    <w:p>
      <w:pPr>
        <w:keepNext/>
        <w:keepLines/>
        <w:spacing w:after="80" w:before="240"/>
      </w:pPr>
      <w:r>
        <w:rPr>
          <w:b/>
          <w:bCs/>
        </w:rPr>
        <w:t xml:space="preserve">Art. 3 Tätigkeit und Adressatenkreis</w:t>
      </w:r>
    </w:p>
    <w:p>
      <w:pPr>
        <w:tabs>
          <w:tab w:val="left" w:pos="567"/>
        </w:tabs>
        <w:spacing w:after="100" w:line="276" w:lineRule="auto"/>
        <w:ind w:left="567" w:hanging="567"/>
        <w:jc w:val="both"/>
      </w:pPr>
      <w:r>
        <w:rPr>
          <w:b/>
          <w:bCs/>
        </w:rPr>
        <w:t xml:space="preserve">1</w:t>
      </w:r>
      <w:r>
        <w:t xml:space="preserve">	Der Verein verwirklicht seinen Zweck insbesondere durch Förder-, Lern- und Bildungsangebote für Kinder und Jugendliche, öffentliche und allgemein zugängliche Wissenschafts- und Lernveranstaltungen, die Aus- und Weiterbildung von Lernbegleitenden und Freiwilligen, die Entwicklung frei zugänglicher Lernmaterialien, die Zusammenarbeit mit Schulen und anderen gemeinnützigen Bildungsinstitutionen sowie die Information der Öffentlichkeit über frühe Bildung und gleiche Bildungschancen.</w:t>
      </w:r>
    </w:p>
    <w:p>
      <w:pPr>
        <w:tabs>
          <w:tab w:val="left" w:pos="567"/>
        </w:tabs>
        <w:spacing w:after="100" w:line="276" w:lineRule="auto"/>
        <w:ind w:left="567" w:hanging="567"/>
        <w:jc w:val="both"/>
      </w:pPr>
      <w:r>
        <w:rPr>
          <w:b/>
          <w:bCs/>
        </w:rPr>
        <w:t xml:space="preserve">2</w:t>
      </w:r>
      <w:r>
        <w:t xml:space="preserve">	Er kann Personal anstellen und sich an anderen gemeinnützigen, steuerbefreiten Institutionen mit gleicher oder ähnlicher Zwecksetzung beteiligen.</w:t>
      </w:r>
    </w:p>
    <w:p>
      <w:pPr>
        <w:tabs>
          <w:tab w:val="left" w:pos="567"/>
        </w:tabs>
        <w:spacing w:after="100" w:line="276" w:lineRule="auto"/>
        <w:ind w:left="567" w:hanging="567"/>
        <w:jc w:val="both"/>
      </w:pPr>
      <w:r>
        <w:rPr>
          <w:b/>
          <w:bCs/>
        </w:rPr>
        <w:t xml:space="preserve">3</w:t>
      </w:r>
      <w:r>
        <w:t xml:space="preserve">	Die Angebote stehen allen Kindern und Jugendlichen offen, unabhängig von Herkunft, sozialer Lage, Religion und Vorbildung. Eine Bevorzugung von Mitgliedern oder ihnen nahestehenden Personen ist ausgeschlossen.</w:t>
      </w:r>
    </w:p>
    <w:p>
      <w:pPr>
        <w:tabs>
          <w:tab w:val="left" w:pos="567"/>
        </w:tabs>
        <w:spacing w:after="100" w:line="276" w:lineRule="auto"/>
        <w:ind w:left="567" w:hanging="567"/>
        <w:jc w:val="both"/>
      </w:pPr>
      <w:r>
        <w:rPr>
          <w:b/>
          <w:bCs/>
        </w:rPr>
        <w:t xml:space="preserve">4</w:t>
      </w:r>
      <w:r>
        <w:t xml:space="preserve">	Soweit der Verein für seine Angebote Beiträge erhebt, sind diese nach der wirtschaftlichen Leistungsfähigkeit abgestuft und decken die Kosten der Angebote insgesamt nicht. Ermässigungen und Freiplätze stellen sicher, dass kein Kind aus finanziellen Gründen ausgeschlossen wird.</w:t>
      </w:r>
    </w:p>
    <w:p>
      <w:pPr>
        <w:keepNext/>
        <w:keepLines/>
        <w:spacing w:after="80" w:before="240"/>
      </w:pPr>
      <w:r>
        <w:rPr>
          <w:b/>
          <w:bCs/>
        </w:rPr>
        <w:t xml:space="preserve">Art. 4 Mittel, Haftung und Geschäftsjahr</w:t>
      </w:r>
    </w:p>
    <w:p>
      <w:pPr>
        <w:tabs>
          <w:tab w:val="left" w:pos="567"/>
        </w:tabs>
        <w:spacing w:after="100" w:line="276" w:lineRule="auto"/>
        <w:ind w:left="567" w:hanging="567"/>
        <w:jc w:val="both"/>
      </w:pPr>
      <w:r>
        <w:rPr>
          <w:b/>
          <w:bCs/>
        </w:rPr>
        <w:t xml:space="preserve">1</w:t>
      </w:r>
      <w:r>
        <w:t xml:space="preserve">	Die Mittel des Vereins bestehen aus Mitgliederbeiträgen, Spenden und Zuwendungen aller Art, Erbschaften und Vermächtnissen, Beiträgen der öffentlichen Hand und privater Förderer, Erträgen des Vereinsvermögens sowie Beiträgen für Angebote und Veranstaltungen.</w:t>
      </w:r>
    </w:p>
    <w:p>
      <w:pPr>
        <w:tabs>
          <w:tab w:val="left" w:pos="567"/>
        </w:tabs>
        <w:spacing w:after="100" w:line="276" w:lineRule="auto"/>
        <w:ind w:left="567" w:hanging="567"/>
        <w:jc w:val="both"/>
      </w:pPr>
      <w:r>
        <w:rPr>
          <w:b/>
          <w:bCs/>
        </w:rPr>
        <w:t xml:space="preserve">2</w:t>
      </w:r>
      <w:r>
        <w:t xml:space="preserve">	Sämtliche Mittel sind ausschliesslich und unwiderruflich dem Vereinszweck gewidmet. Eine Erwerbstätigkeit ist nur als untergeordnetes Mittel zur Verwirklichung des Zwecks zulässig; Überschüsse werden vollumfänglich dem Vereinszweck zugeführt.</w:t>
      </w:r>
    </w:p>
    <w:p>
      <w:pPr>
        <w:tabs>
          <w:tab w:val="left" w:pos="567"/>
        </w:tabs>
        <w:spacing w:after="100" w:line="276" w:lineRule="auto"/>
        <w:ind w:left="567" w:hanging="567"/>
        <w:jc w:val="both"/>
      </w:pPr>
      <w:r>
        <w:rPr>
          <w:b/>
          <w:bCs/>
        </w:rPr>
        <w:t xml:space="preserve">3</w:t>
      </w:r>
      <w:r>
        <w:t xml:space="preserve">	Den Mitgliedern stehen keine Anteile am Vereinsvermögen zu, auch nicht bei Austritt, Ausschluss oder Auflösung. Jede Ausschüttung von Gewinnen oder Vermögensteilen an Mitglieder oder Organmitglieder ist ausgeschlossen.</w:t>
      </w:r>
    </w:p>
    <w:p>
      <w:pPr>
        <w:tabs>
          <w:tab w:val="left" w:pos="567"/>
        </w:tabs>
        <w:spacing w:after="100" w:line="276" w:lineRule="auto"/>
        <w:ind w:left="567" w:hanging="567"/>
        <w:jc w:val="both"/>
      </w:pPr>
      <w:r>
        <w:rPr>
          <w:b/>
          <w:bCs/>
        </w:rPr>
        <w:t xml:space="preserve">4</w:t>
      </w:r>
      <w:r>
        <w:t xml:space="preserve">	Für die Verbindlichkeiten des Vereins haftet ausschliesslich das Vereinsvermögen. Eine persönliche Haftung der Mitglieder ist ausgeschlossen.</w:t>
      </w:r>
    </w:p>
    <w:p>
      <w:pPr>
        <w:tabs>
          <w:tab w:val="left" w:pos="567"/>
        </w:tabs>
        <w:spacing w:after="100" w:line="276" w:lineRule="auto"/>
        <w:ind w:left="567" w:hanging="567"/>
        <w:jc w:val="both"/>
      </w:pPr>
      <w:r>
        <w:rPr>
          <w:b/>
          <w:bCs/>
        </w:rPr>
        <w:t xml:space="preserve">5</w:t>
      </w:r>
      <w:r>
        <w:t xml:space="preserve">	Das Geschäftsjahr entspricht dem Kalenderjahr.</w:t>
      </w:r>
    </w:p>
    <w:p>
      <w:pPr>
        <w:keepNext/>
        <w:spacing w:after="120" w:before="400"/>
      </w:pPr>
      <w:r>
        <w:rPr>
          <w:b/>
          <w:bCs/>
          <w:sz w:val="24"/>
          <w:szCs w:val="24"/>
        </w:rPr>
        <w:t xml:space="preserve">II. Mitgliedschaft</w:t>
      </w:r>
    </w:p>
    <w:p>
      <w:pPr>
        <w:keepNext/>
        <w:keepLines/>
        <w:spacing w:after="80" w:before="240"/>
      </w:pPr>
      <w:r>
        <w:rPr>
          <w:b/>
          <w:bCs/>
        </w:rPr>
        <w:t xml:space="preserve">Art. 5 Mitglieder und Beiträge</w:t>
      </w:r>
    </w:p>
    <w:p>
      <w:pPr>
        <w:tabs>
          <w:tab w:val="left" w:pos="567"/>
        </w:tabs>
        <w:spacing w:after="100" w:line="276" w:lineRule="auto"/>
        <w:ind w:left="567" w:hanging="567"/>
        <w:jc w:val="both"/>
      </w:pPr>
      <w:r>
        <w:rPr>
          <w:b/>
          <w:bCs/>
        </w:rPr>
        <w:t xml:space="preserve">1</w:t>
      </w:r>
      <w:r>
        <w:t xml:space="preserve">	Mitglied können natürliche und juristische Personen werden, die den Zweck des Vereins unterstützen. Über die Aufnahme entscheidet der Vorstand; eine Ablehnung muss er nicht begründen.</w:t>
      </w:r>
    </w:p>
    <w:p>
      <w:pPr>
        <w:tabs>
          <w:tab w:val="left" w:pos="567"/>
        </w:tabs>
        <w:spacing w:after="100" w:line="276" w:lineRule="auto"/>
        <w:ind w:left="567" w:hanging="567"/>
        <w:jc w:val="both"/>
      </w:pPr>
      <w:r>
        <w:rPr>
          <w:b/>
          <w:bCs/>
        </w:rPr>
        <w:t xml:space="preserve">2</w:t>
      </w:r>
      <w:r>
        <w:t xml:space="preserve">	Alle Mitglieder haben das gleiche Stimmrecht. Juristische Personen bezeichnen eine natürliche Person, die sie in der Mitgliederversammlung vertritt.</w:t>
      </w:r>
    </w:p>
    <w:p>
      <w:pPr>
        <w:tabs>
          <w:tab w:val="left" w:pos="567"/>
        </w:tabs>
        <w:spacing w:after="100" w:line="276" w:lineRule="auto"/>
        <w:ind w:left="567" w:hanging="567"/>
        <w:jc w:val="both"/>
      </w:pPr>
      <w:r>
        <w:rPr>
          <w:b/>
          <w:bCs/>
        </w:rPr>
        <w:t xml:space="preserve">3</w:t>
      </w:r>
      <w:r>
        <w:t xml:space="preserve">	Die Mitglieder leisten einen Jahresbeitrag, dessen Höhe die Mitgliederversammlung festsetzt. Sie kann für natürliche und juristische Personen unterschiedliche Ansätze vorsehen. Der Vorstand kann den Beitrag in Härtefällen ermässigen oder erlassen.</w:t>
      </w:r>
    </w:p>
    <w:p>
      <w:pPr>
        <w:keepNext/>
        <w:keepLines/>
        <w:spacing w:after="80" w:before="240"/>
      </w:pPr>
      <w:r>
        <w:rPr>
          <w:b/>
          <w:bCs/>
        </w:rPr>
        <w:t xml:space="preserve">Art. 6 Erlöschen der Mitgliedschaft</w:t>
      </w:r>
    </w:p>
    <w:p>
      <w:pPr>
        <w:tabs>
          <w:tab w:val="left" w:pos="567"/>
        </w:tabs>
        <w:spacing w:after="100" w:line="276" w:lineRule="auto"/>
        <w:ind w:left="567" w:hanging="567"/>
        <w:jc w:val="both"/>
      </w:pPr>
      <w:r>
        <w:rPr>
          <w:b/>
          <w:bCs/>
        </w:rPr>
        <w:t xml:space="preserve">1</w:t>
      </w:r>
      <w:r>
        <w:t xml:space="preserve">	Die Mitgliedschaft erlischt durch Austritt, Ausschluss, Streichung, Tod oder Auflösung der juristischen Person.</w:t>
      </w:r>
    </w:p>
    <w:p>
      <w:pPr>
        <w:tabs>
          <w:tab w:val="left" w:pos="567"/>
        </w:tabs>
        <w:spacing w:after="100" w:line="276" w:lineRule="auto"/>
        <w:ind w:left="567" w:hanging="567"/>
        <w:jc w:val="both"/>
      </w:pPr>
      <w:r>
        <w:rPr>
          <w:b/>
          <w:bCs/>
        </w:rPr>
        <w:t xml:space="preserve">2</w:t>
      </w:r>
      <w:r>
        <w:t xml:space="preserve">	Der Austritt ist dem Vorstand schriftlich unter Einhaltung einer Frist von drei Monaten auf das Ende eines Geschäftsjahres zu erklären.</w:t>
      </w:r>
    </w:p>
    <w:p>
      <w:pPr>
        <w:tabs>
          <w:tab w:val="left" w:pos="567"/>
        </w:tabs>
        <w:spacing w:after="100" w:line="276" w:lineRule="auto"/>
        <w:ind w:left="567" w:hanging="567"/>
        <w:jc w:val="both"/>
      </w:pPr>
      <w:r>
        <w:rPr>
          <w:b/>
          <w:bCs/>
        </w:rPr>
        <w:t xml:space="preserve">3</w:t>
      </w:r>
      <w:r>
        <w:t xml:space="preserve">	Der Vorstand kann ein Mitglied ohne Angabe von Gründen ausschliessen. Das Mitglied kann den Ausschluss innert 30 Tagen schriftlich an die Mitgliederversammlung weiterziehen; diese entscheidet endgültig.</w:t>
      </w:r>
    </w:p>
    <w:p>
      <w:pPr>
        <w:tabs>
          <w:tab w:val="left" w:pos="567"/>
        </w:tabs>
        <w:spacing w:after="100" w:line="276" w:lineRule="auto"/>
        <w:ind w:left="567" w:hanging="567"/>
        <w:jc w:val="both"/>
      </w:pPr>
      <w:r>
        <w:rPr>
          <w:b/>
          <w:bCs/>
        </w:rPr>
        <w:t xml:space="preserve">4</w:t>
      </w:r>
      <w:r>
        <w:t xml:space="preserve">	Ein Mitglied, das den Jahresbeitrag trotz schriftlicher Mahnung nicht bezahlt, kann der Vorstand aus dem Mitgliederverzeichnis streichen.</w:t>
      </w:r>
    </w:p>
    <w:p>
      <w:pPr>
        <w:keepNext/>
        <w:spacing w:after="120" w:before="400"/>
      </w:pPr>
      <w:r>
        <w:rPr>
          <w:b/>
          <w:bCs/>
          <w:sz w:val="24"/>
          <w:szCs w:val="24"/>
        </w:rPr>
        <w:t xml:space="preserve">III. Organisation</w:t>
      </w:r>
    </w:p>
    <w:p>
      <w:pPr>
        <w:keepNext/>
        <w:keepLines/>
        <w:spacing w:after="80" w:before="240"/>
      </w:pPr>
      <w:r>
        <w:rPr>
          <w:b/>
          <w:bCs/>
        </w:rPr>
        <w:t xml:space="preserve">Art. 7 Organe</w:t>
      </w:r>
    </w:p>
    <w:p>
      <w:pPr>
        <w:keepNext w:val="false"/>
        <w:spacing w:after="100" w:line="276" w:lineRule="auto"/>
        <w:ind w:left="567"/>
        <w:jc w:val="both"/>
      </w:pPr>
      <w:r>
        <w:t xml:space="preserve">Die Organe des Vereins sind die Mitgliederversammlung, der Vorstand und die Revisionsstelle.</w:t>
      </w:r>
    </w:p>
    <w:p>
      <w:pPr>
        <w:keepNext/>
        <w:keepLines/>
        <w:spacing w:after="80" w:before="240"/>
      </w:pPr>
      <w:r>
        <w:rPr>
          <w:b/>
          <w:bCs/>
        </w:rPr>
        <w:t xml:space="preserve">Art. 8 Mitgliederversammlung</w:t>
      </w:r>
    </w:p>
    <w:p>
      <w:pPr>
        <w:tabs>
          <w:tab w:val="left" w:pos="567"/>
        </w:tabs>
        <w:spacing w:after="100" w:line="276" w:lineRule="auto"/>
        <w:ind w:left="567" w:hanging="567"/>
        <w:jc w:val="both"/>
      </w:pPr>
      <w:r>
        <w:rPr>
          <w:b/>
          <w:bCs/>
        </w:rPr>
        <w:t xml:space="preserve">1</w:t>
      </w:r>
      <w:r>
        <w:t xml:space="preserve">	Die Mitgliederversammlung ist das oberste Organ des Vereins. Die ordentliche Mitgliederversammlung findet jährlich innert sechs Monaten nach Abschluss des Geschäftsjahres statt. Eine ausserordentliche Mitgliederversammlung findet statt, wenn der Vorstand oder die Revisionsstelle es für nötig hält oder wenn ein Fünftel der Mitglieder es unter Angabe der Verhandlungsgegenstände verlangt.</w:t>
      </w:r>
    </w:p>
    <w:p>
      <w:pPr>
        <w:tabs>
          <w:tab w:val="left" w:pos="567"/>
        </w:tabs>
        <w:spacing w:after="100" w:line="276" w:lineRule="auto"/>
        <w:ind w:left="567" w:hanging="567"/>
        <w:jc w:val="both"/>
      </w:pPr>
      <w:r>
        <w:rPr>
          <w:b/>
          <w:bCs/>
        </w:rPr>
        <w:t xml:space="preserve">2</w:t>
      </w:r>
      <w:r>
        <w:t xml:space="preserve">	Der Vorstand lädt die Mitglieder mindestens 20 Tage im Voraus schriftlich, gültig auch per E-Mail, unter Angabe der Verhandlungsgegenstände ein. Anträge von Mitgliedern sind dem Vorstand mindestens 30 Tage vor der ordentlichen Mitgliederversammlung schriftlich einzureichen.</w:t>
      </w:r>
    </w:p>
    <w:p>
      <w:pPr>
        <w:tabs>
          <w:tab w:val="left" w:pos="567"/>
        </w:tabs>
        <w:spacing w:after="100" w:line="276" w:lineRule="auto"/>
        <w:ind w:left="567" w:hanging="567"/>
        <w:jc w:val="both"/>
      </w:pPr>
      <w:r>
        <w:rPr>
          <w:b/>
          <w:bCs/>
        </w:rPr>
        <w:t xml:space="preserve">3</w:t>
      </w:r>
      <w:r>
        <w:t xml:space="preserve">	Die Mitgliederversammlung hat folgende unübertragbare Befugnisse:</w:t>
      </w:r>
    </w:p>
    <w:p>
      <w:pPr>
        <w:tabs>
          <w:tab w:val="left" w:pos="1134"/>
        </w:tabs>
        <w:spacing w:after="60" w:line="276" w:lineRule="auto"/>
        <w:ind w:left="1134" w:hanging="567"/>
        <w:jc w:val="both"/>
      </w:pPr>
      <w:r>
        <w:t xml:space="preserve">a)</w:t>
      </w:r>
      <w:r>
        <w:t xml:space="preserve">	Genehmigung des Protokolls der letzten Versammlung;</w:t>
      </w:r>
    </w:p>
    <w:p>
      <w:pPr>
        <w:tabs>
          <w:tab w:val="left" w:pos="1134"/>
        </w:tabs>
        <w:spacing w:after="60" w:line="276" w:lineRule="auto"/>
        <w:ind w:left="1134" w:hanging="567"/>
        <w:jc w:val="both"/>
      </w:pPr>
      <w:r>
        <w:t xml:space="preserve">b)</w:t>
      </w:r>
      <w:r>
        <w:t xml:space="preserve">	Genehmigung von Jahresbericht und Jahresrechnung nach Entgegennahme des Revisionsberichts;</w:t>
      </w:r>
    </w:p>
    <w:p>
      <w:pPr>
        <w:tabs>
          <w:tab w:val="left" w:pos="1134"/>
        </w:tabs>
        <w:spacing w:after="60" w:line="276" w:lineRule="auto"/>
        <w:ind w:left="1134" w:hanging="567"/>
        <w:jc w:val="both"/>
      </w:pPr>
      <w:r>
        <w:t xml:space="preserve">c)</w:t>
      </w:r>
      <w:r>
        <w:t xml:space="preserve">	Entlastung des Vorstands;</w:t>
      </w:r>
    </w:p>
    <w:p>
      <w:pPr>
        <w:tabs>
          <w:tab w:val="left" w:pos="1134"/>
        </w:tabs>
        <w:spacing w:after="60" w:line="276" w:lineRule="auto"/>
        <w:ind w:left="1134" w:hanging="567"/>
        <w:jc w:val="both"/>
      </w:pPr>
      <w:r>
        <w:t xml:space="preserve">d)</w:t>
      </w:r>
      <w:r>
        <w:t xml:space="preserve">	Wahl und Abberufung des Präsidiums, der übrigen Vorstandsmitglieder und der Revisionsstelle;</w:t>
      </w:r>
    </w:p>
    <w:p>
      <w:pPr>
        <w:tabs>
          <w:tab w:val="left" w:pos="1134"/>
        </w:tabs>
        <w:spacing w:after="60" w:line="276" w:lineRule="auto"/>
        <w:ind w:left="1134" w:hanging="567"/>
        <w:jc w:val="both"/>
      </w:pPr>
      <w:r>
        <w:t xml:space="preserve">e)</w:t>
      </w:r>
      <w:r>
        <w:t xml:space="preserve">	Festsetzung der Mitgliederbeiträge;</w:t>
      </w:r>
    </w:p>
    <w:p>
      <w:pPr>
        <w:tabs>
          <w:tab w:val="left" w:pos="1134"/>
        </w:tabs>
        <w:spacing w:after="60" w:line="276" w:lineRule="auto"/>
        <w:ind w:left="1134" w:hanging="567"/>
        <w:jc w:val="both"/>
      </w:pPr>
      <w:r>
        <w:t xml:space="preserve">f)</w:t>
      </w:r>
      <w:r>
        <w:t xml:space="preserve">	Genehmigung von Jahresprogramm und Budget;</w:t>
      </w:r>
    </w:p>
    <w:p>
      <w:pPr>
        <w:tabs>
          <w:tab w:val="left" w:pos="1134"/>
        </w:tabs>
        <w:spacing w:after="60" w:line="276" w:lineRule="auto"/>
        <w:ind w:left="1134" w:hanging="567"/>
        <w:jc w:val="both"/>
      </w:pPr>
      <w:r>
        <w:t xml:space="preserve">g)</w:t>
      </w:r>
      <w:r>
        <w:t xml:space="preserve">	Genehmigung von Entschädigungen nach Art. 11 Abs. 2;</w:t>
      </w:r>
    </w:p>
    <w:p>
      <w:pPr>
        <w:tabs>
          <w:tab w:val="left" w:pos="1134"/>
        </w:tabs>
        <w:spacing w:after="60" w:line="276" w:lineRule="auto"/>
        <w:ind w:left="1134" w:hanging="567"/>
        <w:jc w:val="both"/>
      </w:pPr>
      <w:r>
        <w:t xml:space="preserve">h)</w:t>
      </w:r>
      <w:r>
        <w:t xml:space="preserve">	Entscheid über den Weiterzug eines Ausschlusses;</w:t>
      </w:r>
    </w:p>
    <w:p>
      <w:pPr>
        <w:tabs>
          <w:tab w:val="left" w:pos="1134"/>
        </w:tabs>
        <w:spacing w:after="60" w:line="276" w:lineRule="auto"/>
        <w:ind w:left="1134" w:hanging="567"/>
        <w:jc w:val="both"/>
      </w:pPr>
      <w:r>
        <w:t xml:space="preserve">i)</w:t>
      </w:r>
      <w:r>
        <w:t xml:space="preserve">	Änderung der Statuten;</w:t>
      </w:r>
    </w:p>
    <w:p>
      <w:pPr>
        <w:tabs>
          <w:tab w:val="left" w:pos="1134"/>
        </w:tabs>
        <w:spacing w:after="60" w:line="276" w:lineRule="auto"/>
        <w:ind w:left="1134" w:hanging="567"/>
        <w:jc w:val="both"/>
      </w:pPr>
      <w:r>
        <w:t xml:space="preserve">j)</w:t>
      </w:r>
      <w:r>
        <w:t xml:space="preserve">	Auflösung des Vereins.</w:t>
      </w:r>
    </w:p>
    <w:p>
      <w:pPr>
        <w:keepNext/>
        <w:keepLines/>
        <w:spacing w:after="80" w:before="240"/>
      </w:pPr>
      <w:r>
        <w:rPr>
          <w:b/>
          <w:bCs/>
        </w:rPr>
        <w:t xml:space="preserve">Art. 9 Beschlussfassung der Mitgliederversammlung</w:t>
      </w:r>
    </w:p>
    <w:p>
      <w:pPr>
        <w:tabs>
          <w:tab w:val="left" w:pos="567"/>
        </w:tabs>
        <w:spacing w:after="100" w:line="276" w:lineRule="auto"/>
        <w:ind w:left="567" w:hanging="567"/>
        <w:jc w:val="both"/>
      </w:pPr>
      <w:r>
        <w:rPr>
          <w:b/>
          <w:bCs/>
        </w:rPr>
        <w:t xml:space="preserve">1</w:t>
      </w:r>
      <w:r>
        <w:t xml:space="preserve">	Die Mitgliederversammlung ist ohne Rücksicht auf die Zahl der anwesenden Mitglieder beschlussfähig. Abgestimmt und gewählt wird offen, sofern nicht ein Fünftel der anwesenden Mitglieder eine geheime Abstimmung verlangt.</w:t>
      </w:r>
    </w:p>
    <w:p>
      <w:pPr>
        <w:tabs>
          <w:tab w:val="left" w:pos="567"/>
        </w:tabs>
        <w:spacing w:after="100" w:line="276" w:lineRule="auto"/>
        <w:ind w:left="567" w:hanging="567"/>
        <w:jc w:val="both"/>
      </w:pPr>
      <w:r>
        <w:rPr>
          <w:b/>
          <w:bCs/>
        </w:rPr>
        <w:t xml:space="preserve">2</w:t>
      </w:r>
      <w:r>
        <w:t xml:space="preserve">	Beschlüsse und Wahlen erfolgen mit der Mehrheit der abgegebenen Stimmen; Enthaltungen und ungültige Stimmen werden nicht mitgezählt. Bei Stimmengleichheit gibt das Präsidium den Stichentscheid.</w:t>
      </w:r>
    </w:p>
    <w:p>
      <w:pPr>
        <w:tabs>
          <w:tab w:val="left" w:pos="567"/>
        </w:tabs>
        <w:spacing w:after="100" w:line="276" w:lineRule="auto"/>
        <w:ind w:left="567" w:hanging="567"/>
        <w:jc w:val="both"/>
      </w:pPr>
      <w:r>
        <w:rPr>
          <w:b/>
          <w:bCs/>
        </w:rPr>
        <w:t xml:space="preserve">3</w:t>
      </w:r>
      <w:r>
        <w:t xml:space="preserve">	Statutenänderungen bedürfen der Zustimmung von zwei Dritteln, die Änderung des Zwecks und die Auflösung des Vereins der Zustimmung von drei Vierteln der abgegebenen Stimmen. Art. 13 Abs. 3 bleibt vorbehalten.</w:t>
      </w:r>
    </w:p>
    <w:p>
      <w:pPr>
        <w:tabs>
          <w:tab w:val="left" w:pos="567"/>
        </w:tabs>
        <w:spacing w:after="100" w:line="276" w:lineRule="auto"/>
        <w:ind w:left="567" w:hanging="567"/>
        <w:jc w:val="both"/>
      </w:pPr>
      <w:r>
        <w:rPr>
          <w:b/>
          <w:bCs/>
        </w:rPr>
        <w:t xml:space="preserve">4</w:t>
      </w:r>
      <w:r>
        <w:t xml:space="preserve">	Der Vorstand kann vorsehen, dass Mitglieder auf elektronischem Weg an der Versammlung teilnehmen und ihre Rechte ausüben. Beschlüsse können auch schriftlich oder elektronisch gefasst werden, sofern nicht ein Mitglied innert zehn Tagen seit Zustellung des Antrags die mündliche Beratung verlangt.</w:t>
      </w:r>
    </w:p>
    <w:p>
      <w:pPr>
        <w:tabs>
          <w:tab w:val="left" w:pos="567"/>
        </w:tabs>
        <w:spacing w:after="100" w:line="276" w:lineRule="auto"/>
        <w:ind w:left="567" w:hanging="567"/>
        <w:jc w:val="both"/>
      </w:pPr>
      <w:r>
        <w:rPr>
          <w:b/>
          <w:bCs/>
        </w:rPr>
        <w:t xml:space="preserve">5</w:t>
      </w:r>
      <w:r>
        <w:t xml:space="preserve">	Über die Beschlüsse wird ein Protokoll geführt, das vom Präsidium und von der protokollführenden Person unterzeichnet wird.</w:t>
      </w:r>
    </w:p>
    <w:p>
      <w:pPr>
        <w:keepNext/>
        <w:keepLines/>
        <w:spacing w:after="80" w:before="240"/>
      </w:pPr>
      <w:r>
        <w:rPr>
          <w:b/>
          <w:bCs/>
        </w:rPr>
        <w:t xml:space="preserve">Art. 10 Vorstand</w:t>
      </w:r>
    </w:p>
    <w:p>
      <w:pPr>
        <w:tabs>
          <w:tab w:val="left" w:pos="567"/>
        </w:tabs>
        <w:spacing w:after="100" w:line="276" w:lineRule="auto"/>
        <w:ind w:left="567" w:hanging="567"/>
        <w:jc w:val="both"/>
      </w:pPr>
      <w:r>
        <w:rPr>
          <w:b/>
          <w:bCs/>
        </w:rPr>
        <w:t xml:space="preserve">1</w:t>
      </w:r>
      <w:r>
        <w:t xml:space="preserve">	Der Vorstand besteht aus drei bis sieben Mitgliedern. Die Mitgliederversammlung wählt das Präsidium; im Übrigen konstituiert sich der Vorstand selbst. Die Amtsdauer beträgt zwei Jahre; Wiederwahl ist möglich.</w:t>
      </w:r>
    </w:p>
    <w:p>
      <w:pPr>
        <w:tabs>
          <w:tab w:val="left" w:pos="567"/>
        </w:tabs>
        <w:spacing w:after="100" w:line="276" w:lineRule="auto"/>
        <w:ind w:left="567" w:hanging="567"/>
        <w:jc w:val="both"/>
      </w:pPr>
      <w:r>
        <w:rPr>
          <w:b/>
          <w:bCs/>
        </w:rPr>
        <w:t xml:space="preserve">2</w:t>
      </w:r>
      <w:r>
        <w:t xml:space="preserve">	Der Vorstand führt den Verein und vertritt ihn nach aussen. Ihm stehen alle Befugnisse zu, die nicht durch Gesetz oder Statuten der Mitgliederversammlung vorbehalten sind, namentlich die Ausgestaltung und Führung der Angebote, die Beschaffung der Mittel, die Erstellung von Jahresbericht und Jahresrechnung, die Anstellung und Führung des Personals sowie der Erlass von Reglementen, insbesondere eines Schutzkonzepts für die Arbeit mit Kindern und Jugendlichen. Er kann die operative Geschäftsführung ganz oder teilweise einer Geschäftsleitung übertragen und den Verein in das Handelsregister eintragen lassen.</w:t>
      </w:r>
    </w:p>
    <w:p>
      <w:pPr>
        <w:tabs>
          <w:tab w:val="left" w:pos="567"/>
        </w:tabs>
        <w:spacing w:after="100" w:line="276" w:lineRule="auto"/>
        <w:ind w:left="567" w:hanging="567"/>
        <w:jc w:val="both"/>
      </w:pPr>
      <w:r>
        <w:rPr>
          <w:b/>
          <w:bCs/>
        </w:rPr>
        <w:t xml:space="preserve">3</w:t>
      </w:r>
      <w:r>
        <w:t xml:space="preserve">	Der Vorstand versammelt sich, sooft es die Geschäfte erfordern oder ein Vorstandsmitglied es verlangt. Er ist beschlussfähig, wenn die Mehrheit seiner Mitglieder anwesend ist, und beschliesst mit der Mehrheit der abgegebenen Stimmen; bei Stimmengleichheit gibt das Präsidium den Stichentscheid. Beschlüsse können auch schriftlich oder elektronisch gefasst werden, sofern kein Vorstandsmitglied die mündliche Beratung verlangt. Über die Beschlüsse wird ein Protokoll geführt.</w:t>
      </w:r>
    </w:p>
    <w:p>
      <w:pPr>
        <w:tabs>
          <w:tab w:val="left" w:pos="567"/>
        </w:tabs>
        <w:spacing w:after="100" w:line="276" w:lineRule="auto"/>
        <w:ind w:left="567" w:hanging="567"/>
        <w:jc w:val="both"/>
      </w:pPr>
      <w:r>
        <w:rPr>
          <w:b/>
          <w:bCs/>
        </w:rPr>
        <w:t xml:space="preserve">4</w:t>
      </w:r>
      <w:r>
        <w:t xml:space="preserve">	Der Verein wird durch Kollektivunterschrift zu zweien verpflichtet. Der Vorstand bezeichnet die zeichnungsberechtigten Personen; mindestens eine von ihnen hat Wohnsitz in der Schweiz.</w:t>
      </w:r>
    </w:p>
    <w:p>
      <w:pPr>
        <w:keepNext/>
        <w:keepLines/>
        <w:spacing w:after="80" w:before="240"/>
      </w:pPr>
      <w:r>
        <w:rPr>
          <w:b/>
          <w:bCs/>
        </w:rPr>
        <w:t xml:space="preserve">Art. 11 Ehrenamt und Interessenkonflikte</w:t>
      </w:r>
    </w:p>
    <w:p>
      <w:pPr>
        <w:tabs>
          <w:tab w:val="left" w:pos="567"/>
        </w:tabs>
        <w:spacing w:after="100" w:line="276" w:lineRule="auto"/>
        <w:ind w:left="567" w:hanging="567"/>
        <w:jc w:val="both"/>
      </w:pPr>
      <w:r>
        <w:rPr>
          <w:b/>
          <w:bCs/>
        </w:rPr>
        <w:t xml:space="preserve">1</w:t>
      </w:r>
      <w:r>
        <w:t xml:space="preserve">	Die Mitglieder des Vorstands sind ehrenamtlich tätig. Sie haben Anspruch auf Ersatz ihrer tatsächlichen Auslagen.</w:t>
      </w:r>
    </w:p>
    <w:p>
      <w:pPr>
        <w:tabs>
          <w:tab w:val="left" w:pos="567"/>
        </w:tabs>
        <w:spacing w:after="100" w:line="276" w:lineRule="auto"/>
        <w:ind w:left="567" w:hanging="567"/>
        <w:jc w:val="both"/>
      </w:pPr>
      <w:r>
        <w:rPr>
          <w:b/>
          <w:bCs/>
        </w:rPr>
        <w:t xml:space="preserve">2</w:t>
      </w:r>
      <w:r>
        <w:t xml:space="preserve">	Übernimmt ein Vorstandsmitglied ausnahmsweise operative Aufgaben, die über die Vorstandstätigkeit hinausgehen, kann dafür eine Entschädigung ausgerichtet werden. Der Vorstand beschliesst darüber unter Ausstand der betroffenen Person; der Beschluss bedarf der Genehmigung durch die Mitgliederversammlung.</w:t>
      </w:r>
    </w:p>
    <w:p>
      <w:pPr>
        <w:tabs>
          <w:tab w:val="left" w:pos="567"/>
        </w:tabs>
        <w:spacing w:after="100" w:line="276" w:lineRule="auto"/>
        <w:ind w:left="567" w:hanging="567"/>
        <w:jc w:val="both"/>
      </w:pPr>
      <w:r>
        <w:rPr>
          <w:b/>
          <w:bCs/>
        </w:rPr>
        <w:t xml:space="preserve">3</w:t>
      </w:r>
      <w:r>
        <w:t xml:space="preserve">	Rechtsgeschäfte zwischen dem Verein und einem Vorstandsmitglied oder einer ihm nahestehenden Person erfolgen zu marktüblichen Bedingungen; der Vorstand beschliesst darüber unter Ausstand der betroffenen Person.</w:t>
      </w:r>
    </w:p>
    <w:p>
      <w:pPr>
        <w:tabs>
          <w:tab w:val="left" w:pos="567"/>
        </w:tabs>
        <w:spacing w:after="100" w:line="276" w:lineRule="auto"/>
        <w:ind w:left="567" w:hanging="567"/>
        <w:jc w:val="both"/>
      </w:pPr>
      <w:r>
        <w:rPr>
          <w:b/>
          <w:bCs/>
        </w:rPr>
        <w:t xml:space="preserve">4</w:t>
      </w:r>
      <w:r>
        <w:t xml:space="preserve">	Entschädigungen und Löhne sind massvoll und im Hinblick auf die gemeinnützige Tätigkeit angemessen. Entschädigungen nach Absatz 2 und Rechtsgeschäfte nach Absatz 3 werden in der Jahresrechnung offengelegt.</w:t>
      </w:r>
    </w:p>
    <w:p>
      <w:pPr>
        <w:keepNext/>
        <w:keepLines/>
        <w:spacing w:after="80" w:before="240"/>
      </w:pPr>
      <w:r>
        <w:rPr>
          <w:b/>
          <w:bCs/>
        </w:rPr>
        <w:t xml:space="preserve">Art. 12 Revisionsstelle</w:t>
      </w:r>
    </w:p>
    <w:p>
      <w:pPr>
        <w:tabs>
          <w:tab w:val="left" w:pos="567"/>
        </w:tabs>
        <w:spacing w:after="100" w:line="276" w:lineRule="auto"/>
        <w:ind w:left="567" w:hanging="567"/>
        <w:jc w:val="both"/>
      </w:pPr>
      <w:r>
        <w:rPr>
          <w:b/>
          <w:bCs/>
        </w:rPr>
        <w:t xml:space="preserve">1</w:t>
      </w:r>
      <w:r>
        <w:t xml:space="preserve">	Die Mitgliederversammlung wählt für die Dauer von zwei Jahren eine vom Vorstand und von der Geschäftsleitung unabhängige Revisionsstelle. Diese prüft die Jahresrechnung und erstattet der Mitgliederversammlung schriftlich Bericht.</w:t>
      </w:r>
    </w:p>
    <w:p>
      <w:pPr>
        <w:tabs>
          <w:tab w:val="left" w:pos="567"/>
        </w:tabs>
        <w:spacing w:after="100" w:line="276" w:lineRule="auto"/>
        <w:ind w:left="567" w:hanging="567"/>
        <w:jc w:val="both"/>
      </w:pPr>
      <w:r>
        <w:rPr>
          <w:b/>
          <w:bCs/>
        </w:rPr>
        <w:t xml:space="preserve">2</w:t>
      </w:r>
      <w:r>
        <w:t xml:space="preserve">	Besteht eine gesetzliche Revisionspflicht (Art. 69b ZGB), richtet sich die Revision nach den Vorschriften des Obligationenrechts.</w:t>
      </w:r>
    </w:p>
    <w:p>
      <w:pPr>
        <w:keepNext/>
        <w:spacing w:after="120" w:before="400"/>
      </w:pPr>
      <w:r>
        <w:rPr>
          <w:b/>
          <w:bCs/>
          <w:sz w:val="24"/>
          <w:szCs w:val="24"/>
        </w:rPr>
        <w:t xml:space="preserve">IV. Schlussbestimmungen</w:t>
      </w:r>
    </w:p>
    <w:p>
      <w:pPr>
        <w:keepNext/>
        <w:keepLines/>
        <w:spacing w:after="80" w:before="240"/>
      </w:pPr>
      <w:r>
        <w:rPr>
          <w:b/>
          <w:bCs/>
        </w:rPr>
        <w:t xml:space="preserve">Art. 13 Auflösung und Vermögensverwendung</w:t>
      </w:r>
    </w:p>
    <w:p>
      <w:pPr>
        <w:tabs>
          <w:tab w:val="left" w:pos="567"/>
        </w:tabs>
        <w:spacing w:after="100" w:line="276" w:lineRule="auto"/>
        <w:ind w:left="567" w:hanging="567"/>
        <w:jc w:val="both"/>
      </w:pPr>
      <w:r>
        <w:rPr>
          <w:b/>
          <w:bCs/>
        </w:rPr>
        <w:t xml:space="preserve">1</w:t>
      </w:r>
      <w:r>
        <w:t xml:space="preserve">	Die Mitgliederversammlung kann die Auflösung des Vereins jederzeit beschliessen. Die Liquidation besorgt der Vorstand, sofern die Mitgliederversammlung nichts anderes beschliesst.</w:t>
      </w:r>
    </w:p>
    <w:p>
      <w:pPr>
        <w:tabs>
          <w:tab w:val="left" w:pos="567"/>
        </w:tabs>
        <w:spacing w:after="100" w:line="276" w:lineRule="auto"/>
        <w:ind w:left="567" w:hanging="567"/>
        <w:jc w:val="both"/>
      </w:pPr>
      <w:r>
        <w:rPr>
          <w:b/>
          <w:bCs/>
        </w:rPr>
        <w:t xml:space="preserve">2</w:t>
      </w:r>
      <w:r>
        <w:t xml:space="preserve">	Das nach Tilgung der Schulden verbleibende Vermögen fällt an eine wegen gemeinnütziger oder öffentlicher Zwecke steuerbefreite juristische Person mit Sitz in der Schweiz, die einen gleichen oder ähnlichen Zweck verfolgt. Eine Verteilung unter die Mitglieder und ein Rückfall an die Gründerinnen und Gründer oder ihnen nahestehende Personen sind ausgeschlossen.</w:t>
      </w:r>
    </w:p>
    <w:p>
      <w:pPr>
        <w:tabs>
          <w:tab w:val="left" w:pos="567"/>
        </w:tabs>
        <w:spacing w:after="100" w:line="276" w:lineRule="auto"/>
        <w:ind w:left="567" w:hanging="567"/>
        <w:jc w:val="both"/>
      </w:pPr>
      <w:r>
        <w:rPr>
          <w:b/>
          <w:bCs/>
        </w:rPr>
        <w:t xml:space="preserve">3</w:t>
      </w:r>
      <w:r>
        <w:t xml:space="preserve">	Absatz 2 ist unabänderlich.</w:t>
      </w:r>
    </w:p>
    <w:p>
      <w:pPr>
        <w:keepNext/>
        <w:keepLines/>
        <w:spacing w:after="80" w:before="240"/>
      </w:pPr>
      <w:r>
        <w:rPr>
          <w:b/>
          <w:bCs/>
        </w:rPr>
        <w:t xml:space="preserve">Art. 14 Inkrafttreten</w:t>
      </w:r>
    </w:p>
    <w:p>
      <w:pPr>
        <w:keepNext/>
        <w:spacing w:after="100" w:line="276" w:lineRule="auto"/>
        <w:ind w:left="567"/>
        <w:jc w:val="both"/>
      </w:pPr>
      <w:r>
        <w:t xml:space="preserve">Diese Statuten wurden von der Gründungsversammlung vom ____________ 2026 in Basel angenommen und sind mit diesem Datum in Kraft getreten.</w:t>
      </w:r>
    </w:p>
    <w:p>
      <w:pPr>
        <w:keepNext/>
        <w:spacing w:after="480" w:before="600"/>
      </w:pPr>
      <w:r>
        <w:t xml:space="preserve">Basel, </w:t>
      </w:r>
      <w:r>
        <w:t xml:space="preserve">____________________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300"/>
        <w:gridCol w:w="470"/>
        <w:gridCol w:w="4300"/>
      </w:tblGrid>
      <w:tr>
        <w:trPr>
          <w:cantSplit/>
        </w:trP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keepNext/>
              <w:spacing w:after="0"/>
            </w:pPr>
            <w:r>
              <w:rPr>
                <w:b/>
                <w:bCs/>
              </w:rPr>
              <w:t xml:space="preserve">Das Präsidium</w:t>
            </w:r>
          </w:p>
        </w:tc>
        <w:tc>
          <w:tcPr>
            <w:tcW w:type="dxa" w:w="470"/>
            <w:tcBorders>
              <w:top w:val="none" w:color="FFFFFF" w:sz="0"/>
              <w:left w:val="none" w:color="FFFFFF" w:sz="0"/>
              <w:bottom w:val="none" w:color="FFFFFF" w:sz="0"/>
              <w:right w:val="none" w:color="FFFFFF" w:sz="0"/>
            </w:tcBorders>
            <w:tcMar>
              <w:top w:type="dxa" w:w="0"/>
              <w:left w:type="dxa" w:w="0"/>
              <w:bottom w:type="dxa" w:w="0"/>
              <w:right w:type="dxa" w:w="0"/>
            </w:tcMar>
            <w:vAlign w:val="bottom"/>
          </w:tcPr>
          <w:p/>
        </w:tc>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keepNext/>
              <w:spacing w:after="0"/>
            </w:pPr>
            <w:r>
              <w:rPr>
                <w:b/>
                <w:bCs/>
              </w:rPr>
              <w:t xml:space="preserve">Die protokollführende Person</w:t>
            </w:r>
          </w:p>
        </w:tc>
      </w:tr>
      <w:tr>
        <w:trPr>
          <w:cantSplit/>
          <w:trHeight w:val="900" w:hRule="atLeast"/>
        </w:trPr>
        <w:tc>
          <w:tcPr>
            <w:tcW w:type="dxa" w:w="4300"/>
            <w:tcBorders>
              <w:top w:val="none" w:color="FFFFFF" w:sz="0"/>
              <w:left w:val="none" w:color="FFFFFF" w:sz="0"/>
              <w:bottom w:val="single" w:color="111111" w:sz="6"/>
              <w:right w:val="none" w:color="FFFFFF" w:sz="0"/>
            </w:tcBorders>
            <w:tcMar>
              <w:top w:type="dxa" w:w="0"/>
              <w:left w:type="dxa" w:w="0"/>
              <w:bottom w:type="dxa" w:w="0"/>
              <w:right w:type="dxa" w:w="0"/>
            </w:tcMar>
            <w:vAlign w:val="bottom"/>
          </w:tcPr>
          <w:p>
            <w:pPr>
              <w:keepNext/>
            </w:pPr>
          </w:p>
        </w:tc>
        <w:tc>
          <w:tcPr>
            <w:tcW w:type="dxa" w:w="470"/>
            <w:tcBorders>
              <w:top w:val="none" w:color="FFFFFF" w:sz="0"/>
              <w:left w:val="none" w:color="FFFFFF" w:sz="0"/>
              <w:bottom w:val="none" w:color="FFFFFF" w:sz="0"/>
              <w:right w:val="none" w:color="FFFFFF" w:sz="0"/>
            </w:tcBorders>
            <w:tcMar>
              <w:top w:type="dxa" w:w="0"/>
              <w:left w:type="dxa" w:w="0"/>
              <w:bottom w:type="dxa" w:w="0"/>
              <w:right w:type="dxa" w:w="0"/>
            </w:tcMar>
            <w:vAlign w:val="bottom"/>
          </w:tcPr>
          <w:p/>
        </w:tc>
        <w:tc>
          <w:tcPr>
            <w:tcW w:type="dxa" w:w="4300"/>
            <w:tcBorders>
              <w:top w:val="none" w:color="FFFFFF" w:sz="0"/>
              <w:left w:val="none" w:color="FFFFFF" w:sz="0"/>
              <w:bottom w:val="single" w:color="111111" w:sz="6"/>
              <w:right w:val="none" w:color="FFFFFF" w:sz="0"/>
            </w:tcBorders>
            <w:tcMar>
              <w:top w:type="dxa" w:w="0"/>
              <w:left w:type="dxa" w:w="0"/>
              <w:bottom w:type="dxa" w:w="0"/>
              <w:right w:type="dxa" w:w="0"/>
            </w:tcMar>
            <w:vAlign w:val="bottom"/>
          </w:tcPr>
          <w:p>
            <w:pPr>
              <w:keepNext/>
            </w:pPr>
          </w:p>
        </w:tc>
      </w:tr>
      <w:tr>
        <w:trPr>
          <w:cantSplit/>
        </w:trP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60"/>
            </w:pPr>
            <w:r>
              <w:rPr>
                <w:color w:val="555555"/>
                <w:sz w:val="17"/>
                <w:szCs w:val="17"/>
              </w:rPr>
              <w:t xml:space="preserve">Name</w:t>
            </w:r>
          </w:p>
        </w:tc>
        <w:tc>
          <w:tcPr>
            <w:tcW w:type="dxa" w:w="470"/>
            <w:tcBorders>
              <w:top w:val="none" w:color="FFFFFF" w:sz="0"/>
              <w:left w:val="none" w:color="FFFFFF" w:sz="0"/>
              <w:bottom w:val="none" w:color="FFFFFF" w:sz="0"/>
              <w:right w:val="none" w:color="FFFFFF" w:sz="0"/>
            </w:tcBorders>
            <w:tcMar>
              <w:top w:type="dxa" w:w="0"/>
              <w:left w:type="dxa" w:w="0"/>
              <w:bottom w:type="dxa" w:w="0"/>
              <w:right w:type="dxa" w:w="0"/>
            </w:tcMar>
            <w:vAlign w:val="bottom"/>
          </w:tcPr>
          <w:p/>
        </w:tc>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60"/>
            </w:pPr>
            <w:r>
              <w:rPr>
                <w:color w:val="555555"/>
                <w:sz w:val="17"/>
                <w:szCs w:val="17"/>
              </w:rPr>
              <w:t xml:space="preserve">Name</w:t>
            </w:r>
          </w:p>
        </w:tc>
      </w:tr>
    </w:tbl>
    <w:sectPr>
      <w:footerReference w:type="default" r:id="rId7"/>
      <w:pgSz w:w="11906" w:h="16838" w:orient="portrait"/>
      <w:pgMar w:top="1418" w:right="1418" w:bottom="1418" w:left="1418"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070"/>
      </w:tabs>
    </w:pPr>
    <w:r>
      <w:rPr>
        <w:color w:val="555555"/>
        <w:sz w:val="17"/>
        <w:szCs w:val="17"/>
      </w:rPr>
      <w:t xml:space="preserve">Statuten des Vereins Lerngesellschaft</w:t>
    </w:r>
    <w:r>
      <w:rPr>
        <w:color w:val="555555"/>
        <w:sz w:val="17"/>
        <w:szCs w:val="17"/>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283"/>
  <w:doNotHyphenateCap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radford LL TT" w:cs="Bradford LL TT" w:eastAsia="Bradford LL TT" w:hAnsi="Bradford LL TT"/>
        <w:sz w:val="21"/>
        <w:szCs w:val="21"/>
        <w:lang w:val="de-CH"/>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pPr>
      <w:spacing w:after="0" w:line="240"/>
    </w:pPr>
    <w:rPr>
      <w:color w:val="555555"/>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Statuten des Vereins Lerngesellschaft</dc:title>
  <dc:creator>Lerngesellschaft</dc:creator>
  <cp:lastModifiedBy>Un-named</cp:lastModifiedBy>
  <cp:revision>1</cp:revision>
  <dcterms:created xsi:type="dcterms:W3CDTF">2026-09-02T22:35:15.479Z</dcterms:created>
  <dcterms:modified xsi:type="dcterms:W3CDTF">2026-09-02T22:35:15.480Z</dcterms:modified>
</cp:coreProperties>
</file>

<file path=docProps/custom.xml><?xml version="1.0" encoding="utf-8"?>
<Properties xmlns="http://schemas.openxmlformats.org/officeDocument/2006/custom-properties" xmlns:vt="http://schemas.openxmlformats.org/officeDocument/2006/docPropsVTypes"/>
</file>