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4D9" w:rsidRDefault="005064D9" w:rsidP="005064D9">
      <w:pPr>
        <w:tabs>
          <w:tab w:val="clear" w:pos="360"/>
        </w:tabs>
        <w:jc w:val="center"/>
        <w:rPr>
          <w:rFonts w:ascii="Arial Black" w:hAnsi="Arial Black"/>
          <w:sz w:val="28"/>
          <w:szCs w:val="28"/>
        </w:rPr>
      </w:pPr>
      <w:bookmarkStart w:id="0" w:name="_GoBack"/>
      <w:bookmarkEnd w:id="0"/>
      <w:r>
        <w:rPr>
          <w:rFonts w:ascii="Arial Black" w:hAnsi="Arial Black"/>
          <w:sz w:val="28"/>
          <w:szCs w:val="28"/>
        </w:rPr>
        <w:t>LONDON BOROUGH OF WALTHAM FOREST</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809"/>
        <w:gridCol w:w="3686"/>
        <w:gridCol w:w="1701"/>
        <w:gridCol w:w="2410"/>
      </w:tblGrid>
      <w:tr w:rsidR="005064D9" w:rsidTr="001A028D">
        <w:tc>
          <w:tcPr>
            <w:tcW w:w="1809" w:type="dxa"/>
          </w:tcPr>
          <w:p w:rsidR="005064D9" w:rsidRDefault="005064D9" w:rsidP="007042C5">
            <w:pPr>
              <w:tabs>
                <w:tab w:val="clear" w:pos="360"/>
              </w:tabs>
            </w:pPr>
            <w:r>
              <w:t>Meeting / Date</w:t>
            </w:r>
          </w:p>
        </w:tc>
        <w:tc>
          <w:tcPr>
            <w:tcW w:w="3686" w:type="dxa"/>
          </w:tcPr>
          <w:p w:rsidR="005064D9" w:rsidRDefault="005064D9" w:rsidP="007042C5">
            <w:pPr>
              <w:tabs>
                <w:tab w:val="clear" w:pos="360"/>
              </w:tabs>
              <w:rPr>
                <w:b/>
              </w:rPr>
            </w:pPr>
            <w:r>
              <w:rPr>
                <w:b/>
              </w:rPr>
              <w:t>SCHOOLS FORUM</w:t>
            </w:r>
          </w:p>
          <w:p w:rsidR="005064D9" w:rsidRPr="00AF1370" w:rsidRDefault="004E525E" w:rsidP="007042C5">
            <w:pPr>
              <w:tabs>
                <w:tab w:val="clear" w:pos="360"/>
              </w:tabs>
              <w:rPr>
                <w:b/>
              </w:rPr>
            </w:pPr>
            <w:r>
              <w:rPr>
                <w:b/>
              </w:rPr>
              <w:t>11</w:t>
            </w:r>
            <w:r w:rsidR="00254469">
              <w:rPr>
                <w:b/>
              </w:rPr>
              <w:t xml:space="preserve"> June</w:t>
            </w:r>
            <w:r w:rsidR="005064D9" w:rsidRPr="00AF1370">
              <w:rPr>
                <w:b/>
              </w:rPr>
              <w:t xml:space="preserve"> 201</w:t>
            </w:r>
            <w:r w:rsidR="00795F45">
              <w:rPr>
                <w:b/>
              </w:rPr>
              <w:t>4</w:t>
            </w:r>
          </w:p>
        </w:tc>
        <w:tc>
          <w:tcPr>
            <w:tcW w:w="1701" w:type="dxa"/>
          </w:tcPr>
          <w:p w:rsidR="005064D9" w:rsidRPr="00E7260C" w:rsidRDefault="005064D9" w:rsidP="007042C5">
            <w:pPr>
              <w:tabs>
                <w:tab w:val="clear" w:pos="360"/>
              </w:tabs>
            </w:pPr>
            <w:r>
              <w:t>Agenda Item</w:t>
            </w:r>
          </w:p>
        </w:tc>
        <w:tc>
          <w:tcPr>
            <w:tcW w:w="2410" w:type="dxa"/>
          </w:tcPr>
          <w:p w:rsidR="005064D9" w:rsidRPr="003877F2" w:rsidRDefault="00FB1F03" w:rsidP="00FB1F03">
            <w:pPr>
              <w:tabs>
                <w:tab w:val="clear" w:pos="360"/>
              </w:tabs>
              <w:jc w:val="center"/>
              <w:rPr>
                <w:b/>
                <w:sz w:val="28"/>
                <w:szCs w:val="28"/>
              </w:rPr>
            </w:pPr>
            <w:r>
              <w:rPr>
                <w:b/>
                <w:sz w:val="28"/>
                <w:szCs w:val="28"/>
              </w:rPr>
              <w:t>7</w:t>
            </w:r>
          </w:p>
          <w:p w:rsidR="005064D9" w:rsidRPr="008E4B6D" w:rsidRDefault="005064D9" w:rsidP="007042C5">
            <w:pPr>
              <w:tabs>
                <w:tab w:val="clear" w:pos="360"/>
              </w:tabs>
              <w:rPr>
                <w:b/>
                <w:color w:val="FF0000"/>
              </w:rPr>
            </w:pPr>
          </w:p>
        </w:tc>
      </w:tr>
      <w:tr w:rsidR="005064D9" w:rsidTr="001A028D">
        <w:tc>
          <w:tcPr>
            <w:tcW w:w="1809" w:type="dxa"/>
          </w:tcPr>
          <w:p w:rsidR="005064D9" w:rsidRDefault="005064D9" w:rsidP="007042C5">
            <w:pPr>
              <w:tabs>
                <w:tab w:val="clear" w:pos="360"/>
              </w:tabs>
            </w:pPr>
            <w:r>
              <w:t>Report Title</w:t>
            </w:r>
          </w:p>
        </w:tc>
        <w:tc>
          <w:tcPr>
            <w:tcW w:w="7797" w:type="dxa"/>
            <w:gridSpan w:val="3"/>
          </w:tcPr>
          <w:p w:rsidR="005064D9" w:rsidRPr="003877F2" w:rsidRDefault="00B125B1" w:rsidP="007042C5">
            <w:pPr>
              <w:tabs>
                <w:tab w:val="clear" w:pos="360"/>
              </w:tabs>
              <w:spacing w:after="0"/>
              <w:ind w:left="39" w:hanging="39"/>
              <w:rPr>
                <w:b/>
              </w:rPr>
            </w:pPr>
            <w:r>
              <w:rPr>
                <w:b/>
              </w:rPr>
              <w:t xml:space="preserve">Growth Fund </w:t>
            </w:r>
            <w:r w:rsidR="008D7CF7">
              <w:rPr>
                <w:b/>
              </w:rPr>
              <w:t>in</w:t>
            </w:r>
            <w:r w:rsidR="00254469">
              <w:rPr>
                <w:b/>
              </w:rPr>
              <w:t xml:space="preserve"> 2015-16</w:t>
            </w:r>
          </w:p>
        </w:tc>
      </w:tr>
      <w:tr w:rsidR="005064D9" w:rsidTr="001A028D">
        <w:tc>
          <w:tcPr>
            <w:tcW w:w="1809" w:type="dxa"/>
          </w:tcPr>
          <w:p w:rsidR="005064D9" w:rsidRDefault="005064D9" w:rsidP="007042C5">
            <w:pPr>
              <w:tabs>
                <w:tab w:val="clear" w:pos="360"/>
              </w:tabs>
            </w:pPr>
            <w:r>
              <w:t>Decision/ Discussion/ Information</w:t>
            </w:r>
          </w:p>
        </w:tc>
        <w:tc>
          <w:tcPr>
            <w:tcW w:w="7797" w:type="dxa"/>
            <w:gridSpan w:val="3"/>
          </w:tcPr>
          <w:p w:rsidR="005064D9" w:rsidRPr="003877F2" w:rsidRDefault="005064D9" w:rsidP="00DA7A09">
            <w:pPr>
              <w:tabs>
                <w:tab w:val="clear" w:pos="360"/>
              </w:tabs>
            </w:pPr>
            <w:r>
              <w:t xml:space="preserve">For </w:t>
            </w:r>
            <w:r w:rsidR="005B7ADC">
              <w:t xml:space="preserve">Discussion </w:t>
            </w:r>
            <w:r w:rsidR="00B125B1">
              <w:t>and Decision</w:t>
            </w:r>
          </w:p>
        </w:tc>
      </w:tr>
      <w:tr w:rsidR="005064D9" w:rsidTr="001A028D">
        <w:tc>
          <w:tcPr>
            <w:tcW w:w="1809" w:type="dxa"/>
          </w:tcPr>
          <w:p w:rsidR="005064D9" w:rsidRDefault="005064D9" w:rsidP="007042C5">
            <w:pPr>
              <w:tabs>
                <w:tab w:val="clear" w:pos="360"/>
              </w:tabs>
            </w:pPr>
            <w:r>
              <w:t>Report Author/ Contact details</w:t>
            </w:r>
          </w:p>
        </w:tc>
        <w:tc>
          <w:tcPr>
            <w:tcW w:w="7797" w:type="dxa"/>
            <w:gridSpan w:val="3"/>
          </w:tcPr>
          <w:p w:rsidR="00254469" w:rsidRPr="007E3E63" w:rsidRDefault="00254469" w:rsidP="00254469">
            <w:pPr>
              <w:tabs>
                <w:tab w:val="clear" w:pos="360"/>
              </w:tabs>
            </w:pPr>
            <w:r w:rsidRPr="007E3E63">
              <w:t>R</w:t>
            </w:r>
            <w:r>
              <w:t xml:space="preserve">ishi </w:t>
            </w:r>
            <w:proofErr w:type="spellStart"/>
            <w:r>
              <w:t>Peetamsingh</w:t>
            </w:r>
            <w:proofErr w:type="spellEnd"/>
            <w:r>
              <w:t>, Group Accountant, Schools</w:t>
            </w:r>
          </w:p>
          <w:p w:rsidR="00254469" w:rsidRDefault="00254469" w:rsidP="00254469">
            <w:pPr>
              <w:tabs>
                <w:tab w:val="clear" w:pos="360"/>
              </w:tabs>
            </w:pPr>
            <w:r w:rsidRPr="007E3E63">
              <w:t>020</w:t>
            </w:r>
            <w:r>
              <w:t xml:space="preserve"> </w:t>
            </w:r>
            <w:r w:rsidRPr="007E3E63">
              <w:t xml:space="preserve">8496 </w:t>
            </w:r>
            <w:r>
              <w:t>6304</w:t>
            </w:r>
            <w:r w:rsidRPr="001073D8">
              <w:t xml:space="preserve"> </w:t>
            </w:r>
            <w:hyperlink r:id="rId9" w:history="1">
              <w:r w:rsidRPr="00967F04">
                <w:rPr>
                  <w:rStyle w:val="Hyperlink"/>
                </w:rPr>
                <w:t>rishi.peetamsingh@waltham</w:t>
              </w:r>
            </w:hyperlink>
            <w:r w:rsidRPr="003877F2">
              <w:rPr>
                <w:rStyle w:val="Hyperlink"/>
              </w:rPr>
              <w:t>forest.gov.uk</w:t>
            </w:r>
          </w:p>
          <w:p w:rsidR="00ED7D59" w:rsidRDefault="00383DF9" w:rsidP="00ED7D59">
            <w:pPr>
              <w:tabs>
                <w:tab w:val="clear" w:pos="360"/>
              </w:tabs>
            </w:pPr>
            <w:proofErr w:type="spellStart"/>
            <w:r>
              <w:t>Shehwar</w:t>
            </w:r>
            <w:proofErr w:type="spellEnd"/>
            <w:r>
              <w:t xml:space="preserve"> Sultan, Group </w:t>
            </w:r>
            <w:r w:rsidR="00ED7D59">
              <w:t>Accountant</w:t>
            </w:r>
            <w:r w:rsidR="00254469">
              <w:t xml:space="preserve">  </w:t>
            </w:r>
            <w:r w:rsidR="00ED7D59" w:rsidRPr="007E3E63">
              <w:t>020</w:t>
            </w:r>
            <w:r w:rsidR="00ED7D59">
              <w:t xml:space="preserve"> </w:t>
            </w:r>
            <w:r w:rsidR="00ED7D59" w:rsidRPr="007E3E63">
              <w:t xml:space="preserve">8496 </w:t>
            </w:r>
            <w:r w:rsidR="00ED7D59">
              <w:t>6322</w:t>
            </w:r>
            <w:r w:rsidR="00ED7D59" w:rsidRPr="001073D8">
              <w:t xml:space="preserve"> </w:t>
            </w:r>
            <w:hyperlink r:id="rId10" w:history="1">
              <w:r w:rsidR="00ED7D59" w:rsidRPr="0050783A">
                <w:rPr>
                  <w:rStyle w:val="Hyperlink"/>
                </w:rPr>
                <w:t>shehwar.sultan@waltham</w:t>
              </w:r>
            </w:hyperlink>
            <w:r w:rsidR="00ED7D59" w:rsidRPr="003877F2">
              <w:rPr>
                <w:rStyle w:val="Hyperlink"/>
              </w:rPr>
              <w:t>forest.gov.uk</w:t>
            </w:r>
          </w:p>
          <w:p w:rsidR="005064D9" w:rsidRDefault="005064D9" w:rsidP="007042C5">
            <w:pPr>
              <w:tabs>
                <w:tab w:val="clear" w:pos="360"/>
              </w:tabs>
            </w:pPr>
            <w:r>
              <w:t>Graham Moss, Strategic Development Consultant</w:t>
            </w:r>
          </w:p>
          <w:p w:rsidR="005064D9" w:rsidRDefault="005064D9" w:rsidP="007042C5">
            <w:pPr>
              <w:tabs>
                <w:tab w:val="clear" w:pos="360"/>
              </w:tabs>
            </w:pPr>
            <w:r>
              <w:t xml:space="preserve">07962 017 447 </w:t>
            </w:r>
            <w:hyperlink r:id="rId11" w:history="1">
              <w:r w:rsidRPr="00D17D8F">
                <w:rPr>
                  <w:rStyle w:val="Hyperlink"/>
                </w:rPr>
                <w:t>moss362@btinternet.com</w:t>
              </w:r>
            </w:hyperlink>
          </w:p>
          <w:p w:rsidR="005064D9" w:rsidRPr="008E4B6D" w:rsidRDefault="005064D9" w:rsidP="007042C5">
            <w:pPr>
              <w:tabs>
                <w:tab w:val="clear" w:pos="360"/>
              </w:tabs>
              <w:rPr>
                <w:color w:val="FF0000"/>
              </w:rPr>
            </w:pPr>
          </w:p>
        </w:tc>
      </w:tr>
      <w:tr w:rsidR="005064D9" w:rsidRPr="003451A7" w:rsidTr="001A028D">
        <w:trPr>
          <w:trHeight w:val="800"/>
        </w:trPr>
        <w:tc>
          <w:tcPr>
            <w:tcW w:w="1809" w:type="dxa"/>
          </w:tcPr>
          <w:p w:rsidR="005064D9" w:rsidRPr="003451A7" w:rsidRDefault="005064D9" w:rsidP="007042C5">
            <w:pPr>
              <w:tabs>
                <w:tab w:val="clear" w:pos="360"/>
              </w:tabs>
            </w:pPr>
            <w:r w:rsidRPr="003451A7">
              <w:t>Appendices</w:t>
            </w:r>
          </w:p>
        </w:tc>
        <w:tc>
          <w:tcPr>
            <w:tcW w:w="7797" w:type="dxa"/>
            <w:gridSpan w:val="3"/>
          </w:tcPr>
          <w:p w:rsidR="00A740CF" w:rsidRPr="00061B4F" w:rsidRDefault="00A411D9" w:rsidP="00061B4F">
            <w:pPr>
              <w:tabs>
                <w:tab w:val="clear" w:pos="360"/>
              </w:tabs>
              <w:spacing w:before="0" w:after="0"/>
              <w:ind w:left="1314" w:hanging="1314"/>
              <w:rPr>
                <w:rFonts w:cs="Arial"/>
                <w:sz w:val="22"/>
                <w:szCs w:val="22"/>
              </w:rPr>
            </w:pPr>
            <w:r>
              <w:rPr>
                <w:rFonts w:cs="Arial"/>
                <w:sz w:val="22"/>
                <w:szCs w:val="22"/>
              </w:rPr>
              <w:t xml:space="preserve">Appendix A: Criteria for the allocation of funding through the Growth Fund </w:t>
            </w:r>
          </w:p>
        </w:tc>
      </w:tr>
    </w:tbl>
    <w:p w:rsidR="005064D9" w:rsidRDefault="005064D9" w:rsidP="005064D9">
      <w:pPr>
        <w:pStyle w:val="ListParagraph"/>
        <w:tabs>
          <w:tab w:val="clear" w:pos="360"/>
        </w:tabs>
        <w:ind w:hanging="720"/>
      </w:pPr>
    </w:p>
    <w:p w:rsidR="005064D9" w:rsidRPr="00B407B8" w:rsidRDefault="00213F1C" w:rsidP="005064D9">
      <w:pPr>
        <w:pStyle w:val="ListParagraph"/>
        <w:numPr>
          <w:ilvl w:val="0"/>
          <w:numId w:val="2"/>
        </w:numPr>
        <w:ind w:hanging="720"/>
        <w:rPr>
          <w:b/>
        </w:rPr>
      </w:pPr>
      <w:r>
        <w:rPr>
          <w:b/>
        </w:rPr>
        <w:t>SUMMARY</w:t>
      </w:r>
    </w:p>
    <w:p w:rsidR="005860E4" w:rsidRDefault="005064D9" w:rsidP="00B125B1">
      <w:pPr>
        <w:tabs>
          <w:tab w:val="clear" w:pos="360"/>
        </w:tabs>
        <w:ind w:left="709" w:hanging="709"/>
        <w:jc w:val="both"/>
      </w:pPr>
      <w:r w:rsidRPr="005064D9">
        <w:t>1.1</w:t>
      </w:r>
      <w:r>
        <w:tab/>
      </w:r>
      <w:r w:rsidR="00912650">
        <w:t>This report upda</w:t>
      </w:r>
      <w:r w:rsidR="00F52E96">
        <w:t xml:space="preserve">tes Schools Forum on </w:t>
      </w:r>
      <w:r w:rsidR="00B125B1">
        <w:t xml:space="preserve">the operation of the Growth Fund. It highlights the following </w:t>
      </w:r>
      <w:r w:rsidR="00373D31">
        <w:t xml:space="preserve">key </w:t>
      </w:r>
      <w:r w:rsidR="00B125B1">
        <w:t xml:space="preserve">issues: </w:t>
      </w:r>
    </w:p>
    <w:p w:rsidR="00B125B1" w:rsidRDefault="00B125B1" w:rsidP="00B125B1">
      <w:pPr>
        <w:tabs>
          <w:tab w:val="clear" w:pos="360"/>
        </w:tabs>
        <w:ind w:left="709" w:hanging="709"/>
        <w:jc w:val="both"/>
      </w:pPr>
      <w:r>
        <w:tab/>
        <w:t>(a)</w:t>
      </w:r>
      <w:r>
        <w:tab/>
        <w:t>Amended allocations for 2014-15</w:t>
      </w:r>
    </w:p>
    <w:p w:rsidR="00B125B1" w:rsidRDefault="00B125B1" w:rsidP="00B125B1">
      <w:pPr>
        <w:tabs>
          <w:tab w:val="clear" w:pos="360"/>
        </w:tabs>
        <w:ind w:left="709" w:hanging="709"/>
        <w:jc w:val="both"/>
      </w:pPr>
      <w:r>
        <w:tab/>
        <w:t>(b)</w:t>
      </w:r>
      <w:r>
        <w:tab/>
        <w:t>Indicative allocations for 2015-16</w:t>
      </w:r>
    </w:p>
    <w:p w:rsidR="00B125B1" w:rsidRDefault="00B125B1" w:rsidP="00B125B1">
      <w:pPr>
        <w:tabs>
          <w:tab w:val="clear" w:pos="360"/>
          <w:tab w:val="left" w:pos="1418"/>
        </w:tabs>
        <w:ind w:left="1418" w:hanging="709"/>
        <w:jc w:val="both"/>
      </w:pPr>
      <w:r>
        <w:t>(c)</w:t>
      </w:r>
      <w:r>
        <w:tab/>
        <w:t xml:space="preserve">DfE proposed changes for non-recoupment academies </w:t>
      </w:r>
      <w:r w:rsidR="00C9200B">
        <w:t>and free</w:t>
      </w:r>
      <w:r>
        <w:t xml:space="preserve"> schools </w:t>
      </w:r>
    </w:p>
    <w:p w:rsidR="00DA7A09" w:rsidRDefault="00B125B1" w:rsidP="00B125B1">
      <w:pPr>
        <w:tabs>
          <w:tab w:val="clear" w:pos="360"/>
          <w:tab w:val="left" w:pos="1418"/>
        </w:tabs>
        <w:ind w:left="1418" w:hanging="709"/>
        <w:jc w:val="both"/>
      </w:pPr>
      <w:r>
        <w:t>(d)</w:t>
      </w:r>
      <w:r>
        <w:tab/>
        <w:t>Review of criteria for allocating funding to expanding schools</w:t>
      </w:r>
      <w:r w:rsidR="00373D31">
        <w:t xml:space="preserve"> and good and outstanding schools with falling rolls</w:t>
      </w:r>
    </w:p>
    <w:p w:rsidR="00DA7A09" w:rsidRPr="00C9200B" w:rsidRDefault="00DA7A09" w:rsidP="0057657A">
      <w:pPr>
        <w:tabs>
          <w:tab w:val="clear" w:pos="360"/>
        </w:tabs>
        <w:ind w:left="709" w:hanging="709"/>
        <w:jc w:val="both"/>
        <w:rPr>
          <w:sz w:val="16"/>
          <w:szCs w:val="16"/>
        </w:rPr>
      </w:pPr>
    </w:p>
    <w:p w:rsidR="002018B7" w:rsidRDefault="00213F1C" w:rsidP="00B125B1">
      <w:pPr>
        <w:tabs>
          <w:tab w:val="clear" w:pos="360"/>
        </w:tabs>
        <w:ind w:left="709" w:hanging="709"/>
        <w:jc w:val="both"/>
        <w:rPr>
          <w:b/>
        </w:rPr>
      </w:pPr>
      <w:r>
        <w:rPr>
          <w:b/>
        </w:rPr>
        <w:t>2</w:t>
      </w:r>
      <w:r>
        <w:rPr>
          <w:b/>
        </w:rPr>
        <w:tab/>
        <w:t>RECOMMENDATION</w:t>
      </w:r>
      <w:r w:rsidR="008D7CF7">
        <w:rPr>
          <w:b/>
        </w:rPr>
        <w:t>S</w:t>
      </w:r>
    </w:p>
    <w:p w:rsidR="008D7CF7" w:rsidRPr="00197234" w:rsidRDefault="008D7CF7" w:rsidP="00B125B1">
      <w:pPr>
        <w:tabs>
          <w:tab w:val="clear" w:pos="360"/>
        </w:tabs>
        <w:ind w:left="709" w:hanging="709"/>
        <w:jc w:val="both"/>
        <w:rPr>
          <w:b/>
        </w:rPr>
      </w:pPr>
      <w:r>
        <w:rPr>
          <w:b/>
        </w:rPr>
        <w:tab/>
      </w:r>
      <w:r w:rsidRPr="00197234">
        <w:rPr>
          <w:b/>
        </w:rPr>
        <w:t>Schools Forum to</w:t>
      </w:r>
      <w:r w:rsidR="004E525E" w:rsidRPr="00197234">
        <w:rPr>
          <w:b/>
        </w:rPr>
        <w:t xml:space="preserve"> note</w:t>
      </w:r>
      <w:r w:rsidRPr="00197234">
        <w:rPr>
          <w:b/>
        </w:rPr>
        <w:t>:</w:t>
      </w:r>
    </w:p>
    <w:p w:rsidR="00CB3D67" w:rsidRDefault="002018B7" w:rsidP="00213F1C">
      <w:pPr>
        <w:tabs>
          <w:tab w:val="clear" w:pos="360"/>
        </w:tabs>
        <w:ind w:left="709" w:hanging="709"/>
        <w:jc w:val="both"/>
      </w:pPr>
      <w:r w:rsidRPr="002018B7">
        <w:t>2.1</w:t>
      </w:r>
      <w:r w:rsidRPr="002018B7">
        <w:tab/>
      </w:r>
      <w:r w:rsidR="004E525E">
        <w:t>T</w:t>
      </w:r>
      <w:r w:rsidR="008D7CF7">
        <w:t xml:space="preserve">he </w:t>
      </w:r>
      <w:r w:rsidR="00B125B1">
        <w:t xml:space="preserve">amended allocations for 2014-15 and the resultant </w:t>
      </w:r>
      <w:r w:rsidR="00373D31">
        <w:t xml:space="preserve">forecasted </w:t>
      </w:r>
      <w:r w:rsidR="00B125B1">
        <w:t xml:space="preserve">overspend of £96,895. </w:t>
      </w:r>
    </w:p>
    <w:p w:rsidR="00197234" w:rsidRDefault="004E525E" w:rsidP="00213F1C">
      <w:pPr>
        <w:tabs>
          <w:tab w:val="clear" w:pos="360"/>
        </w:tabs>
        <w:ind w:left="709" w:hanging="709"/>
        <w:jc w:val="both"/>
      </w:pPr>
      <w:r>
        <w:t>2.2</w:t>
      </w:r>
      <w:r>
        <w:tab/>
        <w:t>T</w:t>
      </w:r>
      <w:r w:rsidR="008D7CF7">
        <w:t xml:space="preserve">he </w:t>
      </w:r>
      <w:r w:rsidR="00B125B1">
        <w:t>indicative allocations for 2015-16</w:t>
      </w:r>
      <w:r w:rsidR="00373D31">
        <w:t>.</w:t>
      </w:r>
    </w:p>
    <w:p w:rsidR="008D7CF7" w:rsidRPr="00197234" w:rsidRDefault="00197234" w:rsidP="00213F1C">
      <w:pPr>
        <w:tabs>
          <w:tab w:val="clear" w:pos="360"/>
        </w:tabs>
        <w:ind w:left="709" w:hanging="709"/>
        <w:jc w:val="both"/>
        <w:rPr>
          <w:b/>
        </w:rPr>
      </w:pPr>
      <w:r>
        <w:t xml:space="preserve">           </w:t>
      </w:r>
      <w:r w:rsidRPr="00197234">
        <w:rPr>
          <w:b/>
        </w:rPr>
        <w:t>Schools Forum to consider:</w:t>
      </w:r>
      <w:r w:rsidR="00B125B1" w:rsidRPr="00197234">
        <w:rPr>
          <w:b/>
        </w:rPr>
        <w:t xml:space="preserve"> </w:t>
      </w:r>
    </w:p>
    <w:p w:rsidR="00B125B1" w:rsidRDefault="008D7CF7" w:rsidP="00B125B1">
      <w:pPr>
        <w:tabs>
          <w:tab w:val="clear" w:pos="360"/>
        </w:tabs>
        <w:ind w:left="709" w:hanging="709"/>
        <w:jc w:val="both"/>
      </w:pPr>
      <w:r>
        <w:t>2.3</w:t>
      </w:r>
      <w:r>
        <w:tab/>
      </w:r>
      <w:r w:rsidR="00197234">
        <w:t>T</w:t>
      </w:r>
      <w:r w:rsidR="00B125B1">
        <w:t xml:space="preserve">he options and </w:t>
      </w:r>
      <w:r w:rsidR="00373D31">
        <w:t>make recommendations to the Local A</w:t>
      </w:r>
      <w:r w:rsidR="00B125B1">
        <w:t>uthority for covering the additional cost arising from DfE proposals that local authorities should fund the expansion of existing non-recoupment and free schools from September 2015.</w:t>
      </w:r>
    </w:p>
    <w:p w:rsidR="00197234" w:rsidRDefault="00197234" w:rsidP="000B1CD2">
      <w:pPr>
        <w:tabs>
          <w:tab w:val="clear" w:pos="360"/>
        </w:tabs>
        <w:ind w:left="709" w:hanging="709"/>
        <w:jc w:val="both"/>
      </w:pPr>
      <w:r>
        <w:lastRenderedPageBreak/>
        <w:t>2.4</w:t>
      </w:r>
      <w:r>
        <w:tab/>
        <w:t>W</w:t>
      </w:r>
      <w:r w:rsidR="00B125B1">
        <w:t>hether or not any changes should be made to the criteria for funding the planned expansion of primary and secondary schools and academies</w:t>
      </w:r>
      <w:r w:rsidR="00B774EB" w:rsidRPr="00B774EB">
        <w:t xml:space="preserve"> </w:t>
      </w:r>
      <w:r w:rsidR="00B774EB">
        <w:t>from September 2015</w:t>
      </w:r>
    </w:p>
    <w:p w:rsidR="00C702E7" w:rsidRDefault="00197234" w:rsidP="000B1CD2">
      <w:pPr>
        <w:tabs>
          <w:tab w:val="clear" w:pos="360"/>
        </w:tabs>
        <w:ind w:left="709" w:hanging="709"/>
        <w:jc w:val="both"/>
      </w:pPr>
      <w:r>
        <w:t xml:space="preserve">2.5   </w:t>
      </w:r>
      <w:r w:rsidR="00B125B1">
        <w:t xml:space="preserve"> </w:t>
      </w:r>
      <w:r>
        <w:t>Whether or not any changes should be made to the criteria for</w:t>
      </w:r>
      <w:r w:rsidR="00B774EB">
        <w:t xml:space="preserve"> financial support for good or outstanding secondary schools with falling rolls from April 2015. </w:t>
      </w:r>
    </w:p>
    <w:p w:rsidR="00373D31" w:rsidRPr="000B1CD2" w:rsidRDefault="00373D31" w:rsidP="000B1CD2">
      <w:pPr>
        <w:tabs>
          <w:tab w:val="clear" w:pos="360"/>
        </w:tabs>
        <w:ind w:left="709" w:hanging="709"/>
        <w:jc w:val="both"/>
      </w:pPr>
    </w:p>
    <w:p w:rsidR="002018B7" w:rsidRDefault="002018B7" w:rsidP="00C702E7">
      <w:pPr>
        <w:pStyle w:val="ListParagraph"/>
        <w:numPr>
          <w:ilvl w:val="0"/>
          <w:numId w:val="3"/>
        </w:numPr>
        <w:ind w:hanging="720"/>
        <w:jc w:val="both"/>
        <w:rPr>
          <w:b/>
        </w:rPr>
      </w:pPr>
      <w:r w:rsidRPr="00C702E7">
        <w:rPr>
          <w:b/>
        </w:rPr>
        <w:t>REASON</w:t>
      </w:r>
    </w:p>
    <w:p w:rsidR="00373D31" w:rsidRDefault="00373D31" w:rsidP="00373D31">
      <w:pPr>
        <w:pStyle w:val="ListParagraph"/>
        <w:tabs>
          <w:tab w:val="clear" w:pos="360"/>
        </w:tabs>
        <w:jc w:val="both"/>
        <w:rPr>
          <w:b/>
        </w:rPr>
      </w:pPr>
    </w:p>
    <w:p w:rsidR="001735A5" w:rsidRPr="00DA7A09" w:rsidRDefault="00DA7A09" w:rsidP="00DA7A09">
      <w:pPr>
        <w:tabs>
          <w:tab w:val="clear" w:pos="360"/>
        </w:tabs>
        <w:ind w:left="709" w:hanging="709"/>
        <w:jc w:val="both"/>
      </w:pPr>
      <w:r w:rsidRPr="00DA7A09">
        <w:t>3.1</w:t>
      </w:r>
      <w:r w:rsidRPr="00DA7A09">
        <w:tab/>
      </w:r>
      <w:r w:rsidR="00373D31">
        <w:t>The L</w:t>
      </w:r>
      <w:r w:rsidR="00B774EB">
        <w:t xml:space="preserve">ocal </w:t>
      </w:r>
      <w:r w:rsidR="00373D31">
        <w:t>A</w:t>
      </w:r>
      <w:r w:rsidR="0023355B">
        <w:t>uthority is required</w:t>
      </w:r>
      <w:r w:rsidR="00B774EB">
        <w:t xml:space="preserve"> to consult with Schools Forum</w:t>
      </w:r>
      <w:r w:rsidR="0023355B">
        <w:t xml:space="preserve"> annually</w:t>
      </w:r>
      <w:r w:rsidR="00B774EB">
        <w:t xml:space="preserve"> on the amount of funding to be retained to meet the cost of implementing the Growth Fund. This includes reviewing the criteria used </w:t>
      </w:r>
      <w:r w:rsidR="00D26518">
        <w:t>to allocate the funding. The Growth Fund is deducted from the Schools Block funding and therefore it reduces the funding available for delegation to schools and academies through the local funding formula</w:t>
      </w:r>
      <w:r w:rsidR="00373D31">
        <w:t xml:space="preserve"> (LFF)</w:t>
      </w:r>
      <w:r w:rsidR="00D26518">
        <w:t xml:space="preserve">. </w:t>
      </w:r>
    </w:p>
    <w:p w:rsidR="00ED7D59" w:rsidRPr="00DE532A" w:rsidRDefault="00ED7D59" w:rsidP="00ED7D59">
      <w:pPr>
        <w:pStyle w:val="ListParagraph"/>
        <w:tabs>
          <w:tab w:val="clear" w:pos="360"/>
        </w:tabs>
        <w:ind w:left="709"/>
        <w:jc w:val="both"/>
        <w:rPr>
          <w:sz w:val="16"/>
          <w:szCs w:val="16"/>
        </w:rPr>
      </w:pPr>
    </w:p>
    <w:p w:rsidR="002018B7" w:rsidRDefault="002018B7" w:rsidP="002018B7">
      <w:pPr>
        <w:pStyle w:val="ListParagraph"/>
        <w:numPr>
          <w:ilvl w:val="0"/>
          <w:numId w:val="3"/>
        </w:numPr>
        <w:ind w:hanging="720"/>
        <w:jc w:val="both"/>
        <w:rPr>
          <w:b/>
        </w:rPr>
      </w:pPr>
      <w:r w:rsidRPr="002018B7">
        <w:rPr>
          <w:b/>
        </w:rPr>
        <w:t>BACKGROUND</w:t>
      </w:r>
    </w:p>
    <w:p w:rsidR="004C2015" w:rsidRDefault="004C2015" w:rsidP="004C2015">
      <w:pPr>
        <w:pStyle w:val="ListParagraph"/>
        <w:tabs>
          <w:tab w:val="clear" w:pos="360"/>
        </w:tabs>
        <w:jc w:val="both"/>
        <w:rPr>
          <w:b/>
        </w:rPr>
      </w:pPr>
    </w:p>
    <w:p w:rsidR="00575A43" w:rsidRPr="00D26518" w:rsidRDefault="00D26518" w:rsidP="005860E4">
      <w:pPr>
        <w:pStyle w:val="ListParagraph"/>
        <w:numPr>
          <w:ilvl w:val="0"/>
          <w:numId w:val="16"/>
        </w:numPr>
        <w:rPr>
          <w:i/>
          <w:u w:val="single"/>
        </w:rPr>
      </w:pPr>
      <w:r w:rsidRPr="00D26518">
        <w:rPr>
          <w:i/>
          <w:u w:val="single"/>
        </w:rPr>
        <w:t>Amended allocations for 2014-15</w:t>
      </w:r>
    </w:p>
    <w:p w:rsidR="00794457" w:rsidRDefault="00794457" w:rsidP="00794457">
      <w:pPr>
        <w:pStyle w:val="ListParagraph"/>
        <w:tabs>
          <w:tab w:val="clear" w:pos="360"/>
        </w:tabs>
        <w:ind w:left="894"/>
        <w:jc w:val="both"/>
      </w:pPr>
    </w:p>
    <w:p w:rsidR="006E185C" w:rsidRDefault="00D26518" w:rsidP="006E185C">
      <w:pPr>
        <w:ind w:left="709" w:hanging="709"/>
        <w:jc w:val="both"/>
        <w:rPr>
          <w:b/>
        </w:rPr>
      </w:pPr>
      <w:r>
        <w:t>4.1</w:t>
      </w:r>
      <w:r>
        <w:tab/>
      </w:r>
      <w:r>
        <w:tab/>
        <w:t xml:space="preserve">Schools Forum agreed that </w:t>
      </w:r>
      <w:r w:rsidRPr="00D26518">
        <w:rPr>
          <w:b/>
        </w:rPr>
        <w:t>£3.750m</w:t>
      </w:r>
      <w:r>
        <w:t xml:space="preserve"> could be held back from funding to be delegated to schools and academies in 2014-15</w:t>
      </w:r>
      <w:r w:rsidR="006E185C">
        <w:t xml:space="preserve">. This included a contingency of </w:t>
      </w:r>
      <w:r w:rsidR="006E185C" w:rsidRPr="006E185C">
        <w:rPr>
          <w:b/>
        </w:rPr>
        <w:t>£0.198m.</w:t>
      </w:r>
      <w:r w:rsidR="006E185C">
        <w:rPr>
          <w:b/>
        </w:rPr>
        <w:t xml:space="preserve"> </w:t>
      </w:r>
      <w:r w:rsidR="006E185C" w:rsidRPr="006E185C">
        <w:t>However,</w:t>
      </w:r>
      <w:r w:rsidR="006E185C">
        <w:t xml:space="preserve"> it is now expected that provision will be overspent by </w:t>
      </w:r>
      <w:r w:rsidR="006E185C" w:rsidRPr="006E185C">
        <w:rPr>
          <w:b/>
        </w:rPr>
        <w:t>£0.</w:t>
      </w:r>
      <w:r w:rsidR="006E185C">
        <w:rPr>
          <w:b/>
        </w:rPr>
        <w:t>0</w:t>
      </w:r>
      <w:r w:rsidR="006E185C" w:rsidRPr="006E185C">
        <w:rPr>
          <w:b/>
        </w:rPr>
        <w:t>97m</w:t>
      </w:r>
      <w:r w:rsidR="006E185C">
        <w:rPr>
          <w:b/>
        </w:rPr>
        <w:t xml:space="preserve"> </w:t>
      </w:r>
      <w:r w:rsidR="006E185C" w:rsidRPr="006E185C">
        <w:t>due to additional funding being allocated</w:t>
      </w:r>
      <w:r w:rsidR="006E185C">
        <w:rPr>
          <w:b/>
        </w:rPr>
        <w:t xml:space="preserve"> </w:t>
      </w:r>
      <w:r w:rsidR="006E185C" w:rsidRPr="006E185C">
        <w:t>for:</w:t>
      </w:r>
    </w:p>
    <w:p w:rsidR="006E185C" w:rsidRDefault="006E185C" w:rsidP="006E185C">
      <w:pPr>
        <w:pStyle w:val="ListParagraph"/>
        <w:numPr>
          <w:ilvl w:val="0"/>
          <w:numId w:val="20"/>
        </w:numPr>
        <w:ind w:left="993" w:hanging="284"/>
        <w:jc w:val="both"/>
      </w:pPr>
      <w:r w:rsidRPr="006E185C">
        <w:t>Two additional bulge classes at Chapel End Junior (transferring from Chapel End Infants in September 2014)</w:t>
      </w:r>
    </w:p>
    <w:p w:rsidR="006E185C" w:rsidRDefault="006E185C" w:rsidP="006E185C">
      <w:pPr>
        <w:pStyle w:val="ListParagraph"/>
        <w:numPr>
          <w:ilvl w:val="0"/>
          <w:numId w:val="20"/>
        </w:numPr>
        <w:ind w:left="993" w:hanging="284"/>
        <w:jc w:val="both"/>
      </w:pPr>
      <w:r>
        <w:t xml:space="preserve">Additional bulge class at Mission Grove Primary School </w:t>
      </w:r>
      <w:r w:rsidR="00373D31">
        <w:t>which opened</w:t>
      </w:r>
      <w:r>
        <w:t xml:space="preserve"> in January 2014</w:t>
      </w:r>
    </w:p>
    <w:p w:rsidR="006E185C" w:rsidRDefault="006E185C" w:rsidP="006E185C">
      <w:pPr>
        <w:pStyle w:val="ListParagraph"/>
        <w:numPr>
          <w:ilvl w:val="0"/>
          <w:numId w:val="20"/>
        </w:numPr>
        <w:ind w:left="993" w:hanging="284"/>
        <w:jc w:val="both"/>
      </w:pPr>
      <w:r>
        <w:t>Addit</w:t>
      </w:r>
      <w:r w:rsidR="00373D31">
        <w:t>ional bulge class at Larkswood P</w:t>
      </w:r>
      <w:r>
        <w:t>rimary School opening in September 2014</w:t>
      </w:r>
      <w:r w:rsidR="00373D31">
        <w:t>.</w:t>
      </w:r>
    </w:p>
    <w:p w:rsidR="00373D31" w:rsidRDefault="00373D31" w:rsidP="00373D31">
      <w:pPr>
        <w:pStyle w:val="ListParagraph"/>
        <w:tabs>
          <w:tab w:val="clear" w:pos="360"/>
        </w:tabs>
        <w:ind w:left="993"/>
        <w:jc w:val="both"/>
      </w:pPr>
    </w:p>
    <w:p w:rsidR="00DE532A" w:rsidRPr="00373D31" w:rsidRDefault="00DE532A" w:rsidP="00373D31">
      <w:pPr>
        <w:pStyle w:val="ListParagraph"/>
        <w:numPr>
          <w:ilvl w:val="0"/>
          <w:numId w:val="16"/>
        </w:numPr>
        <w:jc w:val="both"/>
        <w:rPr>
          <w:i/>
          <w:u w:val="single"/>
        </w:rPr>
      </w:pPr>
      <w:r w:rsidRPr="00373D31">
        <w:rPr>
          <w:i/>
          <w:u w:val="single"/>
        </w:rPr>
        <w:t>Indicative allocations for 2015-16</w:t>
      </w:r>
    </w:p>
    <w:p w:rsidR="00373D31" w:rsidRPr="00373D31" w:rsidRDefault="00373D31" w:rsidP="00373D31">
      <w:pPr>
        <w:pStyle w:val="ListParagraph"/>
        <w:tabs>
          <w:tab w:val="clear" w:pos="360"/>
        </w:tabs>
        <w:ind w:left="1080"/>
        <w:jc w:val="both"/>
        <w:rPr>
          <w:i/>
          <w:u w:val="single"/>
        </w:rPr>
      </w:pPr>
    </w:p>
    <w:p w:rsidR="00373D31" w:rsidRDefault="006E185C" w:rsidP="00DE532A">
      <w:pPr>
        <w:tabs>
          <w:tab w:val="clear" w:pos="360"/>
        </w:tabs>
        <w:ind w:left="709" w:hanging="709"/>
        <w:jc w:val="both"/>
      </w:pPr>
      <w:r>
        <w:t>4.2</w:t>
      </w:r>
      <w:r>
        <w:tab/>
        <w:t xml:space="preserve">This overspend will need to be charged to </w:t>
      </w:r>
      <w:r w:rsidR="00373D31">
        <w:t xml:space="preserve">the </w:t>
      </w:r>
      <w:r>
        <w:t>Growth Fund for 2015-16.</w:t>
      </w:r>
      <w:r w:rsidR="00DE532A">
        <w:t xml:space="preserve">  Indicative allocations for 2015-16 suggest that even with this </w:t>
      </w:r>
      <w:r w:rsidR="004E426A">
        <w:t>overspend;</w:t>
      </w:r>
      <w:r w:rsidR="00DE532A">
        <w:t xml:space="preserve"> the total funding required for 2015-16 would still be </w:t>
      </w:r>
      <w:r w:rsidR="00DE532A" w:rsidRPr="00DE532A">
        <w:rPr>
          <w:b/>
        </w:rPr>
        <w:t>£3.750m</w:t>
      </w:r>
      <w:r w:rsidR="00DE532A">
        <w:t xml:space="preserve"> if current criteria for allocation of funding remain unchanged. </w:t>
      </w:r>
      <w:r w:rsidR="006D1183">
        <w:t>However, figures may change marginally once the October 2014 census data is available and Schools Forum have agreed funding rates for factors in the LFF for 2015-16.</w:t>
      </w:r>
    </w:p>
    <w:p w:rsidR="00373D31" w:rsidRDefault="00373D31" w:rsidP="00373D31">
      <w:pPr>
        <w:pStyle w:val="ListParagraph"/>
        <w:numPr>
          <w:ilvl w:val="1"/>
          <w:numId w:val="21"/>
        </w:numPr>
        <w:ind w:left="709" w:hanging="709"/>
        <w:jc w:val="both"/>
      </w:pPr>
      <w:r>
        <w:t xml:space="preserve">The cost of new classes is falling as the early school expansions reach capacity. Similarly, bulge class protection is falling as bulge classes leave the primary sector.  This is partly offset by rising costs of protection for good secondary schools with falling rolls. </w:t>
      </w:r>
    </w:p>
    <w:p w:rsidR="00373D31" w:rsidRDefault="00373D31" w:rsidP="00373D31">
      <w:pPr>
        <w:pStyle w:val="ListParagraph"/>
        <w:tabs>
          <w:tab w:val="clear" w:pos="360"/>
        </w:tabs>
        <w:ind w:left="709"/>
        <w:jc w:val="both"/>
      </w:pPr>
    </w:p>
    <w:p w:rsidR="006E185C" w:rsidRDefault="00373D31" w:rsidP="00373D31">
      <w:pPr>
        <w:pStyle w:val="ListParagraph"/>
        <w:numPr>
          <w:ilvl w:val="1"/>
          <w:numId w:val="21"/>
        </w:numPr>
        <w:ind w:left="709" w:hanging="709"/>
        <w:jc w:val="both"/>
      </w:pPr>
      <w:r>
        <w:t xml:space="preserve">The principle adopted for school expansions is that funding is top sliced from the sector where the expansion is taking place. Thus, as the cost of primary expansions falls, the Local Authority should be returning this funding to the primary sector. The high level of funding required to fund the significant </w:t>
      </w:r>
      <w:proofErr w:type="gramStart"/>
      <w:r>
        <w:t>growth in</w:t>
      </w:r>
      <w:proofErr w:type="gramEnd"/>
      <w:r>
        <w:t xml:space="preserve"> NOR in the primary sector is one of the key reasons why comparative funding for </w:t>
      </w:r>
      <w:r>
        <w:lastRenderedPageBreak/>
        <w:t xml:space="preserve">primary schools is lower than for secondary schools in Waltham Forest and with similar schools in London. </w:t>
      </w:r>
      <w:r w:rsidR="00DE532A">
        <w:t>Table 1 below shows a summary of Growth Fund allocations:</w:t>
      </w:r>
    </w:p>
    <w:p w:rsidR="00373D31" w:rsidRDefault="00373D31" w:rsidP="006D1183">
      <w:pPr>
        <w:tabs>
          <w:tab w:val="clear" w:pos="360"/>
        </w:tabs>
        <w:jc w:val="both"/>
      </w:pPr>
    </w:p>
    <w:p w:rsidR="00DE532A" w:rsidRPr="00DE532A" w:rsidRDefault="00DE532A" w:rsidP="00DE532A">
      <w:pPr>
        <w:tabs>
          <w:tab w:val="clear" w:pos="360"/>
        </w:tabs>
        <w:ind w:firstLine="709"/>
        <w:jc w:val="both"/>
        <w:rPr>
          <w:b/>
          <w:sz w:val="20"/>
          <w:szCs w:val="20"/>
        </w:rPr>
      </w:pPr>
      <w:r>
        <w:rPr>
          <w:b/>
          <w:sz w:val="20"/>
          <w:szCs w:val="20"/>
        </w:rPr>
        <w:t>Table 1</w:t>
      </w:r>
      <w:r w:rsidRPr="00DE532A">
        <w:rPr>
          <w:b/>
          <w:sz w:val="20"/>
          <w:szCs w:val="20"/>
        </w:rPr>
        <w:t xml:space="preserve">: Growth </w:t>
      </w:r>
      <w:r>
        <w:rPr>
          <w:b/>
          <w:sz w:val="20"/>
          <w:szCs w:val="20"/>
        </w:rPr>
        <w:t>Fund allocations 2014-15 (revised</w:t>
      </w:r>
      <w:r w:rsidRPr="00DE532A">
        <w:rPr>
          <w:b/>
          <w:sz w:val="20"/>
          <w:szCs w:val="20"/>
        </w:rPr>
        <w:t>) and 2015-16 (forecast)</w:t>
      </w:r>
    </w:p>
    <w:p w:rsidR="00DE532A" w:rsidRDefault="00DE532A" w:rsidP="00DE532A">
      <w:pPr>
        <w:pStyle w:val="ListParagraph"/>
        <w:tabs>
          <w:tab w:val="clear" w:pos="360"/>
        </w:tabs>
        <w:ind w:left="567"/>
        <w:jc w:val="both"/>
        <w:rPr>
          <w:b/>
          <w:sz w:val="20"/>
          <w:szCs w:val="20"/>
        </w:rPr>
      </w:pPr>
    </w:p>
    <w:tbl>
      <w:tblPr>
        <w:tblStyle w:val="TableGrid"/>
        <w:tblW w:w="0" w:type="auto"/>
        <w:tblInd w:w="567" w:type="dxa"/>
        <w:tblLook w:val="04A0" w:firstRow="1" w:lastRow="0" w:firstColumn="1" w:lastColumn="0" w:noHBand="0" w:noVBand="1"/>
      </w:tblPr>
      <w:tblGrid>
        <w:gridCol w:w="3652"/>
        <w:gridCol w:w="1701"/>
        <w:gridCol w:w="1701"/>
        <w:gridCol w:w="1559"/>
      </w:tblGrid>
      <w:tr w:rsidR="00DE532A" w:rsidTr="0036019C">
        <w:tc>
          <w:tcPr>
            <w:tcW w:w="3652" w:type="dxa"/>
          </w:tcPr>
          <w:p w:rsidR="00DE532A" w:rsidRDefault="00DE532A" w:rsidP="0036019C">
            <w:pPr>
              <w:pStyle w:val="ListParagraph"/>
              <w:tabs>
                <w:tab w:val="clear" w:pos="360"/>
              </w:tabs>
              <w:ind w:left="0"/>
              <w:jc w:val="both"/>
              <w:rPr>
                <w:b/>
                <w:sz w:val="20"/>
                <w:szCs w:val="20"/>
              </w:rPr>
            </w:pPr>
          </w:p>
        </w:tc>
        <w:tc>
          <w:tcPr>
            <w:tcW w:w="1701" w:type="dxa"/>
          </w:tcPr>
          <w:p w:rsidR="00DE532A" w:rsidRDefault="00DE532A" w:rsidP="0036019C">
            <w:pPr>
              <w:pStyle w:val="ListParagraph"/>
              <w:tabs>
                <w:tab w:val="clear" w:pos="360"/>
              </w:tabs>
              <w:ind w:left="0"/>
              <w:jc w:val="center"/>
              <w:rPr>
                <w:b/>
                <w:sz w:val="20"/>
                <w:szCs w:val="20"/>
              </w:rPr>
            </w:pPr>
            <w:r>
              <w:rPr>
                <w:b/>
                <w:sz w:val="20"/>
                <w:szCs w:val="20"/>
              </w:rPr>
              <w:t>2014-15</w:t>
            </w:r>
          </w:p>
        </w:tc>
        <w:tc>
          <w:tcPr>
            <w:tcW w:w="1701" w:type="dxa"/>
          </w:tcPr>
          <w:p w:rsidR="00DE532A" w:rsidRDefault="00DE532A" w:rsidP="0036019C">
            <w:pPr>
              <w:pStyle w:val="ListParagraph"/>
              <w:tabs>
                <w:tab w:val="clear" w:pos="360"/>
              </w:tabs>
              <w:ind w:left="0"/>
              <w:jc w:val="center"/>
              <w:rPr>
                <w:b/>
                <w:sz w:val="20"/>
                <w:szCs w:val="20"/>
              </w:rPr>
            </w:pPr>
            <w:r>
              <w:rPr>
                <w:b/>
                <w:sz w:val="20"/>
                <w:szCs w:val="20"/>
              </w:rPr>
              <w:t>2015-16</w:t>
            </w:r>
          </w:p>
        </w:tc>
        <w:tc>
          <w:tcPr>
            <w:tcW w:w="1559" w:type="dxa"/>
          </w:tcPr>
          <w:p w:rsidR="00DE532A" w:rsidRDefault="00DE532A" w:rsidP="0036019C">
            <w:pPr>
              <w:pStyle w:val="ListParagraph"/>
              <w:tabs>
                <w:tab w:val="clear" w:pos="360"/>
              </w:tabs>
              <w:ind w:left="0"/>
              <w:jc w:val="center"/>
              <w:rPr>
                <w:b/>
                <w:sz w:val="20"/>
                <w:szCs w:val="20"/>
              </w:rPr>
            </w:pPr>
            <w:r>
              <w:rPr>
                <w:b/>
                <w:sz w:val="20"/>
                <w:szCs w:val="20"/>
              </w:rPr>
              <w:t>change</w:t>
            </w:r>
          </w:p>
        </w:tc>
      </w:tr>
      <w:tr w:rsidR="00DE532A" w:rsidRPr="00D31DE5" w:rsidTr="0036019C">
        <w:tc>
          <w:tcPr>
            <w:tcW w:w="3652" w:type="dxa"/>
          </w:tcPr>
          <w:p w:rsidR="00DE532A" w:rsidRPr="00D31DE5" w:rsidRDefault="00DE532A" w:rsidP="0036019C">
            <w:pPr>
              <w:pStyle w:val="ListParagraph"/>
              <w:tabs>
                <w:tab w:val="clear" w:pos="360"/>
              </w:tabs>
              <w:ind w:left="0"/>
              <w:jc w:val="both"/>
              <w:rPr>
                <w:sz w:val="20"/>
                <w:szCs w:val="20"/>
              </w:rPr>
            </w:pPr>
            <w:r w:rsidRPr="00D31DE5">
              <w:rPr>
                <w:sz w:val="20"/>
                <w:szCs w:val="20"/>
              </w:rPr>
              <w:t>Primary – new classes</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£2,742,295</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£2,543,195</w:t>
            </w:r>
          </w:p>
        </w:tc>
        <w:tc>
          <w:tcPr>
            <w:tcW w:w="1559" w:type="dxa"/>
          </w:tcPr>
          <w:p w:rsidR="00DE532A" w:rsidRPr="00D31DE5" w:rsidRDefault="00DE532A" w:rsidP="0036019C">
            <w:pPr>
              <w:pStyle w:val="ListParagraph"/>
              <w:tabs>
                <w:tab w:val="clear" w:pos="360"/>
              </w:tabs>
              <w:ind w:left="0"/>
              <w:jc w:val="right"/>
              <w:rPr>
                <w:sz w:val="20"/>
                <w:szCs w:val="20"/>
              </w:rPr>
            </w:pPr>
            <w:r>
              <w:rPr>
                <w:sz w:val="20"/>
                <w:szCs w:val="20"/>
              </w:rPr>
              <w:t>-£199,100</w:t>
            </w:r>
          </w:p>
        </w:tc>
      </w:tr>
      <w:tr w:rsidR="00DE532A" w:rsidRPr="00D31DE5" w:rsidTr="0036019C">
        <w:tc>
          <w:tcPr>
            <w:tcW w:w="3652" w:type="dxa"/>
          </w:tcPr>
          <w:p w:rsidR="00DE532A" w:rsidRPr="00D31DE5" w:rsidRDefault="00DE532A" w:rsidP="0036019C">
            <w:pPr>
              <w:pStyle w:val="ListParagraph"/>
              <w:tabs>
                <w:tab w:val="clear" w:pos="360"/>
              </w:tabs>
              <w:ind w:left="0"/>
              <w:jc w:val="both"/>
              <w:rPr>
                <w:sz w:val="20"/>
                <w:szCs w:val="20"/>
              </w:rPr>
            </w:pPr>
            <w:r w:rsidRPr="00D31DE5">
              <w:rPr>
                <w:sz w:val="20"/>
                <w:szCs w:val="20"/>
              </w:rPr>
              <w:t>Primary –bulge class protection</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£673,483</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£448,800</w:t>
            </w:r>
          </w:p>
        </w:tc>
        <w:tc>
          <w:tcPr>
            <w:tcW w:w="1559" w:type="dxa"/>
          </w:tcPr>
          <w:p w:rsidR="00DE532A" w:rsidRPr="00D31DE5" w:rsidRDefault="00DE532A" w:rsidP="0036019C">
            <w:pPr>
              <w:pStyle w:val="ListParagraph"/>
              <w:tabs>
                <w:tab w:val="clear" w:pos="360"/>
              </w:tabs>
              <w:ind w:left="0"/>
              <w:jc w:val="right"/>
              <w:rPr>
                <w:sz w:val="20"/>
                <w:szCs w:val="20"/>
              </w:rPr>
            </w:pPr>
            <w:r>
              <w:rPr>
                <w:sz w:val="20"/>
                <w:szCs w:val="20"/>
              </w:rPr>
              <w:t>-£224,683</w:t>
            </w:r>
          </w:p>
        </w:tc>
      </w:tr>
      <w:tr w:rsidR="00DE532A" w:rsidRPr="008462A1" w:rsidTr="0036019C">
        <w:tc>
          <w:tcPr>
            <w:tcW w:w="3652" w:type="dxa"/>
          </w:tcPr>
          <w:p w:rsidR="00DE532A" w:rsidRPr="008462A1" w:rsidRDefault="00DE532A" w:rsidP="0036019C">
            <w:pPr>
              <w:pStyle w:val="ListParagraph"/>
              <w:tabs>
                <w:tab w:val="clear" w:pos="360"/>
              </w:tabs>
              <w:ind w:left="0"/>
              <w:jc w:val="both"/>
              <w:rPr>
                <w:b/>
                <w:sz w:val="20"/>
                <w:szCs w:val="20"/>
              </w:rPr>
            </w:pPr>
            <w:r>
              <w:rPr>
                <w:b/>
                <w:sz w:val="20"/>
                <w:szCs w:val="20"/>
              </w:rPr>
              <w:t>Overspend – carry forward</w:t>
            </w:r>
          </w:p>
        </w:tc>
        <w:tc>
          <w:tcPr>
            <w:tcW w:w="1701" w:type="dxa"/>
          </w:tcPr>
          <w:p w:rsidR="00DE532A" w:rsidRPr="008462A1" w:rsidRDefault="00DE532A" w:rsidP="0036019C">
            <w:pPr>
              <w:pStyle w:val="ListParagraph"/>
              <w:tabs>
                <w:tab w:val="clear" w:pos="360"/>
              </w:tabs>
              <w:ind w:left="0"/>
              <w:jc w:val="right"/>
              <w:rPr>
                <w:b/>
                <w:sz w:val="20"/>
                <w:szCs w:val="20"/>
              </w:rPr>
            </w:pPr>
          </w:p>
        </w:tc>
        <w:tc>
          <w:tcPr>
            <w:tcW w:w="1701" w:type="dxa"/>
          </w:tcPr>
          <w:p w:rsidR="00DE532A" w:rsidRPr="00A30811" w:rsidRDefault="00DE532A" w:rsidP="0036019C">
            <w:pPr>
              <w:pStyle w:val="ListParagraph"/>
              <w:tabs>
                <w:tab w:val="clear" w:pos="360"/>
              </w:tabs>
              <w:ind w:left="0"/>
              <w:jc w:val="right"/>
              <w:rPr>
                <w:sz w:val="20"/>
                <w:szCs w:val="20"/>
              </w:rPr>
            </w:pPr>
            <w:r w:rsidRPr="00A30811">
              <w:rPr>
                <w:sz w:val="20"/>
                <w:szCs w:val="20"/>
              </w:rPr>
              <w:t>£96,859</w:t>
            </w:r>
          </w:p>
        </w:tc>
        <w:tc>
          <w:tcPr>
            <w:tcW w:w="1559" w:type="dxa"/>
          </w:tcPr>
          <w:p w:rsidR="00DE532A" w:rsidRPr="00A30811" w:rsidRDefault="00DE532A" w:rsidP="0036019C">
            <w:pPr>
              <w:pStyle w:val="ListParagraph"/>
              <w:tabs>
                <w:tab w:val="clear" w:pos="360"/>
              </w:tabs>
              <w:ind w:left="0"/>
              <w:jc w:val="right"/>
              <w:rPr>
                <w:sz w:val="20"/>
                <w:szCs w:val="20"/>
              </w:rPr>
            </w:pPr>
            <w:r w:rsidRPr="00A30811">
              <w:rPr>
                <w:sz w:val="20"/>
                <w:szCs w:val="20"/>
              </w:rPr>
              <w:t>£96,859</w:t>
            </w:r>
          </w:p>
        </w:tc>
      </w:tr>
      <w:tr w:rsidR="00DE532A" w:rsidRPr="00D31DE5" w:rsidTr="0036019C">
        <w:tc>
          <w:tcPr>
            <w:tcW w:w="3652" w:type="dxa"/>
          </w:tcPr>
          <w:p w:rsidR="00DE532A" w:rsidRPr="00D31DE5" w:rsidRDefault="00DE532A" w:rsidP="0036019C">
            <w:pPr>
              <w:pStyle w:val="ListParagraph"/>
              <w:tabs>
                <w:tab w:val="clear" w:pos="360"/>
              </w:tabs>
              <w:ind w:left="0"/>
              <w:jc w:val="both"/>
              <w:rPr>
                <w:b/>
                <w:sz w:val="20"/>
                <w:szCs w:val="20"/>
              </w:rPr>
            </w:pPr>
            <w:r w:rsidRPr="00D31DE5">
              <w:rPr>
                <w:b/>
                <w:sz w:val="20"/>
                <w:szCs w:val="20"/>
              </w:rPr>
              <w:t>Total Primary</w:t>
            </w:r>
          </w:p>
        </w:tc>
        <w:tc>
          <w:tcPr>
            <w:tcW w:w="1701" w:type="dxa"/>
          </w:tcPr>
          <w:p w:rsidR="00DE532A" w:rsidRPr="00D31DE5" w:rsidRDefault="00DE532A" w:rsidP="0036019C">
            <w:pPr>
              <w:pStyle w:val="ListParagraph"/>
              <w:tabs>
                <w:tab w:val="clear" w:pos="360"/>
              </w:tabs>
              <w:ind w:left="0"/>
              <w:jc w:val="right"/>
              <w:rPr>
                <w:b/>
                <w:sz w:val="20"/>
                <w:szCs w:val="20"/>
              </w:rPr>
            </w:pPr>
            <w:r w:rsidRPr="00D31DE5">
              <w:rPr>
                <w:b/>
                <w:sz w:val="20"/>
                <w:szCs w:val="20"/>
              </w:rPr>
              <w:t>£3,415,778</w:t>
            </w:r>
          </w:p>
        </w:tc>
        <w:tc>
          <w:tcPr>
            <w:tcW w:w="1701" w:type="dxa"/>
          </w:tcPr>
          <w:p w:rsidR="00DE532A" w:rsidRPr="00D31DE5" w:rsidRDefault="00DE532A" w:rsidP="0036019C">
            <w:pPr>
              <w:pStyle w:val="ListParagraph"/>
              <w:tabs>
                <w:tab w:val="clear" w:pos="360"/>
              </w:tabs>
              <w:ind w:left="0"/>
              <w:jc w:val="right"/>
              <w:rPr>
                <w:b/>
                <w:sz w:val="20"/>
                <w:szCs w:val="20"/>
              </w:rPr>
            </w:pPr>
            <w:r>
              <w:rPr>
                <w:b/>
                <w:sz w:val="20"/>
                <w:szCs w:val="20"/>
              </w:rPr>
              <w:t>£3,088,854</w:t>
            </w:r>
          </w:p>
        </w:tc>
        <w:tc>
          <w:tcPr>
            <w:tcW w:w="1559" w:type="dxa"/>
          </w:tcPr>
          <w:p w:rsidR="00DE532A" w:rsidRPr="00D31DE5" w:rsidRDefault="00DE532A" w:rsidP="0036019C">
            <w:pPr>
              <w:pStyle w:val="ListParagraph"/>
              <w:tabs>
                <w:tab w:val="clear" w:pos="360"/>
              </w:tabs>
              <w:ind w:left="0"/>
              <w:jc w:val="right"/>
              <w:rPr>
                <w:b/>
                <w:sz w:val="20"/>
                <w:szCs w:val="20"/>
              </w:rPr>
            </w:pPr>
            <w:r>
              <w:rPr>
                <w:b/>
                <w:sz w:val="20"/>
                <w:szCs w:val="20"/>
              </w:rPr>
              <w:t>-£326,924</w:t>
            </w:r>
          </w:p>
        </w:tc>
      </w:tr>
      <w:tr w:rsidR="00DE532A" w:rsidRPr="00D31DE5" w:rsidTr="0036019C">
        <w:tc>
          <w:tcPr>
            <w:tcW w:w="3652" w:type="dxa"/>
          </w:tcPr>
          <w:p w:rsidR="00DE532A" w:rsidRPr="00D31DE5" w:rsidRDefault="00DE532A" w:rsidP="0036019C">
            <w:pPr>
              <w:pStyle w:val="ListParagraph"/>
              <w:tabs>
                <w:tab w:val="clear" w:pos="360"/>
              </w:tabs>
              <w:ind w:left="0"/>
              <w:jc w:val="both"/>
              <w:rPr>
                <w:sz w:val="20"/>
                <w:szCs w:val="20"/>
              </w:rPr>
            </w:pPr>
            <w:r>
              <w:rPr>
                <w:sz w:val="20"/>
                <w:szCs w:val="20"/>
              </w:rPr>
              <w:t>Secondary – new classes</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£333,881</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£333,881</w:t>
            </w:r>
          </w:p>
        </w:tc>
        <w:tc>
          <w:tcPr>
            <w:tcW w:w="1559" w:type="dxa"/>
          </w:tcPr>
          <w:p w:rsidR="00DE532A" w:rsidRPr="00D31DE5" w:rsidRDefault="00DE532A" w:rsidP="0036019C">
            <w:pPr>
              <w:pStyle w:val="ListParagraph"/>
              <w:tabs>
                <w:tab w:val="clear" w:pos="360"/>
              </w:tabs>
              <w:ind w:left="0"/>
              <w:jc w:val="right"/>
              <w:rPr>
                <w:sz w:val="20"/>
                <w:szCs w:val="20"/>
              </w:rPr>
            </w:pPr>
            <w:r>
              <w:rPr>
                <w:sz w:val="20"/>
                <w:szCs w:val="20"/>
              </w:rPr>
              <w:t>0</w:t>
            </w:r>
          </w:p>
        </w:tc>
      </w:tr>
      <w:tr w:rsidR="00DE532A" w:rsidRPr="00D31DE5" w:rsidTr="0036019C">
        <w:tc>
          <w:tcPr>
            <w:tcW w:w="3652" w:type="dxa"/>
          </w:tcPr>
          <w:p w:rsidR="00DE532A" w:rsidRPr="00D31DE5" w:rsidRDefault="00DE532A" w:rsidP="0036019C">
            <w:pPr>
              <w:pStyle w:val="ListParagraph"/>
              <w:tabs>
                <w:tab w:val="clear" w:pos="360"/>
              </w:tabs>
              <w:ind w:left="0"/>
              <w:jc w:val="both"/>
              <w:rPr>
                <w:sz w:val="20"/>
                <w:szCs w:val="20"/>
              </w:rPr>
            </w:pPr>
            <w:r>
              <w:rPr>
                <w:sz w:val="20"/>
                <w:szCs w:val="20"/>
              </w:rPr>
              <w:t>Secondary – protection falling rolls</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£97,200</w:t>
            </w:r>
          </w:p>
        </w:tc>
        <w:tc>
          <w:tcPr>
            <w:tcW w:w="1701" w:type="dxa"/>
          </w:tcPr>
          <w:p w:rsidR="00DE532A" w:rsidRPr="00D31DE5" w:rsidRDefault="00DE532A" w:rsidP="0036019C">
            <w:pPr>
              <w:pStyle w:val="ListParagraph"/>
              <w:tabs>
                <w:tab w:val="clear" w:pos="360"/>
              </w:tabs>
              <w:ind w:left="0"/>
              <w:jc w:val="right"/>
              <w:rPr>
                <w:sz w:val="20"/>
                <w:szCs w:val="20"/>
              </w:rPr>
            </w:pPr>
            <w:r>
              <w:rPr>
                <w:sz w:val="20"/>
                <w:szCs w:val="20"/>
              </w:rPr>
              <w:t>£151,500</w:t>
            </w:r>
          </w:p>
        </w:tc>
        <w:tc>
          <w:tcPr>
            <w:tcW w:w="1559" w:type="dxa"/>
          </w:tcPr>
          <w:p w:rsidR="00DE532A" w:rsidRPr="00D31DE5" w:rsidRDefault="00DE532A" w:rsidP="0036019C">
            <w:pPr>
              <w:pStyle w:val="ListParagraph"/>
              <w:tabs>
                <w:tab w:val="clear" w:pos="360"/>
              </w:tabs>
              <w:ind w:left="0"/>
              <w:jc w:val="right"/>
              <w:rPr>
                <w:sz w:val="20"/>
                <w:szCs w:val="20"/>
              </w:rPr>
            </w:pPr>
            <w:r>
              <w:rPr>
                <w:sz w:val="20"/>
                <w:szCs w:val="20"/>
              </w:rPr>
              <w:t>£54,300</w:t>
            </w:r>
          </w:p>
        </w:tc>
      </w:tr>
      <w:tr w:rsidR="00DE532A" w:rsidRPr="008462A1" w:rsidTr="0036019C">
        <w:tc>
          <w:tcPr>
            <w:tcW w:w="3652" w:type="dxa"/>
          </w:tcPr>
          <w:p w:rsidR="00DE532A" w:rsidRPr="008462A1" w:rsidRDefault="00DE532A" w:rsidP="0036019C">
            <w:pPr>
              <w:pStyle w:val="ListParagraph"/>
              <w:tabs>
                <w:tab w:val="clear" w:pos="360"/>
              </w:tabs>
              <w:ind w:left="0"/>
              <w:jc w:val="both"/>
              <w:rPr>
                <w:b/>
                <w:sz w:val="20"/>
                <w:szCs w:val="20"/>
              </w:rPr>
            </w:pPr>
            <w:r w:rsidRPr="008462A1">
              <w:rPr>
                <w:b/>
                <w:sz w:val="20"/>
                <w:szCs w:val="20"/>
              </w:rPr>
              <w:t>Total Secondary</w:t>
            </w:r>
          </w:p>
        </w:tc>
        <w:tc>
          <w:tcPr>
            <w:tcW w:w="1701" w:type="dxa"/>
          </w:tcPr>
          <w:p w:rsidR="00DE532A" w:rsidRPr="008462A1" w:rsidRDefault="00DE532A" w:rsidP="0036019C">
            <w:pPr>
              <w:pStyle w:val="ListParagraph"/>
              <w:tabs>
                <w:tab w:val="clear" w:pos="360"/>
              </w:tabs>
              <w:ind w:left="0"/>
              <w:jc w:val="right"/>
              <w:rPr>
                <w:b/>
                <w:sz w:val="20"/>
                <w:szCs w:val="20"/>
              </w:rPr>
            </w:pPr>
            <w:r>
              <w:rPr>
                <w:b/>
                <w:sz w:val="20"/>
                <w:szCs w:val="20"/>
              </w:rPr>
              <w:t>£431,081</w:t>
            </w:r>
          </w:p>
        </w:tc>
        <w:tc>
          <w:tcPr>
            <w:tcW w:w="1701" w:type="dxa"/>
          </w:tcPr>
          <w:p w:rsidR="00DE532A" w:rsidRPr="008462A1" w:rsidRDefault="00DE532A" w:rsidP="0036019C">
            <w:pPr>
              <w:pStyle w:val="ListParagraph"/>
              <w:tabs>
                <w:tab w:val="clear" w:pos="360"/>
              </w:tabs>
              <w:ind w:left="0"/>
              <w:jc w:val="right"/>
              <w:rPr>
                <w:b/>
                <w:sz w:val="20"/>
                <w:szCs w:val="20"/>
              </w:rPr>
            </w:pPr>
            <w:r>
              <w:rPr>
                <w:b/>
                <w:sz w:val="20"/>
                <w:szCs w:val="20"/>
              </w:rPr>
              <w:t>£485,381</w:t>
            </w:r>
          </w:p>
        </w:tc>
        <w:tc>
          <w:tcPr>
            <w:tcW w:w="1559" w:type="dxa"/>
          </w:tcPr>
          <w:p w:rsidR="00DE532A" w:rsidRPr="008462A1" w:rsidRDefault="00DE532A" w:rsidP="0036019C">
            <w:pPr>
              <w:pStyle w:val="ListParagraph"/>
              <w:tabs>
                <w:tab w:val="clear" w:pos="360"/>
              </w:tabs>
              <w:ind w:left="0"/>
              <w:jc w:val="right"/>
              <w:rPr>
                <w:b/>
                <w:sz w:val="20"/>
                <w:szCs w:val="20"/>
              </w:rPr>
            </w:pPr>
            <w:r>
              <w:rPr>
                <w:b/>
                <w:sz w:val="20"/>
                <w:szCs w:val="20"/>
              </w:rPr>
              <w:t>£54,300</w:t>
            </w:r>
          </w:p>
        </w:tc>
      </w:tr>
      <w:tr w:rsidR="00DE532A" w:rsidRPr="008462A1" w:rsidTr="0036019C">
        <w:tc>
          <w:tcPr>
            <w:tcW w:w="3652" w:type="dxa"/>
          </w:tcPr>
          <w:p w:rsidR="00DE532A" w:rsidRPr="008462A1" w:rsidRDefault="00DE532A" w:rsidP="0036019C">
            <w:pPr>
              <w:pStyle w:val="ListParagraph"/>
              <w:tabs>
                <w:tab w:val="clear" w:pos="360"/>
              </w:tabs>
              <w:ind w:left="0"/>
              <w:jc w:val="both"/>
              <w:rPr>
                <w:b/>
                <w:sz w:val="20"/>
                <w:szCs w:val="20"/>
              </w:rPr>
            </w:pPr>
            <w:r w:rsidRPr="008462A1">
              <w:rPr>
                <w:b/>
                <w:sz w:val="20"/>
                <w:szCs w:val="20"/>
              </w:rPr>
              <w:t>Total Allocation</w:t>
            </w:r>
          </w:p>
        </w:tc>
        <w:tc>
          <w:tcPr>
            <w:tcW w:w="1701" w:type="dxa"/>
          </w:tcPr>
          <w:p w:rsidR="00DE532A" w:rsidRPr="008462A1" w:rsidRDefault="00DE532A" w:rsidP="0036019C">
            <w:pPr>
              <w:pStyle w:val="ListParagraph"/>
              <w:tabs>
                <w:tab w:val="clear" w:pos="360"/>
              </w:tabs>
              <w:ind w:left="0"/>
              <w:jc w:val="right"/>
              <w:rPr>
                <w:b/>
                <w:sz w:val="20"/>
                <w:szCs w:val="20"/>
              </w:rPr>
            </w:pPr>
            <w:r w:rsidRPr="008462A1">
              <w:rPr>
                <w:b/>
                <w:sz w:val="20"/>
                <w:szCs w:val="20"/>
              </w:rPr>
              <w:t>£3,846,859</w:t>
            </w:r>
          </w:p>
        </w:tc>
        <w:tc>
          <w:tcPr>
            <w:tcW w:w="1701" w:type="dxa"/>
          </w:tcPr>
          <w:p w:rsidR="00DE532A" w:rsidRPr="008462A1" w:rsidRDefault="00DE532A" w:rsidP="0036019C">
            <w:pPr>
              <w:pStyle w:val="ListParagraph"/>
              <w:tabs>
                <w:tab w:val="clear" w:pos="360"/>
              </w:tabs>
              <w:ind w:left="0"/>
              <w:jc w:val="right"/>
              <w:rPr>
                <w:b/>
                <w:sz w:val="20"/>
                <w:szCs w:val="20"/>
              </w:rPr>
            </w:pPr>
            <w:r>
              <w:rPr>
                <w:b/>
                <w:sz w:val="20"/>
                <w:szCs w:val="20"/>
              </w:rPr>
              <w:t>£3,574,235</w:t>
            </w:r>
          </w:p>
        </w:tc>
        <w:tc>
          <w:tcPr>
            <w:tcW w:w="1559" w:type="dxa"/>
          </w:tcPr>
          <w:p w:rsidR="00DE532A" w:rsidRPr="008462A1" w:rsidRDefault="00DE532A" w:rsidP="0036019C">
            <w:pPr>
              <w:pStyle w:val="ListParagraph"/>
              <w:tabs>
                <w:tab w:val="clear" w:pos="360"/>
              </w:tabs>
              <w:ind w:left="0"/>
              <w:jc w:val="right"/>
              <w:rPr>
                <w:b/>
                <w:sz w:val="20"/>
                <w:szCs w:val="20"/>
              </w:rPr>
            </w:pPr>
            <w:r>
              <w:rPr>
                <w:b/>
                <w:sz w:val="20"/>
                <w:szCs w:val="20"/>
              </w:rPr>
              <w:t>-£272,624</w:t>
            </w:r>
          </w:p>
        </w:tc>
      </w:tr>
      <w:tr w:rsidR="00DE532A" w:rsidRPr="008462A1" w:rsidTr="0036019C">
        <w:tc>
          <w:tcPr>
            <w:tcW w:w="3652" w:type="dxa"/>
          </w:tcPr>
          <w:p w:rsidR="00DE532A" w:rsidRPr="008462A1" w:rsidRDefault="00DE532A" w:rsidP="0036019C">
            <w:pPr>
              <w:pStyle w:val="ListParagraph"/>
              <w:tabs>
                <w:tab w:val="clear" w:pos="360"/>
              </w:tabs>
              <w:ind w:left="0"/>
              <w:jc w:val="both"/>
              <w:rPr>
                <w:b/>
                <w:sz w:val="20"/>
                <w:szCs w:val="20"/>
              </w:rPr>
            </w:pPr>
            <w:r>
              <w:rPr>
                <w:b/>
                <w:sz w:val="20"/>
                <w:szCs w:val="20"/>
              </w:rPr>
              <w:t>Growth Fund budget</w:t>
            </w:r>
          </w:p>
        </w:tc>
        <w:tc>
          <w:tcPr>
            <w:tcW w:w="1701" w:type="dxa"/>
          </w:tcPr>
          <w:p w:rsidR="00DE532A" w:rsidRPr="008462A1" w:rsidRDefault="00DE532A" w:rsidP="0036019C">
            <w:pPr>
              <w:pStyle w:val="ListParagraph"/>
              <w:tabs>
                <w:tab w:val="clear" w:pos="360"/>
              </w:tabs>
              <w:ind w:left="0"/>
              <w:jc w:val="right"/>
              <w:rPr>
                <w:b/>
                <w:sz w:val="20"/>
                <w:szCs w:val="20"/>
              </w:rPr>
            </w:pPr>
            <w:r>
              <w:rPr>
                <w:b/>
                <w:sz w:val="20"/>
                <w:szCs w:val="20"/>
              </w:rPr>
              <w:t>£3,750,000</w:t>
            </w:r>
          </w:p>
        </w:tc>
        <w:tc>
          <w:tcPr>
            <w:tcW w:w="1701" w:type="dxa"/>
          </w:tcPr>
          <w:p w:rsidR="00DE532A" w:rsidRPr="008462A1" w:rsidRDefault="00DE532A" w:rsidP="0036019C">
            <w:pPr>
              <w:pStyle w:val="ListParagraph"/>
              <w:tabs>
                <w:tab w:val="clear" w:pos="360"/>
              </w:tabs>
              <w:ind w:left="0"/>
              <w:jc w:val="right"/>
              <w:rPr>
                <w:b/>
                <w:sz w:val="20"/>
                <w:szCs w:val="20"/>
              </w:rPr>
            </w:pPr>
            <w:r>
              <w:rPr>
                <w:b/>
                <w:sz w:val="20"/>
                <w:szCs w:val="20"/>
              </w:rPr>
              <w:t>£3,750,000</w:t>
            </w:r>
          </w:p>
        </w:tc>
        <w:tc>
          <w:tcPr>
            <w:tcW w:w="1559" w:type="dxa"/>
          </w:tcPr>
          <w:p w:rsidR="00DE532A" w:rsidRPr="008462A1" w:rsidRDefault="00BF6CD7" w:rsidP="00BF6CD7">
            <w:pPr>
              <w:pStyle w:val="ListParagraph"/>
              <w:tabs>
                <w:tab w:val="clear" w:pos="360"/>
              </w:tabs>
              <w:ind w:left="0"/>
              <w:jc w:val="right"/>
              <w:rPr>
                <w:b/>
                <w:sz w:val="20"/>
                <w:szCs w:val="20"/>
              </w:rPr>
            </w:pPr>
            <w:r>
              <w:rPr>
                <w:b/>
                <w:sz w:val="20"/>
                <w:szCs w:val="20"/>
              </w:rPr>
              <w:t>0</w:t>
            </w:r>
          </w:p>
        </w:tc>
      </w:tr>
      <w:tr w:rsidR="00DE532A" w:rsidRPr="008462A1" w:rsidTr="0036019C">
        <w:tc>
          <w:tcPr>
            <w:tcW w:w="3652" w:type="dxa"/>
          </w:tcPr>
          <w:p w:rsidR="00DE532A" w:rsidRPr="008462A1" w:rsidRDefault="00DE532A" w:rsidP="0036019C">
            <w:pPr>
              <w:pStyle w:val="ListParagraph"/>
              <w:tabs>
                <w:tab w:val="clear" w:pos="360"/>
              </w:tabs>
              <w:ind w:left="0"/>
              <w:jc w:val="both"/>
              <w:rPr>
                <w:b/>
                <w:sz w:val="20"/>
                <w:szCs w:val="20"/>
              </w:rPr>
            </w:pPr>
            <w:r>
              <w:rPr>
                <w:b/>
                <w:sz w:val="20"/>
                <w:szCs w:val="20"/>
              </w:rPr>
              <w:t>Overspend (underspend)</w:t>
            </w:r>
          </w:p>
        </w:tc>
        <w:tc>
          <w:tcPr>
            <w:tcW w:w="1701" w:type="dxa"/>
          </w:tcPr>
          <w:p w:rsidR="00DE532A" w:rsidRPr="008462A1" w:rsidRDefault="00DE532A" w:rsidP="0036019C">
            <w:pPr>
              <w:pStyle w:val="ListParagraph"/>
              <w:tabs>
                <w:tab w:val="clear" w:pos="360"/>
              </w:tabs>
              <w:ind w:left="0"/>
              <w:jc w:val="right"/>
              <w:rPr>
                <w:b/>
                <w:sz w:val="20"/>
                <w:szCs w:val="20"/>
              </w:rPr>
            </w:pPr>
            <w:r>
              <w:rPr>
                <w:b/>
                <w:sz w:val="20"/>
                <w:szCs w:val="20"/>
              </w:rPr>
              <w:t>£96,859</w:t>
            </w:r>
          </w:p>
        </w:tc>
        <w:tc>
          <w:tcPr>
            <w:tcW w:w="1701" w:type="dxa"/>
          </w:tcPr>
          <w:p w:rsidR="00DE532A" w:rsidRPr="008462A1" w:rsidRDefault="00BF6CD7" w:rsidP="0036019C">
            <w:pPr>
              <w:pStyle w:val="ListParagraph"/>
              <w:tabs>
                <w:tab w:val="clear" w:pos="360"/>
              </w:tabs>
              <w:ind w:left="0"/>
              <w:jc w:val="right"/>
              <w:rPr>
                <w:b/>
                <w:sz w:val="20"/>
                <w:szCs w:val="20"/>
              </w:rPr>
            </w:pPr>
            <w:r>
              <w:rPr>
                <w:b/>
                <w:sz w:val="20"/>
                <w:szCs w:val="20"/>
              </w:rPr>
              <w:t>(£175,765</w:t>
            </w:r>
            <w:r w:rsidR="00DE532A">
              <w:rPr>
                <w:b/>
                <w:sz w:val="20"/>
                <w:szCs w:val="20"/>
              </w:rPr>
              <w:t>)</w:t>
            </w:r>
          </w:p>
        </w:tc>
        <w:tc>
          <w:tcPr>
            <w:tcW w:w="1559" w:type="dxa"/>
          </w:tcPr>
          <w:p w:rsidR="00DE532A" w:rsidRPr="008462A1" w:rsidRDefault="00DE532A" w:rsidP="0036019C">
            <w:pPr>
              <w:pStyle w:val="ListParagraph"/>
              <w:tabs>
                <w:tab w:val="clear" w:pos="360"/>
              </w:tabs>
              <w:ind w:left="0"/>
              <w:jc w:val="both"/>
              <w:rPr>
                <w:b/>
                <w:sz w:val="20"/>
                <w:szCs w:val="20"/>
              </w:rPr>
            </w:pPr>
          </w:p>
        </w:tc>
      </w:tr>
    </w:tbl>
    <w:p w:rsidR="00DE532A" w:rsidRPr="004E64F2" w:rsidRDefault="00DE532A" w:rsidP="00DE532A">
      <w:pPr>
        <w:pStyle w:val="ListParagraph"/>
        <w:tabs>
          <w:tab w:val="clear" w:pos="360"/>
        </w:tabs>
        <w:ind w:left="567"/>
        <w:jc w:val="both"/>
        <w:rPr>
          <w:b/>
          <w:sz w:val="20"/>
          <w:szCs w:val="20"/>
        </w:rPr>
      </w:pPr>
    </w:p>
    <w:p w:rsidR="004E64F2" w:rsidRPr="0090665B" w:rsidRDefault="004E64F2" w:rsidP="00315BAA">
      <w:pPr>
        <w:pStyle w:val="ListParagraph"/>
        <w:tabs>
          <w:tab w:val="clear" w:pos="360"/>
        </w:tabs>
        <w:ind w:left="567" w:hanging="567"/>
        <w:jc w:val="both"/>
      </w:pPr>
    </w:p>
    <w:p w:rsidR="004E64F2" w:rsidRDefault="000B1CD2" w:rsidP="00C93867">
      <w:pPr>
        <w:pStyle w:val="ListParagraph"/>
        <w:numPr>
          <w:ilvl w:val="0"/>
          <w:numId w:val="22"/>
        </w:numPr>
        <w:ind w:left="1134" w:hanging="425"/>
        <w:jc w:val="both"/>
        <w:rPr>
          <w:i/>
          <w:u w:val="single"/>
        </w:rPr>
      </w:pPr>
      <w:r w:rsidRPr="00C93867">
        <w:rPr>
          <w:i/>
          <w:u w:val="single"/>
        </w:rPr>
        <w:t xml:space="preserve">DfE proposed changes for non-recoupment academies and  free schools </w:t>
      </w:r>
    </w:p>
    <w:p w:rsidR="006D1183" w:rsidRPr="00C93867" w:rsidRDefault="006D1183" w:rsidP="006D1183">
      <w:pPr>
        <w:pStyle w:val="ListParagraph"/>
        <w:tabs>
          <w:tab w:val="clear" w:pos="360"/>
        </w:tabs>
        <w:ind w:left="1134"/>
        <w:jc w:val="both"/>
        <w:rPr>
          <w:i/>
          <w:u w:val="single"/>
        </w:rPr>
      </w:pPr>
    </w:p>
    <w:p w:rsidR="004E64F2" w:rsidRPr="004634C4" w:rsidRDefault="004E64F2" w:rsidP="00315BAA">
      <w:pPr>
        <w:pStyle w:val="ListParagraph"/>
        <w:tabs>
          <w:tab w:val="clear" w:pos="360"/>
        </w:tabs>
        <w:ind w:left="567" w:hanging="567"/>
        <w:jc w:val="both"/>
      </w:pPr>
    </w:p>
    <w:p w:rsidR="00C93867" w:rsidRDefault="00C93867" w:rsidP="00C93867">
      <w:pPr>
        <w:pStyle w:val="ListParagraph"/>
        <w:numPr>
          <w:ilvl w:val="1"/>
          <w:numId w:val="21"/>
        </w:numPr>
        <w:ind w:left="709" w:hanging="709"/>
        <w:jc w:val="both"/>
      </w:pPr>
      <w:r>
        <w:t>As explained in the report on Schools Block funding, the DfE are proposing that from April 2015 local authorities will assume responsibility for funding the expansions of non-recoup</w:t>
      </w:r>
      <w:r w:rsidR="00373D31">
        <w:t>ment academies and free schools, other than those in their first year of opening.</w:t>
      </w:r>
      <w:r>
        <w:t xml:space="preserve"> This is an additional and unexpected cost for Waltham Forest if the proposed action is implemented.</w:t>
      </w:r>
    </w:p>
    <w:p w:rsidR="00C93867" w:rsidRDefault="00C93867" w:rsidP="00C93867">
      <w:pPr>
        <w:pStyle w:val="ListParagraph"/>
        <w:tabs>
          <w:tab w:val="clear" w:pos="360"/>
        </w:tabs>
        <w:ind w:left="709"/>
        <w:jc w:val="both"/>
      </w:pPr>
    </w:p>
    <w:p w:rsidR="005B7ADC" w:rsidRDefault="00C93867" w:rsidP="00C93867">
      <w:pPr>
        <w:pStyle w:val="ListParagraph"/>
        <w:numPr>
          <w:ilvl w:val="1"/>
          <w:numId w:val="21"/>
        </w:numPr>
        <w:ind w:left="709" w:hanging="709"/>
        <w:jc w:val="both"/>
      </w:pPr>
      <w:r>
        <w:t xml:space="preserve">Initial calculations suggest that the cost of funding the planned expansions at Emmanuel Primary School </w:t>
      </w:r>
      <w:r w:rsidR="001C01F4">
        <w:t>(extr</w:t>
      </w:r>
      <w:r>
        <w:t>a</w:t>
      </w:r>
      <w:r w:rsidR="001C01F4">
        <w:t xml:space="preserve"> 30 pupils) a</w:t>
      </w:r>
      <w:r>
        <w:t xml:space="preserve">nd </w:t>
      </w:r>
      <w:r w:rsidR="00AE287B">
        <w:t>Waltham Forest L</w:t>
      </w:r>
      <w:r w:rsidR="003B070C">
        <w:t xml:space="preserve">eadership College for Girls </w:t>
      </w:r>
      <w:r w:rsidR="001C01F4">
        <w:t>(extra 100 pupils)</w:t>
      </w:r>
      <w:r w:rsidR="00373D31">
        <w:t xml:space="preserve"> in 2015-</w:t>
      </w:r>
      <w:r w:rsidR="004E426A">
        <w:t>16 would</w:t>
      </w:r>
      <w:r w:rsidR="003B070C">
        <w:t xml:space="preserve"> be of the order of </w:t>
      </w:r>
      <w:r w:rsidR="003B070C" w:rsidRPr="003B070C">
        <w:rPr>
          <w:b/>
        </w:rPr>
        <w:t>£0.</w:t>
      </w:r>
      <w:r w:rsidR="00AE287B">
        <w:rPr>
          <w:b/>
        </w:rPr>
        <w:t>5</w:t>
      </w:r>
      <w:r w:rsidR="003B070C" w:rsidRPr="003B070C">
        <w:rPr>
          <w:b/>
        </w:rPr>
        <w:t>0</w:t>
      </w:r>
      <w:r w:rsidR="00083A40">
        <w:rPr>
          <w:b/>
        </w:rPr>
        <w:t>0</w:t>
      </w:r>
      <w:r w:rsidR="003B070C" w:rsidRPr="003B070C">
        <w:rPr>
          <w:b/>
        </w:rPr>
        <w:t>m</w:t>
      </w:r>
      <w:r w:rsidR="003B070C">
        <w:t xml:space="preserve"> – to </w:t>
      </w:r>
      <w:r w:rsidR="003B070C" w:rsidRPr="003B070C">
        <w:rPr>
          <w:b/>
        </w:rPr>
        <w:t>£0.</w:t>
      </w:r>
      <w:r w:rsidR="00083A40">
        <w:rPr>
          <w:b/>
        </w:rPr>
        <w:t>7</w:t>
      </w:r>
      <w:r w:rsidR="003B070C" w:rsidRPr="003B070C">
        <w:rPr>
          <w:b/>
        </w:rPr>
        <w:t>00m</w:t>
      </w:r>
      <w:r w:rsidR="00AE287B">
        <w:rPr>
          <w:b/>
        </w:rPr>
        <w:t xml:space="preserve">. </w:t>
      </w:r>
      <w:r w:rsidR="00AE287B" w:rsidRPr="001C01F4">
        <w:t>The hi</w:t>
      </w:r>
      <w:r w:rsidR="00373D31">
        <w:t>gher figure would apply if the Local A</w:t>
      </w:r>
      <w:r w:rsidR="00AE287B" w:rsidRPr="001C01F4">
        <w:t xml:space="preserve">uthority is responsible for </w:t>
      </w:r>
      <w:r w:rsidR="001C01F4" w:rsidRPr="001C01F4">
        <w:t xml:space="preserve">leadership/management and diseconomies of scale payments in addition </w:t>
      </w:r>
      <w:r w:rsidR="001C01F4">
        <w:t>to pupil driven factors.</w:t>
      </w:r>
      <w:r w:rsidRPr="001C01F4">
        <w:t xml:space="preserve"> </w:t>
      </w:r>
    </w:p>
    <w:p w:rsidR="001C01F4" w:rsidRDefault="001C01F4" w:rsidP="001C01F4">
      <w:pPr>
        <w:pStyle w:val="ListParagraph"/>
      </w:pPr>
    </w:p>
    <w:p w:rsidR="001C01F4" w:rsidRDefault="001C01F4" w:rsidP="00C93867">
      <w:pPr>
        <w:pStyle w:val="ListParagraph"/>
        <w:numPr>
          <w:ilvl w:val="1"/>
          <w:numId w:val="21"/>
        </w:numPr>
        <w:ind w:left="709" w:hanging="709"/>
        <w:jc w:val="both"/>
      </w:pPr>
      <w:r>
        <w:t xml:space="preserve">The issue is that there is no additional funding from the EFA to meet these costs. </w:t>
      </w:r>
      <w:r w:rsidR="00A411D9">
        <w:t xml:space="preserve">The DfE are in effect passing on the rising costs of the free school programme onto local authorities (and therefore schools and recoupment academies). </w:t>
      </w:r>
      <w:r>
        <w:t>The options open to the local authority are limited to:</w:t>
      </w:r>
    </w:p>
    <w:p w:rsidR="001C01F4" w:rsidRDefault="001C01F4" w:rsidP="001C01F4">
      <w:pPr>
        <w:pStyle w:val="ListParagraph"/>
      </w:pPr>
    </w:p>
    <w:p w:rsidR="001C01F4" w:rsidRDefault="001C01F4" w:rsidP="006D1183">
      <w:pPr>
        <w:pStyle w:val="ListParagraph"/>
        <w:numPr>
          <w:ilvl w:val="0"/>
          <w:numId w:val="23"/>
        </w:numPr>
        <w:ind w:left="1276" w:hanging="567"/>
        <w:jc w:val="both"/>
      </w:pPr>
      <w:r>
        <w:t xml:space="preserve">Reduce funding delegated to </w:t>
      </w:r>
      <w:r w:rsidR="000758C7">
        <w:t>schools in 2015-16 (roughly £13 - £18</w:t>
      </w:r>
      <w:r>
        <w:t xml:space="preserve"> per pupil if applied equally to both primary and secondary schools and academies). </w:t>
      </w:r>
      <w:r w:rsidR="006D1183">
        <w:t>However, m</w:t>
      </w:r>
      <w:r>
        <w:t>uch of this would fall upon the secondary sector</w:t>
      </w:r>
      <w:r w:rsidR="006D1183">
        <w:t xml:space="preserve"> (as explained in paragraph 4.4. above)</w:t>
      </w:r>
      <w:r>
        <w:t xml:space="preserve"> resulting in </w:t>
      </w:r>
      <w:r w:rsidR="006D1183">
        <w:t>MFG for</w:t>
      </w:r>
      <w:r>
        <w:t xml:space="preserve"> secondary schools </w:t>
      </w:r>
      <w:r w:rsidR="006D1183">
        <w:t xml:space="preserve">rising. </w:t>
      </w:r>
      <w:r>
        <w:t>The increased MFG would mainly be funded by reducing the gain for primary schools.</w:t>
      </w:r>
    </w:p>
    <w:p w:rsidR="001C01F4" w:rsidRDefault="001C01F4" w:rsidP="006D1183">
      <w:pPr>
        <w:pStyle w:val="ListParagraph"/>
        <w:tabs>
          <w:tab w:val="clear" w:pos="360"/>
        </w:tabs>
        <w:ind w:left="1276" w:hanging="567"/>
        <w:jc w:val="both"/>
      </w:pPr>
    </w:p>
    <w:p w:rsidR="001C01F4" w:rsidRDefault="001C01F4" w:rsidP="006D1183">
      <w:pPr>
        <w:pStyle w:val="ListParagraph"/>
        <w:numPr>
          <w:ilvl w:val="0"/>
          <w:numId w:val="23"/>
        </w:numPr>
        <w:ind w:left="1276" w:hanging="567"/>
        <w:jc w:val="both"/>
      </w:pPr>
      <w:r>
        <w:lastRenderedPageBreak/>
        <w:t xml:space="preserve">Find equivalent funding from underspends in Schools Block </w:t>
      </w:r>
      <w:r w:rsidR="006D1183">
        <w:t>and High Needs Block in 2013-14, if these can be identified.</w:t>
      </w:r>
    </w:p>
    <w:p w:rsidR="001C01F4" w:rsidRDefault="001C01F4" w:rsidP="006D1183">
      <w:pPr>
        <w:pStyle w:val="ListParagraph"/>
        <w:ind w:left="1276" w:hanging="567"/>
      </w:pPr>
    </w:p>
    <w:p w:rsidR="001C01F4" w:rsidRDefault="001C01F4" w:rsidP="006D1183">
      <w:pPr>
        <w:pStyle w:val="ListParagraph"/>
        <w:numPr>
          <w:ilvl w:val="0"/>
          <w:numId w:val="23"/>
        </w:numPr>
        <w:ind w:left="1276" w:hanging="567"/>
        <w:jc w:val="both"/>
      </w:pPr>
      <w:r>
        <w:t>Review criteria and seek savings in allocation of funding for expanding schools</w:t>
      </w:r>
    </w:p>
    <w:p w:rsidR="001C01F4" w:rsidRDefault="001C01F4" w:rsidP="001C01F4">
      <w:pPr>
        <w:pStyle w:val="ListParagraph"/>
      </w:pPr>
    </w:p>
    <w:p w:rsidR="001C01F4" w:rsidRDefault="001C01F4" w:rsidP="006D1183">
      <w:pPr>
        <w:pStyle w:val="ListParagraph"/>
        <w:numPr>
          <w:ilvl w:val="0"/>
          <w:numId w:val="23"/>
        </w:numPr>
        <w:ind w:left="1276" w:hanging="567"/>
        <w:jc w:val="both"/>
      </w:pPr>
      <w:r>
        <w:t>A combination of the above.</w:t>
      </w:r>
    </w:p>
    <w:p w:rsidR="001C01F4" w:rsidRDefault="001C01F4" w:rsidP="001C01F4">
      <w:pPr>
        <w:pStyle w:val="ListParagraph"/>
      </w:pPr>
    </w:p>
    <w:p w:rsidR="001C01F4" w:rsidRDefault="004E426A" w:rsidP="00A411D9">
      <w:pPr>
        <w:tabs>
          <w:tab w:val="clear" w:pos="360"/>
        </w:tabs>
        <w:ind w:left="709" w:hanging="709"/>
        <w:jc w:val="both"/>
      </w:pPr>
      <w:r>
        <w:t>4.8</w:t>
      </w:r>
      <w:r w:rsidR="001C01F4">
        <w:tab/>
        <w:t>If academies and free s</w:t>
      </w:r>
      <w:r w:rsidR="006D1183">
        <w:t>chools did not exist, then the Local A</w:t>
      </w:r>
      <w:r w:rsidR="001C01F4">
        <w:t xml:space="preserve">uthority </w:t>
      </w:r>
      <w:r w:rsidR="00A411D9">
        <w:t>would have been funding the opening of new schools. However, as shown in recent years in Waltham Forest, it is more cost effective, from a revenue funding basis, to expand existing schools rather than open small</w:t>
      </w:r>
      <w:r w:rsidR="006D1183">
        <w:t xml:space="preserve"> primary and secondary schools which are heavily subsidised in their first three years of opening.</w:t>
      </w:r>
    </w:p>
    <w:p w:rsidR="00A411D9" w:rsidRDefault="00A411D9" w:rsidP="00A411D9">
      <w:pPr>
        <w:tabs>
          <w:tab w:val="clear" w:pos="360"/>
        </w:tabs>
        <w:ind w:left="709" w:hanging="709"/>
        <w:jc w:val="both"/>
      </w:pPr>
    </w:p>
    <w:p w:rsidR="00A411D9" w:rsidRDefault="004E426A" w:rsidP="00A411D9">
      <w:pPr>
        <w:tabs>
          <w:tab w:val="clear" w:pos="360"/>
        </w:tabs>
        <w:ind w:left="709" w:hanging="709"/>
        <w:jc w:val="both"/>
      </w:pPr>
      <w:r>
        <w:t>4.9</w:t>
      </w:r>
      <w:r w:rsidR="00A411D9">
        <w:tab/>
        <w:t xml:space="preserve">Schools Forum is therefore being asked to </w:t>
      </w:r>
      <w:r w:rsidR="006D1183">
        <w:t>consider how it would like the Local A</w:t>
      </w:r>
      <w:r w:rsidR="00A411D9">
        <w:t>uthority to fund these additional costs should the DfE proposals be implemented following consultation.</w:t>
      </w:r>
    </w:p>
    <w:p w:rsidR="00A411D9" w:rsidRDefault="00A411D9" w:rsidP="00A411D9">
      <w:pPr>
        <w:tabs>
          <w:tab w:val="clear" w:pos="360"/>
        </w:tabs>
        <w:ind w:left="709" w:hanging="709"/>
        <w:jc w:val="both"/>
      </w:pPr>
    </w:p>
    <w:p w:rsidR="00A411D9" w:rsidRDefault="00A411D9" w:rsidP="00A411D9">
      <w:pPr>
        <w:pStyle w:val="ListParagraph"/>
        <w:numPr>
          <w:ilvl w:val="0"/>
          <w:numId w:val="23"/>
        </w:numPr>
        <w:ind w:left="1134" w:hanging="425"/>
        <w:jc w:val="both"/>
        <w:rPr>
          <w:i/>
          <w:u w:val="single"/>
        </w:rPr>
      </w:pPr>
      <w:r w:rsidRPr="00A411D9">
        <w:rPr>
          <w:i/>
          <w:u w:val="single"/>
        </w:rPr>
        <w:t>Review of existing criteria for the allocation of funding through the Growth Fund</w:t>
      </w:r>
    </w:p>
    <w:p w:rsidR="006D1183" w:rsidRPr="00A411D9" w:rsidRDefault="006D1183" w:rsidP="006D1183">
      <w:pPr>
        <w:pStyle w:val="ListParagraph"/>
        <w:tabs>
          <w:tab w:val="clear" w:pos="360"/>
        </w:tabs>
        <w:ind w:left="1134"/>
        <w:jc w:val="both"/>
        <w:rPr>
          <w:i/>
          <w:u w:val="single"/>
        </w:rPr>
      </w:pPr>
    </w:p>
    <w:p w:rsidR="00A411D9" w:rsidRDefault="004E426A" w:rsidP="00A411D9">
      <w:pPr>
        <w:tabs>
          <w:tab w:val="clear" w:pos="360"/>
        </w:tabs>
        <w:ind w:left="709" w:hanging="709"/>
        <w:jc w:val="both"/>
      </w:pPr>
      <w:r>
        <w:t>4.10</w:t>
      </w:r>
      <w:r w:rsidR="000758C7">
        <w:tab/>
      </w:r>
      <w:r w:rsidR="000758C7" w:rsidRPr="000758C7">
        <w:rPr>
          <w:b/>
        </w:rPr>
        <w:t>Appendix A</w:t>
      </w:r>
      <w:r w:rsidR="000758C7">
        <w:t xml:space="preserve"> sets out the current criteria as agreed by Schools Forum in September 2013. Schools Forum </w:t>
      </w:r>
      <w:proofErr w:type="gramStart"/>
      <w:r w:rsidR="000758C7">
        <w:t>are</w:t>
      </w:r>
      <w:proofErr w:type="gramEnd"/>
      <w:r w:rsidR="000758C7">
        <w:t xml:space="preserve"> being asked to consider whether the same criteria should be applied in 2015-16. </w:t>
      </w:r>
    </w:p>
    <w:p w:rsidR="000758C7" w:rsidRDefault="000758C7" w:rsidP="00A411D9">
      <w:pPr>
        <w:tabs>
          <w:tab w:val="clear" w:pos="360"/>
        </w:tabs>
        <w:ind w:left="709" w:hanging="709"/>
        <w:jc w:val="both"/>
      </w:pPr>
    </w:p>
    <w:p w:rsidR="000758C7" w:rsidRPr="00984F5E" w:rsidRDefault="000758C7" w:rsidP="000758C7">
      <w:pPr>
        <w:pStyle w:val="ListParagraph"/>
        <w:numPr>
          <w:ilvl w:val="0"/>
          <w:numId w:val="14"/>
        </w:numPr>
        <w:ind w:hanging="720"/>
        <w:jc w:val="both"/>
        <w:rPr>
          <w:b/>
        </w:rPr>
      </w:pPr>
      <w:r w:rsidRPr="00984F5E">
        <w:rPr>
          <w:b/>
        </w:rPr>
        <w:t>CONSULTATION</w:t>
      </w:r>
    </w:p>
    <w:p w:rsidR="000758C7" w:rsidRPr="00A3220A" w:rsidRDefault="000758C7" w:rsidP="000758C7">
      <w:pPr>
        <w:pStyle w:val="ListParagraph"/>
        <w:tabs>
          <w:tab w:val="clear" w:pos="360"/>
        </w:tabs>
        <w:ind w:left="465"/>
        <w:jc w:val="both"/>
        <w:rPr>
          <w:b/>
        </w:rPr>
      </w:pPr>
    </w:p>
    <w:p w:rsidR="000758C7" w:rsidRDefault="000758C7" w:rsidP="000758C7">
      <w:pPr>
        <w:tabs>
          <w:tab w:val="clear" w:pos="360"/>
        </w:tabs>
        <w:spacing w:before="0" w:after="200"/>
        <w:ind w:left="709" w:hanging="709"/>
        <w:jc w:val="both"/>
      </w:pPr>
      <w:r w:rsidRPr="00373765">
        <w:t>5.1</w:t>
      </w:r>
      <w:r>
        <w:tab/>
        <w:t>There has not been any specific consultation with schools on the recommendations set out in this report.</w:t>
      </w:r>
      <w:r w:rsidR="006D1183">
        <w:t xml:space="preserve"> However, the views of School Forum are being sought on how the funding issue raised in the report is addressed.</w:t>
      </w:r>
    </w:p>
    <w:p w:rsidR="000758C7" w:rsidRDefault="000758C7">
      <w:pPr>
        <w:tabs>
          <w:tab w:val="clear" w:pos="360"/>
        </w:tabs>
        <w:spacing w:before="0" w:after="200" w:line="276" w:lineRule="auto"/>
      </w:pPr>
      <w:r>
        <w:br w:type="page"/>
      </w:r>
    </w:p>
    <w:p w:rsidR="000758C7" w:rsidRDefault="000758C7" w:rsidP="006D1183">
      <w:pPr>
        <w:pBdr>
          <w:bottom w:val="single" w:sz="4" w:space="1" w:color="auto"/>
        </w:pBdr>
        <w:tabs>
          <w:tab w:val="clear" w:pos="360"/>
        </w:tabs>
        <w:ind w:left="709" w:hanging="709"/>
        <w:jc w:val="both"/>
        <w:rPr>
          <w:rFonts w:cs="Arial"/>
          <w:b/>
        </w:rPr>
      </w:pPr>
      <w:r w:rsidRPr="000758C7">
        <w:rPr>
          <w:b/>
        </w:rPr>
        <w:lastRenderedPageBreak/>
        <w:t xml:space="preserve">Appendix A: </w:t>
      </w:r>
      <w:r w:rsidRPr="000758C7">
        <w:rPr>
          <w:rFonts w:cs="Arial"/>
          <w:b/>
        </w:rPr>
        <w:t>Criteria for the allocation of funding through the Growth Fund</w:t>
      </w:r>
    </w:p>
    <w:p w:rsidR="00242178" w:rsidRPr="000C7F8F" w:rsidRDefault="00242178" w:rsidP="00242178">
      <w:pPr>
        <w:spacing w:after="0"/>
        <w:jc w:val="both"/>
        <w:rPr>
          <w:rFonts w:cs="Arial"/>
          <w:b/>
        </w:rPr>
      </w:pPr>
      <w:r w:rsidRPr="000C7F8F">
        <w:rPr>
          <w:rFonts w:cs="Arial"/>
          <w:b/>
        </w:rPr>
        <w:t>Permanent Expansions:</w:t>
      </w:r>
    </w:p>
    <w:p w:rsidR="00242178" w:rsidRPr="000C7F8F" w:rsidRDefault="000C7F8F" w:rsidP="000C7F8F">
      <w:pPr>
        <w:tabs>
          <w:tab w:val="clear" w:pos="360"/>
          <w:tab w:val="num" w:pos="567"/>
        </w:tabs>
        <w:spacing w:after="0"/>
        <w:ind w:firstLine="567"/>
        <w:jc w:val="both"/>
        <w:rPr>
          <w:rFonts w:cs="Arial"/>
          <w:i/>
        </w:rPr>
      </w:pPr>
      <w:r w:rsidRPr="000C7F8F">
        <w:rPr>
          <w:rFonts w:cs="Arial"/>
          <w:i/>
        </w:rPr>
        <w:t>AWPU and other Pupil Driven factors:</w:t>
      </w:r>
    </w:p>
    <w:p w:rsidR="000C7F8F" w:rsidRPr="000C7F8F" w:rsidRDefault="000C7F8F" w:rsidP="000C7F8F">
      <w:pPr>
        <w:tabs>
          <w:tab w:val="clear" w:pos="360"/>
          <w:tab w:val="num" w:pos="567"/>
        </w:tabs>
        <w:spacing w:after="0"/>
        <w:ind w:firstLine="567"/>
        <w:jc w:val="both"/>
        <w:rPr>
          <w:rFonts w:cs="Arial"/>
          <w:b/>
          <w:sz w:val="16"/>
          <w:szCs w:val="16"/>
        </w:rPr>
      </w:pPr>
    </w:p>
    <w:p w:rsidR="00242178" w:rsidRDefault="00242178" w:rsidP="00242178">
      <w:pPr>
        <w:pStyle w:val="ListParagraph"/>
        <w:numPr>
          <w:ilvl w:val="0"/>
          <w:numId w:val="25"/>
        </w:numPr>
        <w:spacing w:before="0" w:after="0"/>
        <w:ind w:left="567" w:hanging="567"/>
        <w:jc w:val="both"/>
        <w:rPr>
          <w:rFonts w:cs="Arial"/>
        </w:rPr>
      </w:pPr>
      <w:r w:rsidRPr="00FE14AE">
        <w:rPr>
          <w:rFonts w:cs="Arial"/>
        </w:rPr>
        <w:t>Any pr</w:t>
      </w:r>
      <w:r w:rsidR="006D1183">
        <w:rPr>
          <w:rFonts w:cs="Arial"/>
        </w:rPr>
        <w:t>imary and secondary school and a</w:t>
      </w:r>
      <w:r w:rsidRPr="00FE14AE">
        <w:rPr>
          <w:rFonts w:cs="Arial"/>
        </w:rPr>
        <w:t xml:space="preserve">cademy undergoing planned expansion e.g. reception classes and at year 7 will be eligible. Payment will be 7/12ths of the annual </w:t>
      </w:r>
      <w:r>
        <w:rPr>
          <w:rFonts w:cs="Arial"/>
        </w:rPr>
        <w:t xml:space="preserve">factor </w:t>
      </w:r>
      <w:r w:rsidRPr="00FE14AE">
        <w:rPr>
          <w:rFonts w:cs="Arial"/>
        </w:rPr>
        <w:t>rate</w:t>
      </w:r>
      <w:r>
        <w:rPr>
          <w:rFonts w:cs="Arial"/>
        </w:rPr>
        <w:t>s for AWPU, FSM6, IDACI, EAL, Low Prior Attainment and mobility</w:t>
      </w:r>
      <w:r w:rsidRPr="00FE14AE">
        <w:rPr>
          <w:rFonts w:cs="Arial"/>
        </w:rPr>
        <w:t xml:space="preserve"> to cover </w:t>
      </w:r>
      <w:r>
        <w:rPr>
          <w:rFonts w:cs="Arial"/>
        </w:rPr>
        <w:t xml:space="preserve">the </w:t>
      </w:r>
      <w:r w:rsidRPr="00FE14AE">
        <w:rPr>
          <w:rFonts w:cs="Arial"/>
        </w:rPr>
        <w:t>additional costs incurred between 1 September and 31</w:t>
      </w:r>
      <w:r>
        <w:rPr>
          <w:rFonts w:cs="Arial"/>
        </w:rPr>
        <w:t xml:space="preserve"> </w:t>
      </w:r>
      <w:r w:rsidR="006D1183">
        <w:rPr>
          <w:rFonts w:cs="Arial"/>
        </w:rPr>
        <w:t>March.  Schools and a</w:t>
      </w:r>
      <w:r w:rsidRPr="00FE14AE">
        <w:rPr>
          <w:rFonts w:cs="Arial"/>
        </w:rPr>
        <w:t xml:space="preserve">cademies will be funded for the planned number of pupils e.g. 30 per extra FE. However from the next financial year, funding for the year group will be </w:t>
      </w:r>
      <w:proofErr w:type="gramStart"/>
      <w:r w:rsidRPr="00FE14AE">
        <w:rPr>
          <w:rFonts w:cs="Arial"/>
        </w:rPr>
        <w:t xml:space="preserve">based </w:t>
      </w:r>
      <w:r>
        <w:rPr>
          <w:rFonts w:cs="Arial"/>
        </w:rPr>
        <w:t>o</w:t>
      </w:r>
      <w:r w:rsidRPr="00FE14AE">
        <w:rPr>
          <w:rFonts w:cs="Arial"/>
        </w:rPr>
        <w:t>n</w:t>
      </w:r>
      <w:proofErr w:type="gramEnd"/>
      <w:r w:rsidRPr="00FE14AE">
        <w:rPr>
          <w:rFonts w:cs="Arial"/>
        </w:rPr>
        <w:t xml:space="preserve"> the actual NOR in the October census. It will cease when schools have reached </w:t>
      </w:r>
      <w:r>
        <w:rPr>
          <w:rFonts w:cs="Arial"/>
        </w:rPr>
        <w:t>capacity</w:t>
      </w:r>
      <w:r w:rsidRPr="00FE14AE">
        <w:rPr>
          <w:rFonts w:cs="Arial"/>
        </w:rPr>
        <w:t xml:space="preserve"> in all year groups.</w:t>
      </w:r>
      <w:r>
        <w:rPr>
          <w:rFonts w:cs="Arial"/>
        </w:rPr>
        <w:t xml:space="preserve"> </w:t>
      </w:r>
      <w:r w:rsidRPr="00C9200B">
        <w:rPr>
          <w:rFonts w:cs="Arial"/>
        </w:rPr>
        <w:t>This planned growth is net of any bulge classes in the outgoing year 6 or year 11.</w:t>
      </w:r>
      <w:r>
        <w:rPr>
          <w:rFonts w:cs="Arial"/>
        </w:rPr>
        <w:t xml:space="preserve"> </w:t>
      </w:r>
    </w:p>
    <w:p w:rsidR="000C7F8F" w:rsidRPr="000C7F8F" w:rsidRDefault="000C7F8F" w:rsidP="000C7F8F">
      <w:pPr>
        <w:pStyle w:val="ListParagraph"/>
        <w:tabs>
          <w:tab w:val="clear" w:pos="360"/>
        </w:tabs>
        <w:spacing w:before="0" w:after="0"/>
        <w:ind w:left="567"/>
        <w:jc w:val="both"/>
        <w:rPr>
          <w:rFonts w:cs="Arial"/>
          <w:sz w:val="16"/>
          <w:szCs w:val="16"/>
        </w:rPr>
      </w:pPr>
    </w:p>
    <w:p w:rsidR="000C7F8F" w:rsidRPr="000C7F8F" w:rsidRDefault="000C7F8F" w:rsidP="000C7F8F">
      <w:pPr>
        <w:pStyle w:val="ListParagraph"/>
        <w:tabs>
          <w:tab w:val="clear" w:pos="360"/>
        </w:tabs>
        <w:spacing w:before="0" w:after="0"/>
        <w:ind w:left="567"/>
        <w:jc w:val="both"/>
        <w:rPr>
          <w:rFonts w:cs="Arial"/>
          <w:i/>
        </w:rPr>
      </w:pPr>
      <w:r w:rsidRPr="000C7F8F">
        <w:rPr>
          <w:rFonts w:cs="Arial"/>
          <w:i/>
        </w:rPr>
        <w:t>Leadership and Management Allowance:</w:t>
      </w:r>
    </w:p>
    <w:p w:rsidR="00242178" w:rsidRPr="000C7F8F" w:rsidRDefault="00242178" w:rsidP="00242178">
      <w:pPr>
        <w:pStyle w:val="ListParagraph"/>
        <w:spacing w:after="0"/>
        <w:jc w:val="both"/>
        <w:rPr>
          <w:rFonts w:cs="Arial"/>
          <w:sz w:val="16"/>
          <w:szCs w:val="16"/>
        </w:rPr>
      </w:pPr>
    </w:p>
    <w:p w:rsidR="00242178" w:rsidRDefault="00242178" w:rsidP="00242178">
      <w:pPr>
        <w:pStyle w:val="ListParagraph"/>
        <w:numPr>
          <w:ilvl w:val="0"/>
          <w:numId w:val="25"/>
        </w:numPr>
        <w:spacing w:before="0" w:after="0"/>
        <w:ind w:left="567" w:hanging="567"/>
        <w:jc w:val="both"/>
        <w:rPr>
          <w:rFonts w:cs="Arial"/>
        </w:rPr>
      </w:pPr>
      <w:r w:rsidRPr="00FE14AE">
        <w:rPr>
          <w:rFonts w:cs="Arial"/>
        </w:rPr>
        <w:t xml:space="preserve">Where the planned expansion of the maintained </w:t>
      </w:r>
      <w:r w:rsidR="006D1183">
        <w:rPr>
          <w:rFonts w:cs="Arial"/>
        </w:rPr>
        <w:t>school or a</w:t>
      </w:r>
      <w:r w:rsidRPr="00FE14AE">
        <w:rPr>
          <w:rFonts w:cs="Arial"/>
        </w:rPr>
        <w:t>cademy is by at least 2FE, the Local Authority will provide additional Leadership and Management funding worth £150,000 over the first three financial years in recognition of the increase in management costs associated with significant expansion.</w:t>
      </w:r>
    </w:p>
    <w:p w:rsidR="000C7F8F" w:rsidRPr="000C7F8F" w:rsidRDefault="000C7F8F" w:rsidP="000C7F8F">
      <w:pPr>
        <w:pStyle w:val="ListParagraph"/>
        <w:rPr>
          <w:rFonts w:cs="Arial"/>
          <w:sz w:val="16"/>
          <w:szCs w:val="16"/>
        </w:rPr>
      </w:pPr>
    </w:p>
    <w:p w:rsidR="000C7F8F" w:rsidRPr="000C7F8F" w:rsidRDefault="000C7F8F" w:rsidP="000C7F8F">
      <w:pPr>
        <w:pStyle w:val="ListParagraph"/>
        <w:tabs>
          <w:tab w:val="clear" w:pos="360"/>
        </w:tabs>
        <w:spacing w:before="0" w:after="0"/>
        <w:ind w:left="567"/>
        <w:jc w:val="both"/>
        <w:rPr>
          <w:rFonts w:cs="Arial"/>
          <w:i/>
        </w:rPr>
      </w:pPr>
      <w:r w:rsidRPr="000C7F8F">
        <w:rPr>
          <w:rFonts w:cs="Arial"/>
          <w:i/>
        </w:rPr>
        <w:t>Expansion onto Second Sites:</w:t>
      </w:r>
    </w:p>
    <w:p w:rsidR="000C7F8F" w:rsidRPr="000C7F8F" w:rsidRDefault="000C7F8F" w:rsidP="000C7F8F">
      <w:pPr>
        <w:pStyle w:val="ListParagraph"/>
        <w:tabs>
          <w:tab w:val="clear" w:pos="360"/>
        </w:tabs>
        <w:spacing w:before="0" w:after="0"/>
        <w:ind w:left="567"/>
        <w:jc w:val="both"/>
        <w:rPr>
          <w:rFonts w:cs="Arial"/>
          <w:sz w:val="16"/>
          <w:szCs w:val="16"/>
        </w:rPr>
      </w:pPr>
    </w:p>
    <w:p w:rsidR="000C7F8F" w:rsidRDefault="000C7F8F" w:rsidP="000C7F8F">
      <w:pPr>
        <w:pStyle w:val="ListParagraph"/>
        <w:numPr>
          <w:ilvl w:val="0"/>
          <w:numId w:val="25"/>
        </w:numPr>
        <w:spacing w:before="0" w:after="0"/>
        <w:ind w:left="567" w:hanging="567"/>
        <w:jc w:val="both"/>
        <w:rPr>
          <w:rFonts w:cs="Arial"/>
        </w:rPr>
      </w:pPr>
      <w:r w:rsidRPr="00FE14AE">
        <w:rPr>
          <w:rFonts w:cs="Arial"/>
        </w:rPr>
        <w:t>Where the planned expansi</w:t>
      </w:r>
      <w:r w:rsidR="006D1183">
        <w:rPr>
          <w:rFonts w:cs="Arial"/>
        </w:rPr>
        <w:t>on of the maintained school or a</w:t>
      </w:r>
      <w:r w:rsidRPr="00FE14AE">
        <w:rPr>
          <w:rFonts w:cs="Arial"/>
        </w:rPr>
        <w:t xml:space="preserve">cademy involves a second site, the Local Authority will provide a split-site payment through delegated funding. In addition, the </w:t>
      </w:r>
      <w:r>
        <w:rPr>
          <w:rFonts w:cs="Arial"/>
        </w:rPr>
        <w:t>L</w:t>
      </w:r>
      <w:r w:rsidRPr="00FE14AE">
        <w:rPr>
          <w:rFonts w:cs="Arial"/>
        </w:rPr>
        <w:t xml:space="preserve">ocal </w:t>
      </w:r>
      <w:r>
        <w:rPr>
          <w:rFonts w:cs="Arial"/>
        </w:rPr>
        <w:t>A</w:t>
      </w:r>
      <w:r w:rsidRPr="00FE14AE">
        <w:rPr>
          <w:rFonts w:cs="Arial"/>
        </w:rPr>
        <w:t xml:space="preserve">uthority will make a tapered payment to such schools in the first few years of expansion on to the second site in recognition of the fact that all the costs incurred for utilities, caretaking and cleaning and maintenance are now met solely out of AWPU and that in the first few years, the additional pupils do not generate sufficient funding to meet these costs. </w:t>
      </w:r>
    </w:p>
    <w:p w:rsidR="000C7F8F" w:rsidRPr="00FE14AE" w:rsidRDefault="000C7F8F" w:rsidP="000C7F8F">
      <w:pPr>
        <w:pStyle w:val="ListParagraph"/>
        <w:tabs>
          <w:tab w:val="clear" w:pos="360"/>
        </w:tabs>
        <w:spacing w:before="0" w:after="0"/>
        <w:ind w:left="567"/>
        <w:jc w:val="both"/>
        <w:rPr>
          <w:rFonts w:cs="Arial"/>
        </w:rPr>
      </w:pPr>
    </w:p>
    <w:p w:rsidR="000C7F8F" w:rsidRDefault="000C7F8F" w:rsidP="000C7F8F">
      <w:pPr>
        <w:pStyle w:val="ListParagraph"/>
        <w:numPr>
          <w:ilvl w:val="0"/>
          <w:numId w:val="25"/>
        </w:numPr>
        <w:spacing w:before="0" w:after="0"/>
        <w:ind w:left="567" w:hanging="567"/>
        <w:jc w:val="both"/>
        <w:rPr>
          <w:rFonts w:cs="Arial"/>
        </w:rPr>
      </w:pPr>
      <w:r w:rsidRPr="000C7F8F">
        <w:rPr>
          <w:rFonts w:cs="Arial"/>
        </w:rPr>
        <w:t>Broadly speaking the average costs (per pupil) have been calc</w:t>
      </w:r>
      <w:r w:rsidR="006D1183">
        <w:rPr>
          <w:rFonts w:cs="Arial"/>
        </w:rPr>
        <w:t>ulated at £150 per pupil, e.g. 3</w:t>
      </w:r>
      <w:r w:rsidRPr="000C7F8F">
        <w:rPr>
          <w:rFonts w:cs="Arial"/>
        </w:rPr>
        <w:t>FE site costs @£94,500 utilities and caretaking cost.  The Local Authority plans to meet the shortfall in funding until the NOR on the new site reaches 70% of capacity e.g.</w:t>
      </w:r>
      <w:r w:rsidR="006D1183">
        <w:rPr>
          <w:rFonts w:cs="Arial"/>
        </w:rPr>
        <w:t xml:space="preserve"> normally</w:t>
      </w:r>
      <w:r w:rsidRPr="000C7F8F">
        <w:rPr>
          <w:rFonts w:cs="Arial"/>
        </w:rPr>
        <w:t xml:space="preserve"> the September when the growth in the size of the scho</w:t>
      </w:r>
      <w:r w:rsidR="006D1183">
        <w:rPr>
          <w:rFonts w:cs="Arial"/>
        </w:rPr>
        <w:t>ol reached Year 5. Thus, for a 3</w:t>
      </w:r>
      <w:r w:rsidRPr="000C7F8F">
        <w:rPr>
          <w:rFonts w:cs="Arial"/>
        </w:rPr>
        <w:t xml:space="preserve">FE expansion the funding (in academic years) would be as set out in Table 1 below:  </w:t>
      </w:r>
    </w:p>
    <w:p w:rsidR="000C7F8F" w:rsidRPr="000C7F8F" w:rsidRDefault="000C7F8F" w:rsidP="000C7F8F">
      <w:pPr>
        <w:pStyle w:val="ListParagraph"/>
        <w:rPr>
          <w:rFonts w:cs="Arial"/>
          <w:sz w:val="16"/>
          <w:szCs w:val="16"/>
        </w:rPr>
      </w:pPr>
    </w:p>
    <w:p w:rsidR="000C7F8F" w:rsidRPr="000C7F8F" w:rsidRDefault="000C7F8F" w:rsidP="000C7F8F">
      <w:pPr>
        <w:tabs>
          <w:tab w:val="clear" w:pos="360"/>
        </w:tabs>
        <w:ind w:firstLine="567"/>
        <w:jc w:val="both"/>
        <w:rPr>
          <w:rFonts w:cs="Arial"/>
          <w:b/>
          <w:sz w:val="20"/>
          <w:szCs w:val="20"/>
        </w:rPr>
      </w:pPr>
      <w:r w:rsidRPr="000C7F8F">
        <w:rPr>
          <w:rFonts w:cs="Arial"/>
          <w:b/>
          <w:sz w:val="20"/>
          <w:szCs w:val="20"/>
        </w:rPr>
        <w:t xml:space="preserve">Table 1: Additional funding for expanding on a second site </w:t>
      </w:r>
    </w:p>
    <w:tbl>
      <w:tblPr>
        <w:tblStyle w:val="TableGrid"/>
        <w:tblW w:w="0" w:type="auto"/>
        <w:tblInd w:w="675" w:type="dxa"/>
        <w:tblLook w:val="04A0" w:firstRow="1" w:lastRow="0" w:firstColumn="1" w:lastColumn="0" w:noHBand="0" w:noVBand="1"/>
      </w:tblPr>
      <w:tblGrid>
        <w:gridCol w:w="1293"/>
        <w:gridCol w:w="1117"/>
        <w:gridCol w:w="2552"/>
      </w:tblGrid>
      <w:tr w:rsidR="000C7F8F" w:rsidRPr="00FE14AE" w:rsidTr="000C7F8F">
        <w:tc>
          <w:tcPr>
            <w:tcW w:w="1293" w:type="dxa"/>
          </w:tcPr>
          <w:p w:rsidR="000C7F8F" w:rsidRPr="00FE14AE" w:rsidRDefault="000C7F8F" w:rsidP="0036019C">
            <w:pPr>
              <w:ind w:hanging="108"/>
              <w:jc w:val="both"/>
              <w:rPr>
                <w:rFonts w:cs="Arial"/>
                <w:b/>
                <w:sz w:val="20"/>
                <w:szCs w:val="20"/>
              </w:rPr>
            </w:pPr>
            <w:r w:rsidRPr="00FE14AE">
              <w:rPr>
                <w:rFonts w:cs="Arial"/>
                <w:b/>
                <w:sz w:val="20"/>
                <w:szCs w:val="20"/>
              </w:rPr>
              <w:t>September</w:t>
            </w:r>
          </w:p>
        </w:tc>
        <w:tc>
          <w:tcPr>
            <w:tcW w:w="1117" w:type="dxa"/>
          </w:tcPr>
          <w:p w:rsidR="000C7F8F" w:rsidRPr="00FE14AE" w:rsidRDefault="000C7F8F" w:rsidP="0036019C">
            <w:pPr>
              <w:jc w:val="both"/>
              <w:rPr>
                <w:rFonts w:cs="Arial"/>
                <w:b/>
                <w:sz w:val="20"/>
                <w:szCs w:val="20"/>
              </w:rPr>
            </w:pPr>
            <w:r w:rsidRPr="00FE14AE">
              <w:rPr>
                <w:rFonts w:cs="Arial"/>
                <w:b/>
                <w:sz w:val="20"/>
                <w:szCs w:val="20"/>
              </w:rPr>
              <w:t>Shortfall</w:t>
            </w:r>
          </w:p>
        </w:tc>
        <w:tc>
          <w:tcPr>
            <w:tcW w:w="2552" w:type="dxa"/>
          </w:tcPr>
          <w:p w:rsidR="000C7F8F" w:rsidRPr="00FE14AE" w:rsidRDefault="000C7F8F" w:rsidP="0036019C">
            <w:pPr>
              <w:jc w:val="both"/>
              <w:rPr>
                <w:rFonts w:cs="Arial"/>
                <w:b/>
                <w:sz w:val="20"/>
                <w:szCs w:val="20"/>
              </w:rPr>
            </w:pPr>
            <w:r w:rsidRPr="00FE14AE">
              <w:rPr>
                <w:rFonts w:cs="Arial"/>
                <w:b/>
                <w:sz w:val="20"/>
                <w:szCs w:val="20"/>
              </w:rPr>
              <w:t xml:space="preserve">Additional Funding </w:t>
            </w:r>
          </w:p>
        </w:tc>
      </w:tr>
      <w:tr w:rsidR="000C7F8F" w:rsidRPr="00FE14AE" w:rsidTr="000C7F8F">
        <w:trPr>
          <w:trHeight w:val="342"/>
        </w:trPr>
        <w:tc>
          <w:tcPr>
            <w:tcW w:w="1293" w:type="dxa"/>
          </w:tcPr>
          <w:p w:rsidR="000C7F8F" w:rsidRPr="00FE14AE" w:rsidRDefault="000C7F8F" w:rsidP="0036019C">
            <w:pPr>
              <w:ind w:hanging="108"/>
              <w:jc w:val="both"/>
              <w:rPr>
                <w:rFonts w:cs="Arial"/>
                <w:sz w:val="20"/>
                <w:szCs w:val="20"/>
              </w:rPr>
            </w:pPr>
            <w:r w:rsidRPr="00FE14AE">
              <w:rPr>
                <w:rFonts w:cs="Arial"/>
                <w:sz w:val="20"/>
                <w:szCs w:val="20"/>
              </w:rPr>
              <w:t>Year 1</w:t>
            </w:r>
          </w:p>
        </w:tc>
        <w:tc>
          <w:tcPr>
            <w:tcW w:w="1117" w:type="dxa"/>
          </w:tcPr>
          <w:p w:rsidR="000C7F8F" w:rsidRPr="00FE14AE" w:rsidRDefault="000C7F8F" w:rsidP="0036019C">
            <w:pPr>
              <w:jc w:val="right"/>
              <w:rPr>
                <w:rFonts w:cs="Arial"/>
                <w:sz w:val="20"/>
                <w:szCs w:val="20"/>
              </w:rPr>
            </w:pPr>
            <w:r w:rsidRPr="00FE14AE">
              <w:rPr>
                <w:rFonts w:cs="Arial"/>
                <w:sz w:val="20"/>
                <w:szCs w:val="20"/>
              </w:rPr>
              <w:t>540</w:t>
            </w:r>
          </w:p>
        </w:tc>
        <w:tc>
          <w:tcPr>
            <w:tcW w:w="2552" w:type="dxa"/>
          </w:tcPr>
          <w:p w:rsidR="000C7F8F" w:rsidRPr="00FE14AE" w:rsidRDefault="000C7F8F" w:rsidP="0036019C">
            <w:pPr>
              <w:jc w:val="right"/>
              <w:rPr>
                <w:rFonts w:cs="Arial"/>
                <w:sz w:val="20"/>
                <w:szCs w:val="20"/>
              </w:rPr>
            </w:pPr>
            <w:r w:rsidRPr="00FE14AE">
              <w:rPr>
                <w:rFonts w:cs="Arial"/>
                <w:sz w:val="20"/>
                <w:szCs w:val="20"/>
              </w:rPr>
              <w:t>£81,000</w:t>
            </w:r>
          </w:p>
        </w:tc>
      </w:tr>
      <w:tr w:rsidR="000C7F8F" w:rsidRPr="00FE14AE" w:rsidTr="000C7F8F">
        <w:tc>
          <w:tcPr>
            <w:tcW w:w="1293" w:type="dxa"/>
          </w:tcPr>
          <w:p w:rsidR="000C7F8F" w:rsidRPr="00FE14AE" w:rsidRDefault="000C7F8F" w:rsidP="0036019C">
            <w:pPr>
              <w:ind w:hanging="108"/>
              <w:jc w:val="both"/>
              <w:rPr>
                <w:rFonts w:cs="Arial"/>
                <w:sz w:val="20"/>
                <w:szCs w:val="20"/>
              </w:rPr>
            </w:pPr>
            <w:r w:rsidRPr="00FE14AE">
              <w:rPr>
                <w:rFonts w:cs="Arial"/>
                <w:sz w:val="20"/>
                <w:szCs w:val="20"/>
              </w:rPr>
              <w:t>Year 2</w:t>
            </w:r>
          </w:p>
        </w:tc>
        <w:tc>
          <w:tcPr>
            <w:tcW w:w="1117" w:type="dxa"/>
          </w:tcPr>
          <w:p w:rsidR="000C7F8F" w:rsidRPr="00FE14AE" w:rsidRDefault="000C7F8F" w:rsidP="0036019C">
            <w:pPr>
              <w:jc w:val="right"/>
              <w:rPr>
                <w:rFonts w:cs="Arial"/>
                <w:sz w:val="20"/>
                <w:szCs w:val="20"/>
              </w:rPr>
            </w:pPr>
            <w:r w:rsidRPr="00FE14AE">
              <w:rPr>
                <w:rFonts w:cs="Arial"/>
                <w:sz w:val="20"/>
                <w:szCs w:val="20"/>
              </w:rPr>
              <w:t>450</w:t>
            </w:r>
          </w:p>
        </w:tc>
        <w:tc>
          <w:tcPr>
            <w:tcW w:w="2552" w:type="dxa"/>
          </w:tcPr>
          <w:p w:rsidR="000C7F8F" w:rsidRPr="00FE14AE" w:rsidRDefault="000C7F8F" w:rsidP="0036019C">
            <w:pPr>
              <w:jc w:val="right"/>
              <w:rPr>
                <w:rFonts w:cs="Arial"/>
                <w:sz w:val="20"/>
                <w:szCs w:val="20"/>
              </w:rPr>
            </w:pPr>
            <w:r w:rsidRPr="00FE14AE">
              <w:rPr>
                <w:rFonts w:cs="Arial"/>
                <w:sz w:val="20"/>
                <w:szCs w:val="20"/>
              </w:rPr>
              <w:t>£67,500</w:t>
            </w:r>
          </w:p>
        </w:tc>
      </w:tr>
      <w:tr w:rsidR="000C7F8F" w:rsidRPr="00FE14AE" w:rsidTr="000C7F8F">
        <w:tc>
          <w:tcPr>
            <w:tcW w:w="1293" w:type="dxa"/>
          </w:tcPr>
          <w:p w:rsidR="000C7F8F" w:rsidRPr="00FE14AE" w:rsidRDefault="000C7F8F" w:rsidP="0036019C">
            <w:pPr>
              <w:ind w:hanging="108"/>
              <w:jc w:val="both"/>
              <w:rPr>
                <w:rFonts w:cs="Arial"/>
                <w:sz w:val="20"/>
                <w:szCs w:val="20"/>
              </w:rPr>
            </w:pPr>
            <w:r w:rsidRPr="00FE14AE">
              <w:rPr>
                <w:rFonts w:cs="Arial"/>
                <w:sz w:val="20"/>
                <w:szCs w:val="20"/>
              </w:rPr>
              <w:t>Year 3</w:t>
            </w:r>
          </w:p>
        </w:tc>
        <w:tc>
          <w:tcPr>
            <w:tcW w:w="1117" w:type="dxa"/>
          </w:tcPr>
          <w:p w:rsidR="000C7F8F" w:rsidRPr="00FE14AE" w:rsidRDefault="000C7F8F" w:rsidP="0036019C">
            <w:pPr>
              <w:jc w:val="right"/>
              <w:rPr>
                <w:rFonts w:cs="Arial"/>
                <w:sz w:val="20"/>
                <w:szCs w:val="20"/>
              </w:rPr>
            </w:pPr>
            <w:r w:rsidRPr="00FE14AE">
              <w:rPr>
                <w:rFonts w:cs="Arial"/>
                <w:sz w:val="20"/>
                <w:szCs w:val="20"/>
              </w:rPr>
              <w:t>360</w:t>
            </w:r>
          </w:p>
        </w:tc>
        <w:tc>
          <w:tcPr>
            <w:tcW w:w="2552" w:type="dxa"/>
          </w:tcPr>
          <w:p w:rsidR="000C7F8F" w:rsidRPr="00FE14AE" w:rsidRDefault="000C7F8F" w:rsidP="0036019C">
            <w:pPr>
              <w:jc w:val="right"/>
              <w:rPr>
                <w:rFonts w:cs="Arial"/>
                <w:sz w:val="20"/>
                <w:szCs w:val="20"/>
              </w:rPr>
            </w:pPr>
            <w:r w:rsidRPr="00FE14AE">
              <w:rPr>
                <w:rFonts w:cs="Arial"/>
                <w:sz w:val="20"/>
                <w:szCs w:val="20"/>
              </w:rPr>
              <w:t>£54,000</w:t>
            </w:r>
          </w:p>
        </w:tc>
      </w:tr>
      <w:tr w:rsidR="000C7F8F" w:rsidRPr="00FE14AE" w:rsidTr="000C7F8F">
        <w:tc>
          <w:tcPr>
            <w:tcW w:w="1293" w:type="dxa"/>
          </w:tcPr>
          <w:p w:rsidR="000C7F8F" w:rsidRPr="00FE14AE" w:rsidRDefault="000C7F8F" w:rsidP="0036019C">
            <w:pPr>
              <w:ind w:hanging="108"/>
              <w:jc w:val="both"/>
              <w:rPr>
                <w:rFonts w:cs="Arial"/>
                <w:sz w:val="20"/>
                <w:szCs w:val="20"/>
              </w:rPr>
            </w:pPr>
            <w:r w:rsidRPr="00FE14AE">
              <w:rPr>
                <w:rFonts w:cs="Arial"/>
                <w:sz w:val="20"/>
                <w:szCs w:val="20"/>
              </w:rPr>
              <w:t>Year 4</w:t>
            </w:r>
          </w:p>
        </w:tc>
        <w:tc>
          <w:tcPr>
            <w:tcW w:w="1117" w:type="dxa"/>
          </w:tcPr>
          <w:p w:rsidR="000C7F8F" w:rsidRPr="00FE14AE" w:rsidRDefault="000C7F8F" w:rsidP="0036019C">
            <w:pPr>
              <w:jc w:val="right"/>
              <w:rPr>
                <w:rFonts w:cs="Arial"/>
                <w:sz w:val="20"/>
                <w:szCs w:val="20"/>
              </w:rPr>
            </w:pPr>
            <w:r w:rsidRPr="00FE14AE">
              <w:rPr>
                <w:rFonts w:cs="Arial"/>
                <w:sz w:val="20"/>
                <w:szCs w:val="20"/>
              </w:rPr>
              <w:t>270</w:t>
            </w:r>
          </w:p>
        </w:tc>
        <w:tc>
          <w:tcPr>
            <w:tcW w:w="2552" w:type="dxa"/>
          </w:tcPr>
          <w:p w:rsidR="000C7F8F" w:rsidRPr="00FE14AE" w:rsidRDefault="000C7F8F" w:rsidP="0036019C">
            <w:pPr>
              <w:jc w:val="right"/>
              <w:rPr>
                <w:rFonts w:cs="Arial"/>
                <w:sz w:val="20"/>
                <w:szCs w:val="20"/>
              </w:rPr>
            </w:pPr>
            <w:r w:rsidRPr="00FE14AE">
              <w:rPr>
                <w:rFonts w:cs="Arial"/>
                <w:sz w:val="20"/>
                <w:szCs w:val="20"/>
              </w:rPr>
              <w:t>£40,500</w:t>
            </w:r>
          </w:p>
        </w:tc>
      </w:tr>
      <w:tr w:rsidR="000C7F8F" w:rsidRPr="00FE14AE" w:rsidTr="000C7F8F">
        <w:tc>
          <w:tcPr>
            <w:tcW w:w="1293" w:type="dxa"/>
          </w:tcPr>
          <w:p w:rsidR="000C7F8F" w:rsidRPr="00FE14AE" w:rsidRDefault="000C7F8F" w:rsidP="0036019C">
            <w:pPr>
              <w:ind w:hanging="108"/>
              <w:jc w:val="both"/>
              <w:rPr>
                <w:rFonts w:cs="Arial"/>
                <w:sz w:val="20"/>
                <w:szCs w:val="20"/>
              </w:rPr>
            </w:pPr>
            <w:r w:rsidRPr="00FE14AE">
              <w:rPr>
                <w:rFonts w:cs="Arial"/>
                <w:sz w:val="20"/>
                <w:szCs w:val="20"/>
              </w:rPr>
              <w:t>Year 5</w:t>
            </w:r>
          </w:p>
        </w:tc>
        <w:tc>
          <w:tcPr>
            <w:tcW w:w="1117" w:type="dxa"/>
          </w:tcPr>
          <w:p w:rsidR="000C7F8F" w:rsidRPr="00FE14AE" w:rsidRDefault="000C7F8F" w:rsidP="0036019C">
            <w:pPr>
              <w:jc w:val="right"/>
              <w:rPr>
                <w:rFonts w:cs="Arial"/>
                <w:sz w:val="20"/>
                <w:szCs w:val="20"/>
              </w:rPr>
            </w:pPr>
            <w:r w:rsidRPr="00FE14AE">
              <w:rPr>
                <w:rFonts w:cs="Arial"/>
                <w:sz w:val="20"/>
                <w:szCs w:val="20"/>
              </w:rPr>
              <w:t>180</w:t>
            </w:r>
          </w:p>
        </w:tc>
        <w:tc>
          <w:tcPr>
            <w:tcW w:w="2552" w:type="dxa"/>
          </w:tcPr>
          <w:p w:rsidR="000C7F8F" w:rsidRPr="00FE14AE" w:rsidRDefault="000C7F8F" w:rsidP="0036019C">
            <w:pPr>
              <w:jc w:val="right"/>
              <w:rPr>
                <w:rFonts w:cs="Arial"/>
                <w:sz w:val="20"/>
                <w:szCs w:val="20"/>
              </w:rPr>
            </w:pPr>
            <w:r w:rsidRPr="00FE14AE">
              <w:rPr>
                <w:rFonts w:cs="Arial"/>
                <w:sz w:val="20"/>
                <w:szCs w:val="20"/>
              </w:rPr>
              <w:t>£27,000</w:t>
            </w:r>
          </w:p>
        </w:tc>
      </w:tr>
    </w:tbl>
    <w:p w:rsidR="00242178" w:rsidRDefault="00242178" w:rsidP="000C7F8F">
      <w:pPr>
        <w:pStyle w:val="ListParagraph"/>
        <w:tabs>
          <w:tab w:val="clear" w:pos="360"/>
        </w:tabs>
        <w:spacing w:before="0" w:after="0"/>
        <w:ind w:left="567"/>
        <w:jc w:val="both"/>
        <w:rPr>
          <w:rFonts w:cs="Arial"/>
        </w:rPr>
      </w:pPr>
    </w:p>
    <w:p w:rsidR="00242178" w:rsidRDefault="00242178" w:rsidP="000C7F8F">
      <w:pPr>
        <w:pStyle w:val="ListParagraph"/>
        <w:tabs>
          <w:tab w:val="clear" w:pos="360"/>
        </w:tabs>
        <w:spacing w:before="0" w:after="0"/>
        <w:ind w:left="567"/>
        <w:jc w:val="both"/>
        <w:rPr>
          <w:rFonts w:cs="Arial"/>
        </w:rPr>
      </w:pPr>
    </w:p>
    <w:p w:rsidR="000C7F8F" w:rsidRPr="000C7F8F" w:rsidRDefault="000C7F8F" w:rsidP="000C7F8F">
      <w:pPr>
        <w:pStyle w:val="ListParagraph"/>
        <w:tabs>
          <w:tab w:val="clear" w:pos="360"/>
        </w:tabs>
        <w:spacing w:before="0" w:after="0"/>
        <w:ind w:left="567"/>
        <w:jc w:val="both"/>
        <w:rPr>
          <w:rFonts w:cs="Arial"/>
          <w:b/>
        </w:rPr>
      </w:pPr>
      <w:r w:rsidRPr="000C7F8F">
        <w:rPr>
          <w:rFonts w:cs="Arial"/>
          <w:b/>
        </w:rPr>
        <w:lastRenderedPageBreak/>
        <w:t>Bulge Classes:</w:t>
      </w:r>
    </w:p>
    <w:p w:rsidR="000C7F8F" w:rsidRPr="000C7F8F" w:rsidRDefault="000C7F8F" w:rsidP="000C7F8F">
      <w:pPr>
        <w:tabs>
          <w:tab w:val="clear" w:pos="360"/>
          <w:tab w:val="num" w:pos="567"/>
        </w:tabs>
        <w:spacing w:after="0"/>
        <w:ind w:firstLine="567"/>
        <w:jc w:val="both"/>
        <w:rPr>
          <w:rFonts w:cs="Arial"/>
          <w:i/>
        </w:rPr>
      </w:pPr>
      <w:r w:rsidRPr="000C7F8F">
        <w:rPr>
          <w:rFonts w:cs="Arial"/>
          <w:i/>
        </w:rPr>
        <w:t>AWPU and other Pupil Driven factors:</w:t>
      </w:r>
    </w:p>
    <w:p w:rsidR="000C7F8F" w:rsidRDefault="000C7F8F" w:rsidP="000C7F8F">
      <w:pPr>
        <w:pStyle w:val="ListParagraph"/>
        <w:tabs>
          <w:tab w:val="clear" w:pos="360"/>
        </w:tabs>
        <w:spacing w:before="0" w:after="0"/>
        <w:ind w:left="567"/>
        <w:jc w:val="both"/>
        <w:rPr>
          <w:rFonts w:cs="Arial"/>
        </w:rPr>
      </w:pPr>
    </w:p>
    <w:p w:rsidR="00146962" w:rsidRDefault="00242178" w:rsidP="00242178">
      <w:pPr>
        <w:pStyle w:val="ListParagraph"/>
        <w:numPr>
          <w:ilvl w:val="0"/>
          <w:numId w:val="25"/>
        </w:numPr>
        <w:spacing w:before="0" w:after="0"/>
        <w:ind w:left="567" w:hanging="567"/>
        <w:jc w:val="both"/>
        <w:rPr>
          <w:rFonts w:cs="Arial"/>
        </w:rPr>
      </w:pPr>
      <w:r w:rsidRPr="000C7F8F">
        <w:rPr>
          <w:rFonts w:cs="Arial"/>
        </w:rPr>
        <w:t>Any pr</w:t>
      </w:r>
      <w:r w:rsidR="004E426A">
        <w:rPr>
          <w:rFonts w:cs="Arial"/>
        </w:rPr>
        <w:t>imary and secondary school and a</w:t>
      </w:r>
      <w:r w:rsidRPr="000C7F8F">
        <w:rPr>
          <w:rFonts w:cs="Arial"/>
        </w:rPr>
        <w:t>cademy accepting an additional temporary</w:t>
      </w:r>
      <w:r w:rsidR="000C7F8F" w:rsidRPr="000C7F8F">
        <w:rPr>
          <w:rFonts w:cs="Arial"/>
        </w:rPr>
        <w:t xml:space="preserve"> (bulge)</w:t>
      </w:r>
      <w:r w:rsidRPr="000C7F8F">
        <w:rPr>
          <w:rFonts w:cs="Arial"/>
        </w:rPr>
        <w:t xml:space="preserve"> class will be eligible. </w:t>
      </w:r>
      <w:r w:rsidR="000C7F8F" w:rsidRPr="000C7F8F">
        <w:rPr>
          <w:rFonts w:cs="Arial"/>
        </w:rPr>
        <w:t>Payment will be 7/12ths of the annual factor rates for AWPU, FSM6, IDACI, EAL, Low Prior Attainment and mobility to cover the additional costs incurred between 1 Septem</w:t>
      </w:r>
      <w:r w:rsidR="004E426A">
        <w:rPr>
          <w:rFonts w:cs="Arial"/>
        </w:rPr>
        <w:t>ber and 31 March.  Schools and a</w:t>
      </w:r>
      <w:r w:rsidR="000C7F8F" w:rsidRPr="000C7F8F">
        <w:rPr>
          <w:rFonts w:cs="Arial"/>
        </w:rPr>
        <w:t xml:space="preserve">cademies will be funded for the planned number of pupils e.g. 30 per extra FE. However from the next financial year, funding for the year group will be </w:t>
      </w:r>
      <w:proofErr w:type="gramStart"/>
      <w:r w:rsidR="000C7F8F" w:rsidRPr="000C7F8F">
        <w:rPr>
          <w:rFonts w:cs="Arial"/>
        </w:rPr>
        <w:t>based on</w:t>
      </w:r>
      <w:proofErr w:type="gramEnd"/>
      <w:r w:rsidR="000C7F8F" w:rsidRPr="000C7F8F">
        <w:rPr>
          <w:rFonts w:cs="Arial"/>
        </w:rPr>
        <w:t xml:space="preserve"> the a</w:t>
      </w:r>
      <w:r w:rsidR="00146962">
        <w:rPr>
          <w:rFonts w:cs="Arial"/>
        </w:rPr>
        <w:t>ctual NOR in the October census, subject to applying a class size funding guarantee.</w:t>
      </w:r>
    </w:p>
    <w:p w:rsidR="00146962" w:rsidRDefault="00146962" w:rsidP="00146962">
      <w:pPr>
        <w:pStyle w:val="ListParagraph"/>
        <w:tabs>
          <w:tab w:val="clear" w:pos="360"/>
        </w:tabs>
        <w:spacing w:before="0" w:after="0"/>
        <w:ind w:left="567"/>
        <w:jc w:val="both"/>
        <w:rPr>
          <w:rFonts w:cs="Arial"/>
        </w:rPr>
      </w:pPr>
    </w:p>
    <w:p w:rsidR="00242178" w:rsidRPr="00146962" w:rsidRDefault="00146962" w:rsidP="00146962">
      <w:pPr>
        <w:pStyle w:val="ListParagraph"/>
        <w:tabs>
          <w:tab w:val="clear" w:pos="360"/>
        </w:tabs>
        <w:spacing w:before="0" w:after="0"/>
        <w:ind w:left="567"/>
        <w:jc w:val="both"/>
        <w:rPr>
          <w:rFonts w:cs="Arial"/>
          <w:i/>
        </w:rPr>
      </w:pPr>
      <w:r w:rsidRPr="00146962">
        <w:rPr>
          <w:rFonts w:cs="Arial"/>
          <w:i/>
        </w:rPr>
        <w:t>Resources:</w:t>
      </w:r>
      <w:r w:rsidR="00242178" w:rsidRPr="00146962">
        <w:rPr>
          <w:rFonts w:cs="Arial"/>
          <w:i/>
        </w:rPr>
        <w:t xml:space="preserve"> </w:t>
      </w:r>
    </w:p>
    <w:p w:rsidR="00242178" w:rsidRPr="00FE14AE" w:rsidRDefault="00242178" w:rsidP="00242178">
      <w:pPr>
        <w:pStyle w:val="ListParagraph"/>
        <w:rPr>
          <w:rFonts w:cs="Arial"/>
        </w:rPr>
      </w:pPr>
    </w:p>
    <w:p w:rsidR="00242178" w:rsidRDefault="00242178" w:rsidP="00242178">
      <w:pPr>
        <w:pStyle w:val="ListParagraph"/>
        <w:numPr>
          <w:ilvl w:val="0"/>
          <w:numId w:val="25"/>
        </w:numPr>
        <w:spacing w:before="0" w:after="0"/>
        <w:ind w:left="567" w:hanging="567"/>
        <w:jc w:val="both"/>
        <w:rPr>
          <w:rFonts w:cs="Arial"/>
        </w:rPr>
      </w:pPr>
      <w:r w:rsidRPr="00FE14AE">
        <w:rPr>
          <w:rFonts w:cs="Arial"/>
        </w:rPr>
        <w:t>Where there is only a temporary one-off expan</w:t>
      </w:r>
      <w:r w:rsidR="004E426A">
        <w:rPr>
          <w:rFonts w:cs="Arial"/>
        </w:rPr>
        <w:t>sion, the maintained school or a</w:t>
      </w:r>
      <w:r w:rsidRPr="00FE14AE">
        <w:rPr>
          <w:rFonts w:cs="Arial"/>
        </w:rPr>
        <w:t>cademy will receive an extra £200 per pupil towards the cost of additional resources over and above the AWPU and targeted pupil support.</w:t>
      </w:r>
      <w:r w:rsidR="004E426A">
        <w:rPr>
          <w:rFonts w:cs="Arial"/>
        </w:rPr>
        <w:t xml:space="preserve"> This is equivalent to a one–off £6,000 payment per class.</w:t>
      </w:r>
    </w:p>
    <w:p w:rsidR="00146962" w:rsidRDefault="00146962" w:rsidP="00146962">
      <w:pPr>
        <w:pStyle w:val="ListParagraph"/>
        <w:tabs>
          <w:tab w:val="clear" w:pos="360"/>
        </w:tabs>
        <w:spacing w:before="0" w:after="0"/>
        <w:ind w:left="567"/>
        <w:jc w:val="both"/>
        <w:rPr>
          <w:rFonts w:cs="Arial"/>
        </w:rPr>
      </w:pPr>
    </w:p>
    <w:p w:rsidR="00146962" w:rsidRPr="00146962" w:rsidRDefault="00146962" w:rsidP="00146962">
      <w:pPr>
        <w:pStyle w:val="ListParagraph"/>
        <w:tabs>
          <w:tab w:val="clear" w:pos="360"/>
        </w:tabs>
        <w:spacing w:before="0" w:after="0"/>
        <w:ind w:left="567"/>
        <w:jc w:val="both"/>
        <w:rPr>
          <w:rFonts w:cs="Arial"/>
          <w:i/>
        </w:rPr>
      </w:pPr>
      <w:r w:rsidRPr="00146962">
        <w:rPr>
          <w:rFonts w:cs="Arial"/>
          <w:i/>
        </w:rPr>
        <w:t>Class size guarantee:</w:t>
      </w:r>
    </w:p>
    <w:p w:rsidR="00242178" w:rsidRPr="00FE14AE" w:rsidRDefault="00242178" w:rsidP="00242178">
      <w:pPr>
        <w:pStyle w:val="ListParagraph"/>
        <w:spacing w:after="0"/>
        <w:ind w:left="567" w:hanging="567"/>
        <w:jc w:val="both"/>
        <w:rPr>
          <w:rFonts w:cs="Arial"/>
        </w:rPr>
      </w:pPr>
    </w:p>
    <w:p w:rsidR="00242178" w:rsidRPr="00FE14AE" w:rsidRDefault="00146962" w:rsidP="00242178">
      <w:pPr>
        <w:pStyle w:val="ListParagraph"/>
        <w:numPr>
          <w:ilvl w:val="0"/>
          <w:numId w:val="25"/>
        </w:numPr>
        <w:spacing w:before="0" w:after="0"/>
        <w:ind w:left="567" w:hanging="567"/>
        <w:jc w:val="both"/>
        <w:rPr>
          <w:rFonts w:cs="Arial"/>
        </w:rPr>
      </w:pPr>
      <w:r>
        <w:rPr>
          <w:rFonts w:cs="Arial"/>
        </w:rPr>
        <w:t>T</w:t>
      </w:r>
      <w:r w:rsidR="004E426A">
        <w:rPr>
          <w:rFonts w:cs="Arial"/>
        </w:rPr>
        <w:t>he Local A</w:t>
      </w:r>
      <w:r w:rsidR="00242178" w:rsidRPr="00FE14AE">
        <w:rPr>
          <w:rFonts w:cs="Arial"/>
        </w:rPr>
        <w:t xml:space="preserve">uthority will give a minimum class size guarantee of AWPU funding for 25 pupils per class or FE. This means that if the actual NOR in the class </w:t>
      </w:r>
      <w:proofErr w:type="gramStart"/>
      <w:r w:rsidR="00242178" w:rsidRPr="00FE14AE">
        <w:rPr>
          <w:rFonts w:cs="Arial"/>
        </w:rPr>
        <w:t>is</w:t>
      </w:r>
      <w:proofErr w:type="gramEnd"/>
      <w:r w:rsidR="00242178" w:rsidRPr="00FE14AE">
        <w:rPr>
          <w:rFonts w:cs="Arial"/>
        </w:rPr>
        <w:t xml:space="preserve"> only 23 at the time of the October census, the Local Authority will increase AWPU funding as if the actual NOR was 25. </w:t>
      </w:r>
      <w:r>
        <w:rPr>
          <w:rFonts w:cs="Arial"/>
        </w:rPr>
        <w:t>This guarantee applies for as long as the bulge class remains within the school. If numbers in the bulge class fall to zero, the class size protection will cease.</w:t>
      </w:r>
    </w:p>
    <w:p w:rsidR="00242178" w:rsidRPr="00FE14AE" w:rsidRDefault="00242178" w:rsidP="00242178">
      <w:pPr>
        <w:pStyle w:val="ListParagraph"/>
        <w:rPr>
          <w:rFonts w:cs="Arial"/>
        </w:rPr>
      </w:pPr>
    </w:p>
    <w:p w:rsidR="00242178" w:rsidRPr="00146962" w:rsidRDefault="00146962" w:rsidP="00C9200B">
      <w:pPr>
        <w:pStyle w:val="ListParagraph"/>
        <w:ind w:hanging="153"/>
        <w:rPr>
          <w:rFonts w:cs="Arial"/>
          <w:b/>
          <w:i/>
        </w:rPr>
      </w:pPr>
      <w:r w:rsidRPr="00146962">
        <w:rPr>
          <w:rFonts w:cs="Arial"/>
          <w:b/>
          <w:i/>
        </w:rPr>
        <w:t>Reception and Key Stage 1 classes:</w:t>
      </w:r>
    </w:p>
    <w:p w:rsidR="00242178" w:rsidRPr="00FE14AE" w:rsidRDefault="00242178" w:rsidP="00242178">
      <w:pPr>
        <w:pStyle w:val="ListParagraph"/>
        <w:spacing w:after="0"/>
        <w:jc w:val="both"/>
        <w:rPr>
          <w:rFonts w:cs="Arial"/>
        </w:rPr>
      </w:pPr>
    </w:p>
    <w:p w:rsidR="00242178" w:rsidRDefault="00242178" w:rsidP="00242178">
      <w:pPr>
        <w:pStyle w:val="ListParagraph"/>
        <w:numPr>
          <w:ilvl w:val="0"/>
          <w:numId w:val="26"/>
        </w:numPr>
        <w:spacing w:before="0" w:after="0"/>
        <w:ind w:left="567" w:hanging="567"/>
        <w:jc w:val="both"/>
        <w:rPr>
          <w:rFonts w:cs="Arial"/>
        </w:rPr>
      </w:pPr>
      <w:r w:rsidRPr="00FE14AE">
        <w:rPr>
          <w:rFonts w:cs="Arial"/>
        </w:rPr>
        <w:t xml:space="preserve">Where as a result of an appeal or the </w:t>
      </w:r>
      <w:r>
        <w:rPr>
          <w:rFonts w:cs="Arial"/>
        </w:rPr>
        <w:t>L</w:t>
      </w:r>
      <w:r w:rsidRPr="00FE14AE">
        <w:rPr>
          <w:rFonts w:cs="Arial"/>
        </w:rPr>
        <w:t xml:space="preserve">ocal </w:t>
      </w:r>
      <w:r>
        <w:rPr>
          <w:rFonts w:cs="Arial"/>
        </w:rPr>
        <w:t>A</w:t>
      </w:r>
      <w:r w:rsidRPr="00FE14AE">
        <w:rPr>
          <w:rFonts w:cs="Arial"/>
        </w:rPr>
        <w:t>uthority asks a school to take a child (e.g. looked-after or with SEN) which takes the number in the reception or Key stage class to over 30, the Local Authority will meet the cost of an additional teacher to keep the class size at 30 or below. Payments will be made termly in arrears based on submitted evidence of costs incurred by the school.</w:t>
      </w:r>
    </w:p>
    <w:p w:rsidR="00146962" w:rsidRDefault="00146962" w:rsidP="00146962">
      <w:pPr>
        <w:tabs>
          <w:tab w:val="clear" w:pos="360"/>
        </w:tabs>
        <w:spacing w:before="0" w:after="0"/>
        <w:jc w:val="both"/>
        <w:rPr>
          <w:rFonts w:cs="Arial"/>
        </w:rPr>
      </w:pPr>
    </w:p>
    <w:p w:rsidR="00146962" w:rsidRDefault="00146962" w:rsidP="00146962">
      <w:pPr>
        <w:tabs>
          <w:tab w:val="clear" w:pos="360"/>
        </w:tabs>
        <w:spacing w:before="0" w:after="0"/>
        <w:ind w:left="567"/>
        <w:jc w:val="both"/>
        <w:rPr>
          <w:rFonts w:cs="Arial"/>
          <w:b/>
        </w:rPr>
      </w:pPr>
      <w:r w:rsidRPr="007727C0">
        <w:rPr>
          <w:rFonts w:cs="Arial"/>
          <w:b/>
        </w:rPr>
        <w:t xml:space="preserve">Good and outstanding </w:t>
      </w:r>
      <w:r w:rsidR="007727C0" w:rsidRPr="007727C0">
        <w:rPr>
          <w:rFonts w:cs="Arial"/>
          <w:b/>
        </w:rPr>
        <w:t xml:space="preserve">schools with surplus places over </w:t>
      </w:r>
      <w:r w:rsidR="007727C0">
        <w:rPr>
          <w:rFonts w:cs="Arial"/>
          <w:b/>
        </w:rPr>
        <w:t>20%:</w:t>
      </w:r>
    </w:p>
    <w:p w:rsidR="007727C0" w:rsidRDefault="007727C0" w:rsidP="00146962">
      <w:pPr>
        <w:tabs>
          <w:tab w:val="clear" w:pos="360"/>
        </w:tabs>
        <w:spacing w:before="0" w:after="0"/>
        <w:ind w:left="567"/>
        <w:jc w:val="both"/>
        <w:rPr>
          <w:rFonts w:cs="Arial"/>
          <w:b/>
        </w:rPr>
      </w:pPr>
    </w:p>
    <w:p w:rsidR="007727C0" w:rsidRDefault="007727C0" w:rsidP="007727C0">
      <w:pPr>
        <w:pStyle w:val="ListParagraph"/>
        <w:numPr>
          <w:ilvl w:val="0"/>
          <w:numId w:val="26"/>
        </w:numPr>
        <w:spacing w:before="0" w:after="0"/>
        <w:ind w:left="567" w:hanging="567"/>
        <w:jc w:val="both"/>
        <w:rPr>
          <w:rFonts w:cs="Arial"/>
        </w:rPr>
      </w:pPr>
      <w:r w:rsidRPr="007727C0">
        <w:rPr>
          <w:rFonts w:cs="Arial"/>
        </w:rPr>
        <w:t xml:space="preserve">Where </w:t>
      </w:r>
      <w:r>
        <w:rPr>
          <w:rFonts w:cs="Arial"/>
        </w:rPr>
        <w:t>a school has more than 20% surplus places and has a current Ofsted judgement of good or outstandi</w:t>
      </w:r>
      <w:r w:rsidR="004E426A">
        <w:rPr>
          <w:rFonts w:cs="Arial"/>
        </w:rPr>
        <w:t>ng and is in an area where the Local A</w:t>
      </w:r>
      <w:r>
        <w:rPr>
          <w:rFonts w:cs="Arial"/>
        </w:rPr>
        <w:t>uthority expects school rolls t</w:t>
      </w:r>
      <w:r w:rsidR="004E426A">
        <w:rPr>
          <w:rFonts w:cs="Arial"/>
        </w:rPr>
        <w:t>o rise within three years, the Local A</w:t>
      </w:r>
      <w:r>
        <w:rPr>
          <w:rFonts w:cs="Arial"/>
        </w:rPr>
        <w:t>uthority will allocate additional funding according to the following formula:</w:t>
      </w:r>
    </w:p>
    <w:p w:rsidR="007727C0" w:rsidRDefault="007727C0" w:rsidP="007727C0">
      <w:pPr>
        <w:tabs>
          <w:tab w:val="clear" w:pos="360"/>
        </w:tabs>
        <w:spacing w:before="0" w:after="0"/>
        <w:jc w:val="both"/>
        <w:rPr>
          <w:rFonts w:cs="Arial"/>
        </w:rPr>
      </w:pPr>
    </w:p>
    <w:p w:rsidR="007727C0" w:rsidRDefault="007727C0" w:rsidP="007727C0">
      <w:pPr>
        <w:tabs>
          <w:tab w:val="clear" w:pos="360"/>
        </w:tabs>
        <w:spacing w:before="0" w:after="0"/>
        <w:ind w:left="567"/>
        <w:jc w:val="both"/>
        <w:rPr>
          <w:rFonts w:cs="Arial"/>
        </w:rPr>
      </w:pPr>
      <w:proofErr w:type="gramStart"/>
      <w:r>
        <w:rPr>
          <w:rFonts w:cs="Arial"/>
        </w:rPr>
        <w:t xml:space="preserve">Number of pupils below 80% </w:t>
      </w:r>
      <w:r w:rsidR="00C9200B">
        <w:rPr>
          <w:rFonts w:cs="Arial"/>
        </w:rPr>
        <w:t>capacity x</w:t>
      </w:r>
      <w:r>
        <w:rPr>
          <w:rFonts w:cs="Arial"/>
        </w:rPr>
        <w:t xml:space="preserve"> 75% of AWPU rate.</w:t>
      </w:r>
      <w:proofErr w:type="gramEnd"/>
    </w:p>
    <w:p w:rsidR="007727C0" w:rsidRDefault="007727C0" w:rsidP="007727C0">
      <w:pPr>
        <w:tabs>
          <w:tab w:val="clear" w:pos="360"/>
        </w:tabs>
        <w:spacing w:before="0" w:after="0"/>
        <w:ind w:left="567"/>
        <w:jc w:val="both"/>
        <w:rPr>
          <w:rFonts w:cs="Arial"/>
        </w:rPr>
      </w:pPr>
    </w:p>
    <w:p w:rsidR="007727C0" w:rsidRPr="007727C0" w:rsidRDefault="007727C0" w:rsidP="007727C0">
      <w:pPr>
        <w:tabs>
          <w:tab w:val="clear" w:pos="360"/>
        </w:tabs>
        <w:spacing w:before="0" w:after="0"/>
        <w:ind w:left="567"/>
        <w:jc w:val="both"/>
        <w:rPr>
          <w:rFonts w:cs="Arial"/>
        </w:rPr>
      </w:pPr>
      <w:r>
        <w:rPr>
          <w:rFonts w:cs="Arial"/>
        </w:rPr>
        <w:t>Example: secondary s</w:t>
      </w:r>
      <w:r w:rsidR="00C9200B">
        <w:rPr>
          <w:rFonts w:cs="Arial"/>
        </w:rPr>
        <w:t>chool with capacity of 900 has 7</w:t>
      </w:r>
      <w:r>
        <w:rPr>
          <w:rFonts w:cs="Arial"/>
        </w:rPr>
        <w:t>00 on roll in October census. AWPU rate is £4,800. Calculation would be 80% of 900 = 720; s</w:t>
      </w:r>
      <w:r w:rsidR="00C9200B">
        <w:rPr>
          <w:rFonts w:cs="Arial"/>
        </w:rPr>
        <w:t>urplus places above 20% = 720-7</w:t>
      </w:r>
      <w:r w:rsidR="00087E43">
        <w:rPr>
          <w:rFonts w:cs="Arial"/>
        </w:rPr>
        <w:t xml:space="preserve">00 = </w:t>
      </w:r>
      <w:r>
        <w:rPr>
          <w:rFonts w:cs="Arial"/>
        </w:rPr>
        <w:t>20. 75% of £4</w:t>
      </w:r>
      <w:r w:rsidR="00C9200B">
        <w:rPr>
          <w:rFonts w:cs="Arial"/>
        </w:rPr>
        <w:t xml:space="preserve">,800 = £3,600. Calculation </w:t>
      </w:r>
      <w:proofErr w:type="gramStart"/>
      <w:r w:rsidR="00C9200B">
        <w:rPr>
          <w:rFonts w:cs="Arial"/>
        </w:rPr>
        <w:t xml:space="preserve">is  </w:t>
      </w:r>
      <w:r>
        <w:rPr>
          <w:rFonts w:cs="Arial"/>
        </w:rPr>
        <w:t>20</w:t>
      </w:r>
      <w:proofErr w:type="gramEnd"/>
      <w:r>
        <w:rPr>
          <w:rFonts w:cs="Arial"/>
        </w:rPr>
        <w:t xml:space="preserve"> x £3,600 = </w:t>
      </w:r>
      <w:r w:rsidR="00C9200B">
        <w:rPr>
          <w:rFonts w:cs="Arial"/>
        </w:rPr>
        <w:t>£72,000.</w:t>
      </w:r>
      <w:r>
        <w:rPr>
          <w:rFonts w:cs="Arial"/>
        </w:rPr>
        <w:t xml:space="preserve">  </w:t>
      </w:r>
    </w:p>
    <w:p w:rsidR="000758C7" w:rsidRPr="000758C7" w:rsidRDefault="000758C7" w:rsidP="00146962">
      <w:pPr>
        <w:pStyle w:val="ListParagraph"/>
        <w:tabs>
          <w:tab w:val="clear" w:pos="360"/>
        </w:tabs>
        <w:jc w:val="both"/>
      </w:pPr>
    </w:p>
    <w:sectPr w:rsidR="000758C7" w:rsidRPr="000758C7" w:rsidSect="001A028D">
      <w:footerReference w:type="default" r:id="rId12"/>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E6F" w:rsidRDefault="00B02E6F" w:rsidP="00831199">
      <w:pPr>
        <w:spacing w:before="0" w:after="0"/>
      </w:pPr>
      <w:r>
        <w:separator/>
      </w:r>
    </w:p>
  </w:endnote>
  <w:endnote w:type="continuationSeparator" w:id="0">
    <w:p w:rsidR="00B02E6F" w:rsidRDefault="00B02E6F" w:rsidP="008311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831532"/>
      <w:docPartObj>
        <w:docPartGallery w:val="Page Numbers (Bottom of Page)"/>
        <w:docPartUnique/>
      </w:docPartObj>
    </w:sdtPr>
    <w:sdtEndPr>
      <w:rPr>
        <w:b/>
        <w:noProof/>
      </w:rPr>
    </w:sdtEndPr>
    <w:sdtContent>
      <w:p w:rsidR="0057657A" w:rsidRPr="00831199" w:rsidRDefault="0057657A">
        <w:pPr>
          <w:pStyle w:val="Footer"/>
          <w:jc w:val="center"/>
          <w:rPr>
            <w:b/>
          </w:rPr>
        </w:pPr>
        <w:r w:rsidRPr="00831199">
          <w:rPr>
            <w:b/>
          </w:rPr>
          <w:fldChar w:fldCharType="begin"/>
        </w:r>
        <w:r w:rsidRPr="00831199">
          <w:rPr>
            <w:b/>
          </w:rPr>
          <w:instrText xml:space="preserve"> PAGE   \* MERGEFORMAT </w:instrText>
        </w:r>
        <w:r w:rsidRPr="00831199">
          <w:rPr>
            <w:b/>
          </w:rPr>
          <w:fldChar w:fldCharType="separate"/>
        </w:r>
        <w:r w:rsidR="003008AE">
          <w:rPr>
            <w:b/>
            <w:noProof/>
          </w:rPr>
          <w:t>1</w:t>
        </w:r>
        <w:r w:rsidRPr="00831199">
          <w:rPr>
            <w:b/>
            <w:noProof/>
          </w:rPr>
          <w:fldChar w:fldCharType="end"/>
        </w:r>
      </w:p>
    </w:sdtContent>
  </w:sdt>
  <w:p w:rsidR="0057657A" w:rsidRDefault="005765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E6F" w:rsidRDefault="00B02E6F" w:rsidP="00831199">
      <w:pPr>
        <w:spacing w:before="0" w:after="0"/>
      </w:pPr>
      <w:r>
        <w:separator/>
      </w:r>
    </w:p>
  </w:footnote>
  <w:footnote w:type="continuationSeparator" w:id="0">
    <w:p w:rsidR="00B02E6F" w:rsidRDefault="00B02E6F" w:rsidP="0083119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5E4F"/>
    <w:multiLevelType w:val="multilevel"/>
    <w:tmpl w:val="1640F670"/>
    <w:lvl w:ilvl="0">
      <w:start w:val="4"/>
      <w:numFmt w:val="decimal"/>
      <w:lvlText w:val="%1"/>
      <w:lvlJc w:val="left"/>
      <w:pPr>
        <w:ind w:left="465" w:hanging="465"/>
      </w:pPr>
      <w:rPr>
        <w:rFonts w:hint="default"/>
        <w:b/>
      </w:rPr>
    </w:lvl>
    <w:lvl w:ilvl="1">
      <w:start w:val="14"/>
      <w:numFmt w:val="decimal"/>
      <w:lvlText w:val="%1.%2"/>
      <w:lvlJc w:val="left"/>
      <w:pPr>
        <w:ind w:left="465" w:hanging="465"/>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60F21FB"/>
    <w:multiLevelType w:val="hybridMultilevel"/>
    <w:tmpl w:val="D640D260"/>
    <w:lvl w:ilvl="0" w:tplc="231C46E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A8F4375"/>
    <w:multiLevelType w:val="hybridMultilevel"/>
    <w:tmpl w:val="D640D260"/>
    <w:lvl w:ilvl="0" w:tplc="231C46E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03248DF"/>
    <w:multiLevelType w:val="hybridMultilevel"/>
    <w:tmpl w:val="D3AE685C"/>
    <w:lvl w:ilvl="0" w:tplc="A9AE109E">
      <w:start w:val="3"/>
      <w:numFmt w:val="lowerLetter"/>
      <w:lvlText w:val="(%1)"/>
      <w:lvlJc w:val="left"/>
      <w:pPr>
        <w:ind w:left="1080" w:hanging="360"/>
      </w:pPr>
      <w:rPr>
        <w:rFonts w:hint="default"/>
        <w:i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0947F2A"/>
    <w:multiLevelType w:val="multilevel"/>
    <w:tmpl w:val="98D6D056"/>
    <w:lvl w:ilvl="0">
      <w:start w:val="4"/>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nsid w:val="23651A3D"/>
    <w:multiLevelType w:val="hybridMultilevel"/>
    <w:tmpl w:val="C7189A0E"/>
    <w:lvl w:ilvl="0" w:tplc="B84CDE0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287625"/>
    <w:multiLevelType w:val="multilevel"/>
    <w:tmpl w:val="376A4D86"/>
    <w:lvl w:ilvl="0">
      <w:start w:val="1"/>
      <w:numFmt w:val="decimal"/>
      <w:lvlText w:val="%1."/>
      <w:lvlJc w:val="left"/>
      <w:pPr>
        <w:ind w:left="720" w:hanging="360"/>
      </w:pPr>
      <w:rPr>
        <w:rFonts w:hint="default"/>
      </w:rPr>
    </w:lvl>
    <w:lvl w:ilvl="1">
      <w:start w:val="1"/>
      <w:numFmt w:val="decimal"/>
      <w:isLgl/>
      <w:lvlText w:val="%1.%2"/>
      <w:lvlJc w:val="left"/>
      <w:pPr>
        <w:ind w:left="1132" w:hanging="600"/>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536" w:hanging="1800"/>
      </w:pPr>
      <w:rPr>
        <w:rFonts w:hint="default"/>
      </w:rPr>
    </w:lvl>
  </w:abstractNum>
  <w:abstractNum w:abstractNumId="7">
    <w:nsid w:val="2A8C0133"/>
    <w:multiLevelType w:val="hybridMultilevel"/>
    <w:tmpl w:val="0388DA30"/>
    <w:lvl w:ilvl="0" w:tplc="BDCEFA90">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nsid w:val="314B4598"/>
    <w:multiLevelType w:val="hybridMultilevel"/>
    <w:tmpl w:val="7BB8B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E4001F"/>
    <w:multiLevelType w:val="hybridMultilevel"/>
    <w:tmpl w:val="7B0E58F2"/>
    <w:lvl w:ilvl="0" w:tplc="B1BACA90">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0">
    <w:nsid w:val="3CA713CC"/>
    <w:multiLevelType w:val="multilevel"/>
    <w:tmpl w:val="719A974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9783D2F"/>
    <w:multiLevelType w:val="hybridMultilevel"/>
    <w:tmpl w:val="EFA64A24"/>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12">
    <w:nsid w:val="4B78115D"/>
    <w:multiLevelType w:val="hybridMultilevel"/>
    <w:tmpl w:val="5728EFFE"/>
    <w:lvl w:ilvl="0" w:tplc="7690040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ED5BA0"/>
    <w:multiLevelType w:val="multilevel"/>
    <w:tmpl w:val="44909C22"/>
    <w:lvl w:ilvl="0">
      <w:start w:val="3"/>
      <w:numFmt w:val="decimal"/>
      <w:lvlText w:val="%1."/>
      <w:lvlJc w:val="left"/>
      <w:pPr>
        <w:ind w:left="720" w:hanging="360"/>
      </w:pPr>
      <w:rPr>
        <w:rFonts w:hint="default"/>
      </w:rPr>
    </w:lvl>
    <w:lvl w:ilvl="1">
      <w:start w:val="1"/>
      <w:numFmt w:val="decimal"/>
      <w:isLgl/>
      <w:lvlText w:val="%1.%2"/>
      <w:lvlJc w:val="left"/>
      <w:pPr>
        <w:ind w:left="89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14">
    <w:nsid w:val="539552DC"/>
    <w:multiLevelType w:val="hybridMultilevel"/>
    <w:tmpl w:val="5942A864"/>
    <w:lvl w:ilvl="0" w:tplc="928ED1D4">
      <w:start w:val="20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D81390"/>
    <w:multiLevelType w:val="hybridMultilevel"/>
    <w:tmpl w:val="3DA8A942"/>
    <w:lvl w:ilvl="0" w:tplc="3EDE52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6D873FF"/>
    <w:multiLevelType w:val="hybridMultilevel"/>
    <w:tmpl w:val="9E0A5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BCE3453"/>
    <w:multiLevelType w:val="multilevel"/>
    <w:tmpl w:val="B8D44540"/>
    <w:lvl w:ilvl="0">
      <w:start w:val="1"/>
      <w:numFmt w:val="decimal"/>
      <w:lvlText w:val="%1."/>
      <w:lvlJc w:val="left"/>
      <w:pPr>
        <w:tabs>
          <w:tab w:val="num" w:pos="737"/>
        </w:tabs>
        <w:ind w:left="737" w:hanging="737"/>
      </w:pPr>
      <w:rPr>
        <w:rFonts w:ascii="Arial" w:hAnsi="Arial" w:cs="Times New Roman" w:hint="default"/>
      </w:rPr>
    </w:lvl>
    <w:lvl w:ilvl="1">
      <w:start w:val="1"/>
      <w:numFmt w:val="bullet"/>
      <w:lvlText w:val=""/>
      <w:lvlJc w:val="left"/>
      <w:pPr>
        <w:tabs>
          <w:tab w:val="num" w:pos="879"/>
        </w:tabs>
        <w:ind w:left="879" w:hanging="737"/>
      </w:pPr>
      <w:rPr>
        <w:rFonts w:ascii="Symbol" w:hAnsi="Symbol" w:hint="default"/>
        <w:b/>
        <w:color w:val="auto"/>
      </w:rPr>
    </w:lvl>
    <w:lvl w:ilvl="2">
      <w:start w:val="1"/>
      <w:numFmt w:val="decimal"/>
      <w:isLgl/>
      <w:lvlText w:val="%1.%2.%3"/>
      <w:lvlJc w:val="left"/>
      <w:pPr>
        <w:tabs>
          <w:tab w:val="num" w:pos="737"/>
        </w:tabs>
        <w:ind w:left="737" w:hanging="737"/>
      </w:pPr>
      <w:rPr>
        <w:rFonts w:ascii="Arial" w:hAnsi="Arial" w:cs="Times New Roman" w:hint="default"/>
        <w:color w:val="000000" w:themeColor="text1"/>
      </w:rPr>
    </w:lvl>
    <w:lvl w:ilvl="3">
      <w:start w:val="1"/>
      <w:numFmt w:val="lowerLetter"/>
      <w:lvlRestart w:val="0"/>
      <w:lvlText w:val="%4."/>
      <w:lvlJc w:val="left"/>
      <w:pPr>
        <w:tabs>
          <w:tab w:val="num" w:pos="1588"/>
        </w:tabs>
        <w:ind w:left="1588" w:hanging="851"/>
      </w:pPr>
      <w:rPr>
        <w:rFonts w:ascii="Arial" w:hAnsi="Arial"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8">
    <w:nsid w:val="5FA92B3D"/>
    <w:multiLevelType w:val="hybridMultilevel"/>
    <w:tmpl w:val="DAA44F0A"/>
    <w:lvl w:ilvl="0" w:tplc="847CF82E">
      <w:start w:val="1"/>
      <w:numFmt w:val="lowerLetter"/>
      <w:lvlText w:val="(%1)"/>
      <w:lvlJc w:val="left"/>
      <w:pPr>
        <w:ind w:left="1211" w:hanging="360"/>
      </w:pPr>
      <w:rPr>
        <w:rFonts w:hint="default"/>
        <w:b w:val="0"/>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9">
    <w:nsid w:val="60F61361"/>
    <w:multiLevelType w:val="hybridMultilevel"/>
    <w:tmpl w:val="5C14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269295D"/>
    <w:multiLevelType w:val="hybridMultilevel"/>
    <w:tmpl w:val="B6E4F600"/>
    <w:lvl w:ilvl="0" w:tplc="317E35F0">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9B3F18"/>
    <w:multiLevelType w:val="multilevel"/>
    <w:tmpl w:val="3F2ABEA8"/>
    <w:lvl w:ilvl="0">
      <w:start w:val="4"/>
      <w:numFmt w:val="decimal"/>
      <w:lvlText w:val="%1"/>
      <w:lvlJc w:val="left"/>
      <w:pPr>
        <w:ind w:left="465" w:hanging="465"/>
      </w:pPr>
      <w:rPr>
        <w:rFonts w:hint="default"/>
      </w:rPr>
    </w:lvl>
    <w:lvl w:ilvl="1">
      <w:start w:val="11"/>
      <w:numFmt w:val="decimal"/>
      <w:lvlText w:val="%1.%2"/>
      <w:lvlJc w:val="left"/>
      <w:pPr>
        <w:ind w:left="465" w:hanging="46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6AC1F39"/>
    <w:multiLevelType w:val="hybridMultilevel"/>
    <w:tmpl w:val="117059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6CB77891"/>
    <w:multiLevelType w:val="hybridMultilevel"/>
    <w:tmpl w:val="E55A6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4073C6"/>
    <w:multiLevelType w:val="hybridMultilevel"/>
    <w:tmpl w:val="A41662AC"/>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5">
    <w:nsid w:val="77733E45"/>
    <w:multiLevelType w:val="hybridMultilevel"/>
    <w:tmpl w:val="55065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A63344"/>
    <w:multiLevelType w:val="multilevel"/>
    <w:tmpl w:val="F9B2C2D0"/>
    <w:lvl w:ilvl="0">
      <w:start w:val="4"/>
      <w:numFmt w:val="decimal"/>
      <w:lvlText w:val="%1"/>
      <w:lvlJc w:val="left"/>
      <w:pPr>
        <w:ind w:left="465" w:hanging="465"/>
      </w:pPr>
      <w:rPr>
        <w:rFonts w:hint="default"/>
        <w:b w:val="0"/>
      </w:rPr>
    </w:lvl>
    <w:lvl w:ilvl="1">
      <w:start w:val="10"/>
      <w:numFmt w:val="decimal"/>
      <w:lvlText w:val="%1.%2"/>
      <w:lvlJc w:val="left"/>
      <w:pPr>
        <w:ind w:left="465" w:hanging="46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7">
    <w:nsid w:val="7D6317F9"/>
    <w:multiLevelType w:val="hybridMultilevel"/>
    <w:tmpl w:val="C2F0083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abstractNumId w:val="17"/>
  </w:num>
  <w:num w:numId="2">
    <w:abstractNumId w:val="6"/>
  </w:num>
  <w:num w:numId="3">
    <w:abstractNumId w:val="13"/>
  </w:num>
  <w:num w:numId="4">
    <w:abstractNumId w:val="11"/>
  </w:num>
  <w:num w:numId="5">
    <w:abstractNumId w:val="22"/>
  </w:num>
  <w:num w:numId="6">
    <w:abstractNumId w:val="4"/>
  </w:num>
  <w:num w:numId="7">
    <w:abstractNumId w:val="21"/>
  </w:num>
  <w:num w:numId="8">
    <w:abstractNumId w:val="20"/>
  </w:num>
  <w:num w:numId="9">
    <w:abstractNumId w:val="26"/>
  </w:num>
  <w:num w:numId="10">
    <w:abstractNumId w:val="1"/>
  </w:num>
  <w:num w:numId="11">
    <w:abstractNumId w:val="2"/>
  </w:num>
  <w:num w:numId="12">
    <w:abstractNumId w:val="18"/>
  </w:num>
  <w:num w:numId="13">
    <w:abstractNumId w:val="0"/>
  </w:num>
  <w:num w:numId="14">
    <w:abstractNumId w:val="5"/>
  </w:num>
  <w:num w:numId="15">
    <w:abstractNumId w:val="9"/>
  </w:num>
  <w:num w:numId="16">
    <w:abstractNumId w:val="15"/>
  </w:num>
  <w:num w:numId="17">
    <w:abstractNumId w:val="8"/>
  </w:num>
  <w:num w:numId="18">
    <w:abstractNumId w:val="27"/>
  </w:num>
  <w:num w:numId="19">
    <w:abstractNumId w:val="14"/>
  </w:num>
  <w:num w:numId="20">
    <w:abstractNumId w:val="24"/>
  </w:num>
  <w:num w:numId="21">
    <w:abstractNumId w:val="10"/>
  </w:num>
  <w:num w:numId="22">
    <w:abstractNumId w:val="3"/>
  </w:num>
  <w:num w:numId="23">
    <w:abstractNumId w:val="7"/>
  </w:num>
  <w:num w:numId="24">
    <w:abstractNumId w:val="19"/>
  </w:num>
  <w:num w:numId="25">
    <w:abstractNumId w:val="25"/>
  </w:num>
  <w:num w:numId="26">
    <w:abstractNumId w:val="16"/>
  </w:num>
  <w:num w:numId="27">
    <w:abstractNumId w:val="2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4D9"/>
    <w:rsid w:val="000132B0"/>
    <w:rsid w:val="00022BE8"/>
    <w:rsid w:val="00023C26"/>
    <w:rsid w:val="00030A70"/>
    <w:rsid w:val="00061B4F"/>
    <w:rsid w:val="000758C7"/>
    <w:rsid w:val="000769FB"/>
    <w:rsid w:val="000823AB"/>
    <w:rsid w:val="00083A40"/>
    <w:rsid w:val="00087E43"/>
    <w:rsid w:val="000A2C53"/>
    <w:rsid w:val="000B1CD2"/>
    <w:rsid w:val="000B2A94"/>
    <w:rsid w:val="000C7F8F"/>
    <w:rsid w:val="000E65C8"/>
    <w:rsid w:val="00146962"/>
    <w:rsid w:val="00163486"/>
    <w:rsid w:val="00165526"/>
    <w:rsid w:val="00170808"/>
    <w:rsid w:val="001735A5"/>
    <w:rsid w:val="00191761"/>
    <w:rsid w:val="00197234"/>
    <w:rsid w:val="001A028D"/>
    <w:rsid w:val="001A19E3"/>
    <w:rsid w:val="001A3439"/>
    <w:rsid w:val="001A6259"/>
    <w:rsid w:val="001A70BC"/>
    <w:rsid w:val="001B37E6"/>
    <w:rsid w:val="001C01F4"/>
    <w:rsid w:val="002018B7"/>
    <w:rsid w:val="00213F1C"/>
    <w:rsid w:val="0023090E"/>
    <w:rsid w:val="0023355B"/>
    <w:rsid w:val="00237437"/>
    <w:rsid w:val="00242178"/>
    <w:rsid w:val="0025137B"/>
    <w:rsid w:val="00254469"/>
    <w:rsid w:val="00296C89"/>
    <w:rsid w:val="00297F67"/>
    <w:rsid w:val="002D1AD7"/>
    <w:rsid w:val="002D2945"/>
    <w:rsid w:val="002D3833"/>
    <w:rsid w:val="002F053E"/>
    <w:rsid w:val="002F4BD8"/>
    <w:rsid w:val="003008AE"/>
    <w:rsid w:val="00304A40"/>
    <w:rsid w:val="0030628D"/>
    <w:rsid w:val="00315BAA"/>
    <w:rsid w:val="003201C6"/>
    <w:rsid w:val="00346917"/>
    <w:rsid w:val="00373765"/>
    <w:rsid w:val="00373D31"/>
    <w:rsid w:val="00383DF9"/>
    <w:rsid w:val="003844C7"/>
    <w:rsid w:val="003900CD"/>
    <w:rsid w:val="003A638F"/>
    <w:rsid w:val="003B070C"/>
    <w:rsid w:val="003C6440"/>
    <w:rsid w:val="003D3053"/>
    <w:rsid w:val="003E4F01"/>
    <w:rsid w:val="00406B58"/>
    <w:rsid w:val="0043071A"/>
    <w:rsid w:val="004478D2"/>
    <w:rsid w:val="00452ED3"/>
    <w:rsid w:val="004634C4"/>
    <w:rsid w:val="004A5F75"/>
    <w:rsid w:val="004A7553"/>
    <w:rsid w:val="004A75EE"/>
    <w:rsid w:val="004A7714"/>
    <w:rsid w:val="004C2015"/>
    <w:rsid w:val="004E426A"/>
    <w:rsid w:val="004E525E"/>
    <w:rsid w:val="004E64F2"/>
    <w:rsid w:val="004F1141"/>
    <w:rsid w:val="005051BD"/>
    <w:rsid w:val="005064D9"/>
    <w:rsid w:val="00506ADD"/>
    <w:rsid w:val="005075F3"/>
    <w:rsid w:val="005460BF"/>
    <w:rsid w:val="00550372"/>
    <w:rsid w:val="00575A43"/>
    <w:rsid w:val="0057657A"/>
    <w:rsid w:val="0057675B"/>
    <w:rsid w:val="005860E4"/>
    <w:rsid w:val="005863CA"/>
    <w:rsid w:val="005B09E7"/>
    <w:rsid w:val="005B6915"/>
    <w:rsid w:val="005B7ADC"/>
    <w:rsid w:val="005F7878"/>
    <w:rsid w:val="00645BF8"/>
    <w:rsid w:val="006752F5"/>
    <w:rsid w:val="00685A90"/>
    <w:rsid w:val="00692960"/>
    <w:rsid w:val="006A64AA"/>
    <w:rsid w:val="006B6807"/>
    <w:rsid w:val="006D1183"/>
    <w:rsid w:val="006E185C"/>
    <w:rsid w:val="007005AA"/>
    <w:rsid w:val="00703049"/>
    <w:rsid w:val="007042C5"/>
    <w:rsid w:val="00711C57"/>
    <w:rsid w:val="00712651"/>
    <w:rsid w:val="0071752A"/>
    <w:rsid w:val="00741F23"/>
    <w:rsid w:val="007630B8"/>
    <w:rsid w:val="0076486B"/>
    <w:rsid w:val="0077126F"/>
    <w:rsid w:val="007727C0"/>
    <w:rsid w:val="00794457"/>
    <w:rsid w:val="00795F45"/>
    <w:rsid w:val="007A5AA5"/>
    <w:rsid w:val="007D247C"/>
    <w:rsid w:val="00831199"/>
    <w:rsid w:val="008462A1"/>
    <w:rsid w:val="0085051F"/>
    <w:rsid w:val="00852FC0"/>
    <w:rsid w:val="00860205"/>
    <w:rsid w:val="00866DAB"/>
    <w:rsid w:val="008D7CF7"/>
    <w:rsid w:val="0090665B"/>
    <w:rsid w:val="00912650"/>
    <w:rsid w:val="00920907"/>
    <w:rsid w:val="0094541E"/>
    <w:rsid w:val="00970BCE"/>
    <w:rsid w:val="00984F5E"/>
    <w:rsid w:val="00990D1E"/>
    <w:rsid w:val="009A0F05"/>
    <w:rsid w:val="009A2260"/>
    <w:rsid w:val="009A77B4"/>
    <w:rsid w:val="009C11DD"/>
    <w:rsid w:val="009C7582"/>
    <w:rsid w:val="00A02B6A"/>
    <w:rsid w:val="00A24AFE"/>
    <w:rsid w:val="00A30811"/>
    <w:rsid w:val="00A3220A"/>
    <w:rsid w:val="00A411D9"/>
    <w:rsid w:val="00A60549"/>
    <w:rsid w:val="00A659EE"/>
    <w:rsid w:val="00A740CF"/>
    <w:rsid w:val="00AA6405"/>
    <w:rsid w:val="00AD53E4"/>
    <w:rsid w:val="00AE287B"/>
    <w:rsid w:val="00AF0C75"/>
    <w:rsid w:val="00B02E6F"/>
    <w:rsid w:val="00B04912"/>
    <w:rsid w:val="00B125B1"/>
    <w:rsid w:val="00B17254"/>
    <w:rsid w:val="00B24838"/>
    <w:rsid w:val="00B34CCC"/>
    <w:rsid w:val="00B35EBC"/>
    <w:rsid w:val="00B407B8"/>
    <w:rsid w:val="00B50DDE"/>
    <w:rsid w:val="00B774EB"/>
    <w:rsid w:val="00BA14A6"/>
    <w:rsid w:val="00BD16C1"/>
    <w:rsid w:val="00BD3056"/>
    <w:rsid w:val="00BF6CD7"/>
    <w:rsid w:val="00C615BC"/>
    <w:rsid w:val="00C702E7"/>
    <w:rsid w:val="00C9200B"/>
    <w:rsid w:val="00C93867"/>
    <w:rsid w:val="00C96BA6"/>
    <w:rsid w:val="00CB3D67"/>
    <w:rsid w:val="00CC3D25"/>
    <w:rsid w:val="00CC6AE9"/>
    <w:rsid w:val="00CE179E"/>
    <w:rsid w:val="00CF5CF8"/>
    <w:rsid w:val="00D04B4C"/>
    <w:rsid w:val="00D17FF6"/>
    <w:rsid w:val="00D26518"/>
    <w:rsid w:val="00D26E50"/>
    <w:rsid w:val="00D31DE5"/>
    <w:rsid w:val="00D3643B"/>
    <w:rsid w:val="00D40C7D"/>
    <w:rsid w:val="00D44BFF"/>
    <w:rsid w:val="00D538DB"/>
    <w:rsid w:val="00D54670"/>
    <w:rsid w:val="00D83A73"/>
    <w:rsid w:val="00DA7081"/>
    <w:rsid w:val="00DA760A"/>
    <w:rsid w:val="00DA7A09"/>
    <w:rsid w:val="00DB3E6B"/>
    <w:rsid w:val="00DB5F4B"/>
    <w:rsid w:val="00DC265C"/>
    <w:rsid w:val="00DE4DD1"/>
    <w:rsid w:val="00DE532A"/>
    <w:rsid w:val="00DF4851"/>
    <w:rsid w:val="00DF7F7E"/>
    <w:rsid w:val="00E24901"/>
    <w:rsid w:val="00E54568"/>
    <w:rsid w:val="00E57305"/>
    <w:rsid w:val="00E73F9A"/>
    <w:rsid w:val="00E84FC5"/>
    <w:rsid w:val="00E90976"/>
    <w:rsid w:val="00EA5098"/>
    <w:rsid w:val="00EB5543"/>
    <w:rsid w:val="00ED7D59"/>
    <w:rsid w:val="00F12B47"/>
    <w:rsid w:val="00F14D88"/>
    <w:rsid w:val="00F44B5B"/>
    <w:rsid w:val="00F52E96"/>
    <w:rsid w:val="00F53924"/>
    <w:rsid w:val="00F543AC"/>
    <w:rsid w:val="00F808F9"/>
    <w:rsid w:val="00F920F9"/>
    <w:rsid w:val="00F92B9E"/>
    <w:rsid w:val="00FA04DE"/>
    <w:rsid w:val="00FA2A61"/>
    <w:rsid w:val="00FB1EA3"/>
    <w:rsid w:val="00FB1F03"/>
    <w:rsid w:val="00FF7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4D9"/>
    <w:pPr>
      <w:tabs>
        <w:tab w:val="num" w:pos="360"/>
      </w:tabs>
      <w:spacing w:before="120" w:after="120" w:line="240" w:lineRule="auto"/>
    </w:pPr>
    <w:rPr>
      <w:rFonts w:ascii="Arial" w:eastAsia="Times New Roman" w:hAnsi="Arial"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064D9"/>
    <w:rPr>
      <w:rFonts w:cs="Times New Roman"/>
      <w:color w:val="0000FF"/>
      <w:u w:val="single"/>
    </w:rPr>
  </w:style>
  <w:style w:type="paragraph" w:styleId="ListParagraph">
    <w:name w:val="List Paragraph"/>
    <w:basedOn w:val="Normal"/>
    <w:uiPriority w:val="34"/>
    <w:qFormat/>
    <w:rsid w:val="005064D9"/>
    <w:pPr>
      <w:ind w:left="720"/>
      <w:contextualSpacing/>
    </w:pPr>
  </w:style>
  <w:style w:type="table" w:styleId="TableGrid">
    <w:name w:val="Table Grid"/>
    <w:basedOn w:val="TableNormal"/>
    <w:uiPriority w:val="59"/>
    <w:rsid w:val="00866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1199"/>
    <w:pPr>
      <w:tabs>
        <w:tab w:val="clear" w:pos="360"/>
        <w:tab w:val="center" w:pos="4513"/>
        <w:tab w:val="right" w:pos="9026"/>
      </w:tabs>
      <w:spacing w:before="0" w:after="0"/>
    </w:pPr>
  </w:style>
  <w:style w:type="character" w:customStyle="1" w:styleId="HeaderChar">
    <w:name w:val="Header Char"/>
    <w:basedOn w:val="DefaultParagraphFont"/>
    <w:link w:val="Header"/>
    <w:uiPriority w:val="99"/>
    <w:rsid w:val="00831199"/>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831199"/>
    <w:pPr>
      <w:tabs>
        <w:tab w:val="clear" w:pos="360"/>
        <w:tab w:val="center" w:pos="4513"/>
        <w:tab w:val="right" w:pos="9026"/>
      </w:tabs>
      <w:spacing w:before="0" w:after="0"/>
    </w:pPr>
  </w:style>
  <w:style w:type="character" w:customStyle="1" w:styleId="FooterChar">
    <w:name w:val="Footer Char"/>
    <w:basedOn w:val="DefaultParagraphFont"/>
    <w:link w:val="Footer"/>
    <w:uiPriority w:val="99"/>
    <w:rsid w:val="00831199"/>
    <w:rPr>
      <w:rFonts w:ascii="Arial" w:eastAsia="Times New Roman" w:hAnsi="Arial" w:cs="Times New Roman"/>
      <w:sz w:val="24"/>
      <w:szCs w:val="24"/>
      <w:lang w:eastAsia="en-GB"/>
    </w:rPr>
  </w:style>
  <w:style w:type="paragraph" w:styleId="BalloonText">
    <w:name w:val="Balloon Text"/>
    <w:basedOn w:val="Normal"/>
    <w:link w:val="BalloonTextChar"/>
    <w:uiPriority w:val="99"/>
    <w:semiHidden/>
    <w:unhideWhenUsed/>
    <w:rsid w:val="00EB554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43"/>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4D9"/>
    <w:pPr>
      <w:tabs>
        <w:tab w:val="num" w:pos="360"/>
      </w:tabs>
      <w:spacing w:before="120" w:after="120" w:line="240" w:lineRule="auto"/>
    </w:pPr>
    <w:rPr>
      <w:rFonts w:ascii="Arial" w:eastAsia="Times New Roman" w:hAnsi="Arial"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064D9"/>
    <w:rPr>
      <w:rFonts w:cs="Times New Roman"/>
      <w:color w:val="0000FF"/>
      <w:u w:val="single"/>
    </w:rPr>
  </w:style>
  <w:style w:type="paragraph" w:styleId="ListParagraph">
    <w:name w:val="List Paragraph"/>
    <w:basedOn w:val="Normal"/>
    <w:uiPriority w:val="34"/>
    <w:qFormat/>
    <w:rsid w:val="005064D9"/>
    <w:pPr>
      <w:ind w:left="720"/>
      <w:contextualSpacing/>
    </w:pPr>
  </w:style>
  <w:style w:type="table" w:styleId="TableGrid">
    <w:name w:val="Table Grid"/>
    <w:basedOn w:val="TableNormal"/>
    <w:uiPriority w:val="59"/>
    <w:rsid w:val="00866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1199"/>
    <w:pPr>
      <w:tabs>
        <w:tab w:val="clear" w:pos="360"/>
        <w:tab w:val="center" w:pos="4513"/>
        <w:tab w:val="right" w:pos="9026"/>
      </w:tabs>
      <w:spacing w:before="0" w:after="0"/>
    </w:pPr>
  </w:style>
  <w:style w:type="character" w:customStyle="1" w:styleId="HeaderChar">
    <w:name w:val="Header Char"/>
    <w:basedOn w:val="DefaultParagraphFont"/>
    <w:link w:val="Header"/>
    <w:uiPriority w:val="99"/>
    <w:rsid w:val="00831199"/>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831199"/>
    <w:pPr>
      <w:tabs>
        <w:tab w:val="clear" w:pos="360"/>
        <w:tab w:val="center" w:pos="4513"/>
        <w:tab w:val="right" w:pos="9026"/>
      </w:tabs>
      <w:spacing w:before="0" w:after="0"/>
    </w:pPr>
  </w:style>
  <w:style w:type="character" w:customStyle="1" w:styleId="FooterChar">
    <w:name w:val="Footer Char"/>
    <w:basedOn w:val="DefaultParagraphFont"/>
    <w:link w:val="Footer"/>
    <w:uiPriority w:val="99"/>
    <w:rsid w:val="00831199"/>
    <w:rPr>
      <w:rFonts w:ascii="Arial" w:eastAsia="Times New Roman" w:hAnsi="Arial" w:cs="Times New Roman"/>
      <w:sz w:val="24"/>
      <w:szCs w:val="24"/>
      <w:lang w:eastAsia="en-GB"/>
    </w:rPr>
  </w:style>
  <w:style w:type="paragraph" w:styleId="BalloonText">
    <w:name w:val="Balloon Text"/>
    <w:basedOn w:val="Normal"/>
    <w:link w:val="BalloonTextChar"/>
    <w:uiPriority w:val="99"/>
    <w:semiHidden/>
    <w:unhideWhenUsed/>
    <w:rsid w:val="00EB554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43"/>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6790">
      <w:bodyDiv w:val="1"/>
      <w:marLeft w:val="0"/>
      <w:marRight w:val="0"/>
      <w:marTop w:val="0"/>
      <w:marBottom w:val="0"/>
      <w:divBdr>
        <w:top w:val="none" w:sz="0" w:space="0" w:color="auto"/>
        <w:left w:val="none" w:sz="0" w:space="0" w:color="auto"/>
        <w:bottom w:val="none" w:sz="0" w:space="0" w:color="auto"/>
        <w:right w:val="none" w:sz="0" w:space="0" w:color="auto"/>
      </w:divBdr>
    </w:div>
    <w:div w:id="174302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oss362@btinternet.com" TargetMode="External"/><Relationship Id="rId5" Type="http://schemas.openxmlformats.org/officeDocument/2006/relationships/settings" Target="settings.xml"/><Relationship Id="rId10" Type="http://schemas.openxmlformats.org/officeDocument/2006/relationships/hyperlink" Target="mailto:shehwar.sultan@waltham" TargetMode="External"/><Relationship Id="rId4" Type="http://schemas.microsoft.com/office/2007/relationships/stylesWithEffects" Target="stylesWithEffects.xml"/><Relationship Id="rId9" Type="http://schemas.openxmlformats.org/officeDocument/2006/relationships/hyperlink" Target="mailto:rishi.peetamsingh@walth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21E5A-8816-4342-AAFE-9472D778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1860</Words>
  <Characters>10658</Characters>
  <Application>Microsoft Office Word</Application>
  <DocSecurity>4</DocSecurity>
  <Lines>626</Lines>
  <Paragraphs>500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Moss</dc:creator>
  <cp:lastModifiedBy>Debbie Callender</cp:lastModifiedBy>
  <cp:revision>2</cp:revision>
  <cp:lastPrinted>2014-06-06T11:41:00Z</cp:lastPrinted>
  <dcterms:created xsi:type="dcterms:W3CDTF">2014-06-06T13:34:00Z</dcterms:created>
  <dcterms:modified xsi:type="dcterms:W3CDTF">2014-06-06T13:34:00Z</dcterms:modified>
</cp:coreProperties>
</file>