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5D21F" w14:textId="77777777" w:rsidR="00467EBD" w:rsidRPr="009C523C" w:rsidRDefault="00467EBD" w:rsidP="00467EBD">
      <w:pPr>
        <w:pStyle w:val="ArticleTitleHeading"/>
        <w:rPr>
          <w:rFonts w:asciiTheme="minorHAnsi" w:hAnsiTheme="minorHAnsi" w:cstheme="minorHAnsi"/>
          <w:sz w:val="32"/>
          <w:szCs w:val="22"/>
        </w:rPr>
      </w:pPr>
      <w:r w:rsidRPr="009C523C">
        <w:rPr>
          <w:rFonts w:asciiTheme="minorHAnsi" w:hAnsiTheme="minorHAnsi" w:cstheme="minorHAnsi"/>
          <w:bCs/>
          <w:sz w:val="32"/>
          <w:szCs w:val="22"/>
        </w:rPr>
        <w:t>Faculty Adoption of Open Access Publishing</w:t>
      </w:r>
      <w:r w:rsidRPr="009C523C">
        <w:rPr>
          <w:rFonts w:asciiTheme="minorHAnsi" w:hAnsiTheme="minorHAnsi" w:cstheme="minorHAnsi"/>
          <w:sz w:val="32"/>
          <w:szCs w:val="22"/>
        </w:rPr>
        <w:t xml:space="preserve"> in</w:t>
      </w:r>
      <w:r w:rsidRPr="009C523C">
        <w:rPr>
          <w:rFonts w:asciiTheme="minorHAnsi" w:hAnsiTheme="minorHAnsi" w:cstheme="minorHAnsi"/>
          <w:bCs/>
          <w:sz w:val="32"/>
          <w:szCs w:val="22"/>
        </w:rPr>
        <w:t xml:space="preserve"> the University System of Georgia</w:t>
      </w:r>
    </w:p>
    <w:p w14:paraId="3DBAC7AD" w14:textId="77777777" w:rsidR="00467EBD" w:rsidRDefault="00467EBD" w:rsidP="00467EBD">
      <w:pPr>
        <w:rPr>
          <w:rFonts w:cstheme="minorHAnsi"/>
          <w:sz w:val="32"/>
        </w:rPr>
      </w:pPr>
    </w:p>
    <w:p w14:paraId="418B1E93" w14:textId="77777777" w:rsidR="00467EBD" w:rsidRDefault="00467EBD" w:rsidP="00467EBD">
      <w:pPr>
        <w:rPr>
          <w:rFonts w:cstheme="minorHAnsi"/>
          <w:sz w:val="32"/>
        </w:rPr>
      </w:pPr>
    </w:p>
    <w:p w14:paraId="1120C85E" w14:textId="77777777" w:rsidR="00467EBD" w:rsidRDefault="00467EBD" w:rsidP="00467EBD">
      <w:pPr>
        <w:rPr>
          <w:rFonts w:cstheme="minorHAnsi"/>
          <w:sz w:val="32"/>
        </w:rPr>
      </w:pPr>
    </w:p>
    <w:p w14:paraId="31B38542" w14:textId="77777777" w:rsidR="00467EBD" w:rsidRDefault="00467EBD" w:rsidP="00467EBD">
      <w:pPr>
        <w:jc w:val="center"/>
        <w:rPr>
          <w:rStyle w:val="Hyperlink"/>
          <w:rFonts w:cstheme="minorHAnsi"/>
          <w:sz w:val="24"/>
        </w:rPr>
      </w:pPr>
      <w:r w:rsidRPr="009C523C">
        <w:rPr>
          <w:rFonts w:cstheme="minorHAnsi"/>
          <w:sz w:val="24"/>
        </w:rPr>
        <w:t>This is an Author's Original Manus</w:t>
      </w:r>
      <w:r>
        <w:rPr>
          <w:rFonts w:cstheme="minorHAnsi"/>
          <w:sz w:val="24"/>
        </w:rPr>
        <w:t xml:space="preserve">cript of an article published by </w:t>
      </w:r>
      <w:r w:rsidRPr="009C523C">
        <w:rPr>
          <w:rFonts w:cstheme="minorHAnsi"/>
          <w:sz w:val="24"/>
        </w:rPr>
        <w:t>Common Ground</w:t>
      </w:r>
      <w:r>
        <w:rPr>
          <w:rFonts w:cstheme="minorHAnsi"/>
          <w:sz w:val="24"/>
        </w:rPr>
        <w:t xml:space="preserve"> in </w:t>
      </w:r>
      <w:r w:rsidRPr="009C523C">
        <w:rPr>
          <w:rFonts w:cstheme="minorHAnsi"/>
          <w:i/>
          <w:iCs/>
          <w:sz w:val="24"/>
        </w:rPr>
        <w:t>Journal of Technologies in Knowledge Sharing</w:t>
      </w:r>
      <w:r>
        <w:rPr>
          <w:rFonts w:cstheme="minorHAnsi"/>
          <w:i/>
          <w:iCs/>
          <w:sz w:val="24"/>
        </w:rPr>
        <w:t xml:space="preserve"> </w:t>
      </w:r>
      <w:r w:rsidRPr="009C523C">
        <w:rPr>
          <w:rFonts w:cstheme="minorHAnsi"/>
          <w:iCs/>
          <w:sz w:val="24"/>
        </w:rPr>
        <w:t>and available online</w:t>
      </w:r>
      <w:r>
        <w:rPr>
          <w:rFonts w:cstheme="minorHAnsi"/>
          <w:iCs/>
          <w:sz w:val="24"/>
        </w:rPr>
        <w:t xml:space="preserve"> at </w:t>
      </w:r>
      <w:hyperlink r:id="rId8" w:history="1">
        <w:r w:rsidRPr="009C523C">
          <w:rPr>
            <w:rStyle w:val="Hyperlink"/>
            <w:rFonts w:cstheme="minorHAnsi"/>
            <w:sz w:val="24"/>
          </w:rPr>
          <w:t>http://jtks.cgpublisher.com/product/pub.299/prod.12/index_html</w:t>
        </w:r>
      </w:hyperlink>
    </w:p>
    <w:p w14:paraId="4F0BF6EA" w14:textId="77777777" w:rsidR="00467EBD" w:rsidRDefault="00467EBD" w:rsidP="00467EBD">
      <w:pPr>
        <w:jc w:val="center"/>
        <w:rPr>
          <w:rFonts w:cstheme="minorHAnsi"/>
          <w:sz w:val="24"/>
        </w:rPr>
      </w:pPr>
    </w:p>
    <w:p w14:paraId="190C42DB" w14:textId="77777777" w:rsidR="00467EBD" w:rsidRDefault="00467EBD" w:rsidP="00467EBD">
      <w:pPr>
        <w:jc w:val="center"/>
        <w:rPr>
          <w:rFonts w:cstheme="minorHAnsi"/>
          <w:sz w:val="24"/>
        </w:rPr>
      </w:pPr>
    </w:p>
    <w:p w14:paraId="066D88DB" w14:textId="77777777" w:rsidR="00467EBD" w:rsidRDefault="00467EBD" w:rsidP="00467EBD">
      <w:pPr>
        <w:jc w:val="center"/>
        <w:rPr>
          <w:rFonts w:cstheme="minorHAnsi"/>
          <w:sz w:val="24"/>
        </w:rPr>
      </w:pPr>
      <w:r>
        <w:rPr>
          <w:rFonts w:cstheme="minorHAnsi"/>
          <w:sz w:val="24"/>
        </w:rPr>
        <w:t>Campbell-Meier, J. (2015).</w:t>
      </w:r>
      <w:r w:rsidRPr="009C523C">
        <w:rPr>
          <w:rFonts w:cstheme="minorHAnsi"/>
          <w:sz w:val="24"/>
        </w:rPr>
        <w:t xml:space="preserve"> Faculty </w:t>
      </w:r>
      <w:r>
        <w:rPr>
          <w:rFonts w:cstheme="minorHAnsi"/>
          <w:sz w:val="24"/>
        </w:rPr>
        <w:t>a</w:t>
      </w:r>
      <w:r w:rsidRPr="009C523C">
        <w:rPr>
          <w:rFonts w:cstheme="minorHAnsi"/>
          <w:sz w:val="24"/>
        </w:rPr>
        <w:t xml:space="preserve">doption of </w:t>
      </w:r>
      <w:r>
        <w:rPr>
          <w:rFonts w:cstheme="minorHAnsi"/>
          <w:sz w:val="24"/>
        </w:rPr>
        <w:t>o</w:t>
      </w:r>
      <w:r w:rsidRPr="009C523C">
        <w:rPr>
          <w:rFonts w:cstheme="minorHAnsi"/>
          <w:sz w:val="24"/>
        </w:rPr>
        <w:t xml:space="preserve">pen </w:t>
      </w:r>
      <w:r>
        <w:rPr>
          <w:rFonts w:cstheme="minorHAnsi"/>
          <w:sz w:val="24"/>
        </w:rPr>
        <w:t>a</w:t>
      </w:r>
      <w:r w:rsidRPr="009C523C">
        <w:rPr>
          <w:rFonts w:cstheme="minorHAnsi"/>
          <w:sz w:val="24"/>
        </w:rPr>
        <w:t xml:space="preserve">ccess </w:t>
      </w:r>
      <w:r>
        <w:rPr>
          <w:rFonts w:cstheme="minorHAnsi"/>
          <w:sz w:val="24"/>
        </w:rPr>
        <w:t>p</w:t>
      </w:r>
      <w:r w:rsidRPr="009C523C">
        <w:rPr>
          <w:rFonts w:cstheme="minorHAnsi"/>
          <w:sz w:val="24"/>
        </w:rPr>
        <w:t xml:space="preserve">ublishing in the University System of Georgia. </w:t>
      </w:r>
      <w:r w:rsidRPr="009C523C">
        <w:rPr>
          <w:rFonts w:cstheme="minorHAnsi"/>
          <w:i/>
          <w:iCs/>
          <w:sz w:val="24"/>
        </w:rPr>
        <w:t>Journal of Technologies in Knowledge Sharing, 11</w:t>
      </w:r>
      <w:r>
        <w:rPr>
          <w:rFonts w:cstheme="minorHAnsi"/>
          <w:sz w:val="24"/>
        </w:rPr>
        <w:t xml:space="preserve">(1), </w:t>
      </w:r>
      <w:r w:rsidRPr="009C523C">
        <w:rPr>
          <w:rFonts w:cstheme="minorHAnsi"/>
          <w:sz w:val="24"/>
        </w:rPr>
        <w:t xml:space="preserve">1-10. </w:t>
      </w:r>
      <w:r>
        <w:rPr>
          <w:rFonts w:cstheme="minorHAnsi"/>
          <w:sz w:val="24"/>
        </w:rPr>
        <w:t xml:space="preserve">Retrieved from </w:t>
      </w:r>
      <w:hyperlink r:id="rId9" w:history="1">
        <w:r w:rsidRPr="009C523C">
          <w:rPr>
            <w:rStyle w:val="Hyperlink"/>
            <w:rFonts w:cstheme="minorHAnsi"/>
            <w:sz w:val="24"/>
          </w:rPr>
          <w:t>http://commongroundpublishing.com/</w:t>
        </w:r>
      </w:hyperlink>
    </w:p>
    <w:p w14:paraId="3327DD00" w14:textId="77777777" w:rsidR="00467EBD" w:rsidRPr="009C523C" w:rsidRDefault="00467EBD" w:rsidP="00467EBD">
      <w:pPr>
        <w:jc w:val="center"/>
        <w:rPr>
          <w:rFonts w:cstheme="minorHAnsi"/>
          <w:bCs/>
          <w:sz w:val="24"/>
        </w:rPr>
      </w:pPr>
      <w:r w:rsidRPr="009C523C">
        <w:rPr>
          <w:rFonts w:cstheme="minorHAnsi"/>
          <w:sz w:val="24"/>
        </w:rPr>
        <w:t>Readers must contact Common Gro</w:t>
      </w:r>
      <w:r>
        <w:rPr>
          <w:rFonts w:cstheme="minorHAnsi"/>
          <w:sz w:val="24"/>
        </w:rPr>
        <w:t xml:space="preserve">und for permission to reproduce </w:t>
      </w:r>
      <w:hyperlink r:id="rId10" w:history="1">
        <w:r w:rsidRPr="009C523C">
          <w:rPr>
            <w:rStyle w:val="Hyperlink"/>
            <w:rFonts w:cstheme="minorHAnsi"/>
            <w:sz w:val="24"/>
          </w:rPr>
          <w:t>http://commongroundpublishing.com/</w:t>
        </w:r>
      </w:hyperlink>
    </w:p>
    <w:p w14:paraId="1B561F9F" w14:textId="77777777" w:rsidR="00467EBD" w:rsidRPr="009C523C" w:rsidRDefault="00467EBD" w:rsidP="00467EBD">
      <w:pPr>
        <w:rPr>
          <w:rFonts w:eastAsia="Times New Roman" w:cstheme="minorHAnsi"/>
          <w:b/>
          <w:bCs/>
          <w:sz w:val="32"/>
        </w:rPr>
      </w:pPr>
    </w:p>
    <w:p w14:paraId="550278EC" w14:textId="77777777" w:rsidR="00467EBD" w:rsidRDefault="00467EBD">
      <w:pPr>
        <w:rPr>
          <w:rFonts w:asciiTheme="majorHAnsi" w:eastAsia="Times New Roman" w:hAnsiTheme="majorHAnsi" w:cs="Times New Roman"/>
          <w:b/>
          <w:bCs/>
          <w:sz w:val="36"/>
          <w:szCs w:val="36"/>
        </w:rPr>
      </w:pPr>
      <w:r>
        <w:rPr>
          <w:bCs/>
        </w:rPr>
        <w:br w:type="page"/>
      </w:r>
    </w:p>
    <w:p w14:paraId="3AC25DD9" w14:textId="4748F597" w:rsidR="001C4DDC" w:rsidRPr="001C4DDC" w:rsidRDefault="00DF2459" w:rsidP="00D149DC">
      <w:pPr>
        <w:pStyle w:val="ArticleTitleHeading"/>
      </w:pPr>
      <w:r>
        <w:rPr>
          <w:bCs/>
        </w:rPr>
        <w:lastRenderedPageBreak/>
        <w:t xml:space="preserve">Faculty </w:t>
      </w:r>
      <w:r w:rsidR="0017126F">
        <w:rPr>
          <w:bCs/>
        </w:rPr>
        <w:t xml:space="preserve">Adoption of </w:t>
      </w:r>
      <w:r w:rsidR="00FF7736" w:rsidRPr="00FF7736">
        <w:rPr>
          <w:bCs/>
        </w:rPr>
        <w:t xml:space="preserve">Open Access </w:t>
      </w:r>
      <w:r w:rsidR="006F7391">
        <w:rPr>
          <w:bCs/>
        </w:rPr>
        <w:t>Publishing</w:t>
      </w:r>
      <w:r>
        <w:t xml:space="preserve"> in</w:t>
      </w:r>
      <w:r w:rsidR="00FF7736" w:rsidRPr="00FF7736">
        <w:rPr>
          <w:bCs/>
        </w:rPr>
        <w:t xml:space="preserve"> the University System of Georgia</w:t>
      </w:r>
    </w:p>
    <w:p w14:paraId="4D9732C3" w14:textId="77777777" w:rsidR="001C4DDC" w:rsidRPr="001C4DDC" w:rsidRDefault="001C4DDC" w:rsidP="00C47EE5">
      <w:pPr>
        <w:pStyle w:val="AffiliationHeading"/>
      </w:pPr>
    </w:p>
    <w:p w14:paraId="3C833004" w14:textId="77777777" w:rsidR="00D149DC" w:rsidRPr="00F632B5" w:rsidRDefault="00D149DC" w:rsidP="00F632B5">
      <w:pPr>
        <w:pStyle w:val="AbstractStyle"/>
      </w:pPr>
    </w:p>
    <w:p w14:paraId="0FD5E6BE" w14:textId="023116BC" w:rsidR="00052439" w:rsidRDefault="00C47EE5" w:rsidP="004C2061">
      <w:pPr>
        <w:pStyle w:val="KeywordsText"/>
      </w:pPr>
      <w:r w:rsidRPr="00C47EE5">
        <w:t xml:space="preserve">Keywords: </w:t>
      </w:r>
      <w:r w:rsidR="00FF7736">
        <w:t>open access, institutional repository</w:t>
      </w:r>
      <w:r w:rsidR="00E41CE6">
        <w:t xml:space="preserve"> development, diffusion of innovation</w:t>
      </w:r>
      <w:r w:rsidR="00FF7736">
        <w:t>, faculty</w:t>
      </w:r>
    </w:p>
    <w:p w14:paraId="1C01BFF9" w14:textId="77777777" w:rsidR="004C2061" w:rsidRPr="00052439" w:rsidRDefault="004C2061" w:rsidP="004C2061">
      <w:pPr>
        <w:pStyle w:val="KeywordsText"/>
      </w:pPr>
    </w:p>
    <w:p w14:paraId="0A2E68BC" w14:textId="77777777" w:rsidR="001E2583" w:rsidRPr="0015394A" w:rsidRDefault="00FF7736" w:rsidP="0015394A">
      <w:pPr>
        <w:pStyle w:val="SectionHeadings"/>
      </w:pPr>
      <w:bookmarkStart w:id="0" w:name="OLE_LINK1"/>
      <w:bookmarkStart w:id="1" w:name="OLE_LINK2"/>
      <w:r>
        <w:t>Introduction</w:t>
      </w:r>
    </w:p>
    <w:p w14:paraId="3174AD65" w14:textId="77777777" w:rsidR="0015394A" w:rsidRPr="0015394A" w:rsidRDefault="002333D6" w:rsidP="0015394A">
      <w:pPr>
        <w:pStyle w:val="DroppedCase"/>
        <w:framePr w:wrap="around"/>
      </w:pPr>
      <w:r>
        <w:t>S</w:t>
      </w:r>
    </w:p>
    <w:p w14:paraId="642CBEE6" w14:textId="3C03CE72" w:rsidR="002333D6" w:rsidRDefault="002333D6" w:rsidP="005630A9">
      <w:pPr>
        <w:pStyle w:val="FirstParaofSectionTextStyle0"/>
      </w:pPr>
      <w:proofErr w:type="spellStart"/>
      <w:proofErr w:type="gramStart"/>
      <w:r w:rsidRPr="002333D6">
        <w:t>cholarly</w:t>
      </w:r>
      <w:proofErr w:type="spellEnd"/>
      <w:proofErr w:type="gramEnd"/>
      <w:r w:rsidRPr="002333D6">
        <w:t xml:space="preserve"> communication has changed dramatically since the development of the Internet. The ability to publish, access and store scholarly works digitally has transformed not only how libraries store information, but how academic research is published. Libraries, traditionally storehouses of print publications, are expanding services by collecting digital content and are becoming content providers by digitizing archival and special collections. By providing access to electronic documents, libraries are adding to the choice and diversity of scholarly publishing. Different models are being developed to provide access, manage costs and manage the scholarly output of institutions – especially at colleges and universities</w:t>
      </w:r>
      <w:r w:rsidR="005630A9">
        <w:t xml:space="preserve"> providing faculty members with multiple avenue</w:t>
      </w:r>
      <w:r w:rsidR="00572C95">
        <w:t>s for publishing</w:t>
      </w:r>
      <w:r w:rsidR="005630A9">
        <w:t xml:space="preserve"> the research that they do</w:t>
      </w:r>
      <w:r w:rsidR="009B5310">
        <w:t>.</w:t>
      </w:r>
      <w:r w:rsidR="00CF5CDF">
        <w:t xml:space="preserve"> </w:t>
      </w:r>
    </w:p>
    <w:p w14:paraId="23A47B23" w14:textId="77777777" w:rsidR="00CF3455" w:rsidRPr="005630A9" w:rsidRDefault="005630A9" w:rsidP="005630A9">
      <w:pPr>
        <w:pStyle w:val="SectionSubheading2"/>
      </w:pPr>
      <w:r>
        <w:t>Scholarly Communication</w:t>
      </w:r>
    </w:p>
    <w:p w14:paraId="7814B1AC" w14:textId="376BB265" w:rsidR="00CF3455" w:rsidRPr="00CF3455" w:rsidRDefault="00CF3455" w:rsidP="00B809EA">
      <w:pPr>
        <w:spacing w:after="0"/>
        <w:jc w:val="both"/>
        <w:rPr>
          <w:rFonts w:cstheme="minorHAnsi"/>
          <w:sz w:val="20"/>
          <w:szCs w:val="20"/>
        </w:rPr>
      </w:pPr>
      <w:r w:rsidRPr="00CF3455">
        <w:rPr>
          <w:rFonts w:cstheme="minorHAnsi"/>
          <w:color w:val="000000"/>
          <w:sz w:val="20"/>
          <w:szCs w:val="20"/>
        </w:rPr>
        <w:t>Electronic publishing and electronic access have wrought tremendous chang</w:t>
      </w:r>
      <w:r w:rsidR="005630A9">
        <w:rPr>
          <w:rFonts w:cstheme="minorHAnsi"/>
          <w:color w:val="000000"/>
          <w:sz w:val="20"/>
          <w:szCs w:val="20"/>
        </w:rPr>
        <w:t xml:space="preserve">es in scholarly communication. </w:t>
      </w:r>
      <w:r w:rsidR="009B5310">
        <w:rPr>
          <w:rFonts w:cstheme="minorHAnsi"/>
          <w:color w:val="000000"/>
          <w:sz w:val="20"/>
          <w:szCs w:val="20"/>
        </w:rPr>
        <w:t>In the traditional model, researchers</w:t>
      </w:r>
      <w:r w:rsidR="005630A9">
        <w:rPr>
          <w:rFonts w:cstheme="minorHAnsi"/>
          <w:color w:val="000000"/>
          <w:sz w:val="20"/>
          <w:szCs w:val="20"/>
        </w:rPr>
        <w:t xml:space="preserve"> submit</w:t>
      </w:r>
      <w:r w:rsidR="009B5310">
        <w:rPr>
          <w:rFonts w:cstheme="minorHAnsi"/>
          <w:color w:val="000000"/>
          <w:sz w:val="20"/>
          <w:szCs w:val="20"/>
        </w:rPr>
        <w:t>ted</w:t>
      </w:r>
      <w:r w:rsidR="005630A9">
        <w:rPr>
          <w:rFonts w:cstheme="minorHAnsi"/>
          <w:color w:val="000000"/>
          <w:sz w:val="20"/>
          <w:szCs w:val="20"/>
        </w:rPr>
        <w:t xml:space="preserve"> s</w:t>
      </w:r>
      <w:r w:rsidRPr="00CF3455">
        <w:rPr>
          <w:rFonts w:cstheme="minorHAnsi"/>
          <w:color w:val="000000"/>
          <w:sz w:val="20"/>
          <w:szCs w:val="20"/>
        </w:rPr>
        <w:t xml:space="preserve">cholarly articles </w:t>
      </w:r>
      <w:r w:rsidR="005630A9">
        <w:rPr>
          <w:rFonts w:cstheme="minorHAnsi"/>
          <w:color w:val="000000"/>
          <w:sz w:val="20"/>
          <w:szCs w:val="20"/>
        </w:rPr>
        <w:t>to publishers and frequently sign</w:t>
      </w:r>
      <w:r w:rsidR="009B5310">
        <w:rPr>
          <w:rFonts w:cstheme="minorHAnsi"/>
          <w:color w:val="000000"/>
          <w:sz w:val="20"/>
          <w:szCs w:val="20"/>
        </w:rPr>
        <w:t>ed</w:t>
      </w:r>
      <w:r w:rsidR="005630A9">
        <w:rPr>
          <w:rFonts w:cstheme="minorHAnsi"/>
          <w:color w:val="000000"/>
          <w:sz w:val="20"/>
          <w:szCs w:val="20"/>
        </w:rPr>
        <w:t xml:space="preserve"> away any copyright control in order to publish. Scholarly publishers </w:t>
      </w:r>
      <w:r w:rsidRPr="00CF3455">
        <w:rPr>
          <w:rFonts w:cstheme="minorHAnsi"/>
          <w:color w:val="000000"/>
          <w:sz w:val="20"/>
          <w:szCs w:val="20"/>
        </w:rPr>
        <w:t>then sell the content back to the academic community, primarily libraries</w:t>
      </w:r>
      <w:r w:rsidR="005630A9">
        <w:rPr>
          <w:rFonts w:cstheme="minorHAnsi"/>
          <w:color w:val="000000"/>
          <w:sz w:val="20"/>
          <w:szCs w:val="20"/>
        </w:rPr>
        <w:t>, through print and</w:t>
      </w:r>
      <w:r w:rsidR="009B5310">
        <w:rPr>
          <w:rFonts w:cstheme="minorHAnsi"/>
          <w:color w:val="000000"/>
          <w:sz w:val="20"/>
          <w:szCs w:val="20"/>
        </w:rPr>
        <w:t xml:space="preserve"> now</w:t>
      </w:r>
      <w:r w:rsidR="005630A9">
        <w:rPr>
          <w:rFonts w:cstheme="minorHAnsi"/>
          <w:color w:val="000000"/>
          <w:sz w:val="20"/>
          <w:szCs w:val="20"/>
        </w:rPr>
        <w:t xml:space="preserve"> electronic journal subscriptions</w:t>
      </w:r>
      <w:r w:rsidR="009B5310">
        <w:rPr>
          <w:rFonts w:cstheme="minorHAnsi"/>
          <w:color w:val="000000"/>
          <w:sz w:val="20"/>
          <w:szCs w:val="20"/>
        </w:rPr>
        <w:t xml:space="preserve">. The development of the Internet and the use of electronic documents that can be stored online have changed the way researchers share and publish material. Researchers can easily email articles and papers directly to a colleague or post copies in online repositories to share within a scholarly community. </w:t>
      </w:r>
      <w:r w:rsidR="00570BC9">
        <w:rPr>
          <w:rFonts w:cstheme="minorHAnsi"/>
          <w:color w:val="000000"/>
          <w:sz w:val="20"/>
          <w:szCs w:val="20"/>
        </w:rPr>
        <w:t>Organizations and groups have developed to assist researchers and promote free access to scholarly materials.</w:t>
      </w:r>
    </w:p>
    <w:p w14:paraId="4CF10A05" w14:textId="1B4564DD" w:rsidR="005630A9" w:rsidRPr="002333D6" w:rsidRDefault="009B5310" w:rsidP="00B809EA">
      <w:pPr>
        <w:pStyle w:val="FirstParaofSectionTextStyle0"/>
        <w:ind w:firstLine="360"/>
      </w:pPr>
      <w:r w:rsidRPr="009B5310">
        <w:rPr>
          <w:rFonts w:eastAsia="Times New Roman" w:cstheme="minorHAnsi"/>
          <w:color w:val="000000"/>
        </w:rPr>
        <w:t>The </w:t>
      </w:r>
      <w:r w:rsidRPr="009B5310">
        <w:rPr>
          <w:rFonts w:eastAsia="Times New Roman" w:cstheme="minorHAnsi"/>
          <w:bCs/>
          <w:color w:val="000000"/>
        </w:rPr>
        <w:t>Scholarly Publishing and Academic Resources Coalition</w:t>
      </w:r>
      <w:r w:rsidRPr="009B5310">
        <w:rPr>
          <w:rFonts w:eastAsia="Times New Roman" w:cstheme="minorHAnsi"/>
          <w:color w:val="000000"/>
        </w:rPr>
        <w:t xml:space="preserve"> </w:t>
      </w:r>
      <w:r>
        <w:rPr>
          <w:rFonts w:eastAsia="Times New Roman" w:cstheme="minorHAnsi"/>
          <w:color w:val="000000"/>
        </w:rPr>
        <w:t>(</w:t>
      </w:r>
      <w:r w:rsidR="00CF3455" w:rsidRPr="00CF3455">
        <w:rPr>
          <w:rFonts w:eastAsia="Times New Roman" w:cstheme="minorHAnsi"/>
          <w:color w:val="000000"/>
        </w:rPr>
        <w:t>SPARC</w:t>
      </w:r>
      <w:r>
        <w:rPr>
          <w:rFonts w:eastAsia="Times New Roman" w:cstheme="minorHAnsi"/>
          <w:color w:val="000000"/>
        </w:rPr>
        <w:t>)</w:t>
      </w:r>
      <w:r w:rsidR="00CF3455" w:rsidRPr="00CF3455">
        <w:rPr>
          <w:rFonts w:eastAsia="Times New Roman" w:cstheme="minorHAnsi"/>
          <w:color w:val="000000"/>
        </w:rPr>
        <w:t>,</w:t>
      </w:r>
      <w:r>
        <w:rPr>
          <w:rFonts w:eastAsia="Times New Roman" w:cstheme="minorHAnsi"/>
          <w:color w:val="000000"/>
        </w:rPr>
        <w:t xml:space="preserve"> the Open Archives Initiative</w:t>
      </w:r>
      <w:r w:rsidR="00CF3455" w:rsidRPr="00CF3455">
        <w:rPr>
          <w:rFonts w:eastAsia="Times New Roman" w:cstheme="minorHAnsi"/>
          <w:color w:val="000000"/>
        </w:rPr>
        <w:t xml:space="preserve"> </w:t>
      </w:r>
      <w:r>
        <w:rPr>
          <w:rFonts w:eastAsia="Times New Roman" w:cstheme="minorHAnsi"/>
          <w:color w:val="000000"/>
        </w:rPr>
        <w:t>(</w:t>
      </w:r>
      <w:r w:rsidR="00CF3455" w:rsidRPr="00CF3455">
        <w:rPr>
          <w:rFonts w:eastAsia="Times New Roman" w:cstheme="minorHAnsi"/>
          <w:color w:val="000000"/>
        </w:rPr>
        <w:t>OAI</w:t>
      </w:r>
      <w:r>
        <w:rPr>
          <w:rFonts w:eastAsia="Times New Roman" w:cstheme="minorHAnsi"/>
          <w:color w:val="000000"/>
        </w:rPr>
        <w:t>),</w:t>
      </w:r>
      <w:r w:rsidR="00CF3455" w:rsidRPr="00CF3455">
        <w:rPr>
          <w:rFonts w:eastAsia="Times New Roman" w:cstheme="minorHAnsi"/>
          <w:color w:val="000000"/>
        </w:rPr>
        <w:t xml:space="preserve"> and the Budapest Open Access Initiative have been established to bring about change in scholarly publishing. SPARC, a coalition of academic and research libraries, was developed to be “…a constructive response to market dysfunctions in the scholarly communication system” (SPARC, 2006). As such, SPARC is focusing on access to peer-reviewed scholarship, promoting open access, and the retention of copyright by </w:t>
      </w:r>
      <w:r w:rsidR="00572C95">
        <w:rPr>
          <w:rFonts w:eastAsia="Times New Roman" w:cstheme="minorHAnsi"/>
          <w:color w:val="000000"/>
        </w:rPr>
        <w:t xml:space="preserve">authors. </w:t>
      </w:r>
      <w:r w:rsidR="00EF23E0">
        <w:rPr>
          <w:rFonts w:eastAsia="Times New Roman" w:cstheme="minorHAnsi"/>
          <w:color w:val="000000"/>
        </w:rPr>
        <w:t>“…[S]</w:t>
      </w:r>
      <w:proofErr w:type="spellStart"/>
      <w:r w:rsidR="00EF23E0" w:rsidRPr="00EF23E0">
        <w:rPr>
          <w:rFonts w:eastAsia="Times New Roman" w:cstheme="minorHAnsi"/>
          <w:color w:val="000000"/>
        </w:rPr>
        <w:t>upporting</w:t>
      </w:r>
      <w:proofErr w:type="spellEnd"/>
      <w:r w:rsidR="00EF23E0" w:rsidRPr="00EF23E0">
        <w:rPr>
          <w:rFonts w:eastAsia="Times New Roman" w:cstheme="minorHAnsi"/>
          <w:color w:val="000000"/>
        </w:rPr>
        <w:t xml:space="preserve"> the emergence of new scholarly communication models that expand the dissemination of scholarly research and reduce financial pressures on libraries and create a more open system of scholarly communications</w:t>
      </w:r>
      <w:r w:rsidR="00EF23E0">
        <w:rPr>
          <w:rFonts w:eastAsia="Times New Roman" w:cstheme="minorHAnsi"/>
          <w:color w:val="000000"/>
        </w:rPr>
        <w:t>,” SPARC continues to “promote changes to infrastructure and culture” that advance an open system of scholarly communication (SPARC, 2013)</w:t>
      </w:r>
      <w:r w:rsidR="00EF23E0" w:rsidRPr="00EF23E0">
        <w:rPr>
          <w:rFonts w:eastAsia="Times New Roman" w:cstheme="minorHAnsi"/>
          <w:color w:val="000000"/>
        </w:rPr>
        <w:t>.</w:t>
      </w:r>
      <w:r w:rsidR="00EF23E0">
        <w:rPr>
          <w:rFonts w:eastAsia="Times New Roman" w:cstheme="minorHAnsi"/>
          <w:color w:val="000000"/>
        </w:rPr>
        <w:t xml:space="preserve"> </w:t>
      </w:r>
      <w:r w:rsidR="00572C95">
        <w:rPr>
          <w:rFonts w:eastAsia="Times New Roman" w:cstheme="minorHAnsi"/>
          <w:color w:val="000000"/>
        </w:rPr>
        <w:t>OAI,</w:t>
      </w:r>
      <w:r w:rsidR="00CF3455" w:rsidRPr="00CF3455">
        <w:rPr>
          <w:rFonts w:eastAsia="Times New Roman" w:cstheme="minorHAnsi"/>
          <w:color w:val="000000"/>
        </w:rPr>
        <w:t xml:space="preserve"> seeks to “facilitate the efficient dissemination of content,” focusing on the technology and standards necessary to promote access to scholarly information (OAI, </w:t>
      </w:r>
      <w:proofErr w:type="spellStart"/>
      <w:r w:rsidR="00CF3455" w:rsidRPr="00CF3455">
        <w:rPr>
          <w:rFonts w:eastAsia="Times New Roman" w:cstheme="minorHAnsi"/>
          <w:color w:val="000000"/>
        </w:rPr>
        <w:t>n.d.</w:t>
      </w:r>
      <w:proofErr w:type="spellEnd"/>
      <w:r w:rsidR="00CF3455" w:rsidRPr="00CF3455">
        <w:rPr>
          <w:rFonts w:eastAsia="Times New Roman" w:cstheme="minorHAnsi"/>
          <w:color w:val="000000"/>
        </w:rPr>
        <w:t xml:space="preserve">). The Budapest Open Access Initiative was formed in 2001 to “accelerate progress in the international effort to make research articles in all academic fields freely available on the </w:t>
      </w:r>
      <w:r w:rsidR="005630A9" w:rsidRPr="00CF3455">
        <w:rPr>
          <w:rFonts w:eastAsia="Times New Roman" w:cstheme="minorHAnsi"/>
          <w:color w:val="000000"/>
        </w:rPr>
        <w:t>Internet</w:t>
      </w:r>
      <w:r w:rsidR="00CF3455" w:rsidRPr="00CF3455">
        <w:rPr>
          <w:rFonts w:eastAsia="Times New Roman" w:cstheme="minorHAnsi"/>
          <w:color w:val="000000"/>
        </w:rPr>
        <w:t xml:space="preserve">” (Budapest, </w:t>
      </w:r>
      <w:proofErr w:type="spellStart"/>
      <w:r w:rsidR="00CF3455" w:rsidRPr="00CF3455">
        <w:rPr>
          <w:rFonts w:eastAsia="Times New Roman" w:cstheme="minorHAnsi"/>
          <w:color w:val="000000"/>
        </w:rPr>
        <w:t>n.d.</w:t>
      </w:r>
      <w:proofErr w:type="spellEnd"/>
      <w:r w:rsidR="00CF3455" w:rsidRPr="00CF3455">
        <w:rPr>
          <w:rFonts w:eastAsia="Times New Roman" w:cstheme="minorHAnsi"/>
          <w:color w:val="000000"/>
        </w:rPr>
        <w:t>). Together these organizations are working to provide free standardized access to scholarly communication through the development of repositories and repository software</w:t>
      </w:r>
      <w:r w:rsidR="005630A9">
        <w:rPr>
          <w:rFonts w:eastAsia="Times New Roman" w:cstheme="minorHAnsi"/>
          <w:color w:val="000000"/>
        </w:rPr>
        <w:t xml:space="preserve">, </w:t>
      </w:r>
      <w:r w:rsidR="005630A9" w:rsidRPr="002333D6">
        <w:t>one solution</w:t>
      </w:r>
      <w:r w:rsidR="005630A9">
        <w:t xml:space="preserve"> to manage this scholarly output</w:t>
      </w:r>
      <w:r w:rsidR="005630A9" w:rsidRPr="002333D6">
        <w:t>.</w:t>
      </w:r>
    </w:p>
    <w:p w14:paraId="561A4971" w14:textId="77777777" w:rsidR="009D0E46" w:rsidRDefault="009D0E46" w:rsidP="009D0E46">
      <w:pPr>
        <w:pStyle w:val="SectionSubheading2"/>
      </w:pPr>
      <w:r>
        <w:t>Open Access</w:t>
      </w:r>
    </w:p>
    <w:p w14:paraId="498055E8" w14:textId="461A948D" w:rsidR="00C474ED" w:rsidRDefault="005630A9" w:rsidP="00C474ED">
      <w:pPr>
        <w:pStyle w:val="SubsequentParagraphsTextStyle"/>
      </w:pPr>
      <w:r>
        <w:t>Faculty members may choose to share scholarly</w:t>
      </w:r>
      <w:r w:rsidR="00E962DB">
        <w:t xml:space="preserve"> works through an open access </w:t>
      </w:r>
      <w:r>
        <w:t>repository o</w:t>
      </w:r>
      <w:r w:rsidR="00C474ED">
        <w:t xml:space="preserve">r through an individual website or blog. </w:t>
      </w:r>
      <w:r w:rsidR="00C474ED" w:rsidRPr="002333D6">
        <w:t>Essentially, a repository</w:t>
      </w:r>
      <w:r w:rsidR="00C474ED">
        <w:t xml:space="preserve"> </w:t>
      </w:r>
      <w:r w:rsidR="00C474ED" w:rsidRPr="002333D6">
        <w:t xml:space="preserve">is a digital library of scholarly content </w:t>
      </w:r>
      <w:r w:rsidR="00C474ED" w:rsidRPr="002333D6">
        <w:lastRenderedPageBreak/>
        <w:t>that is freely available</w:t>
      </w:r>
      <w:r w:rsidR="00E962DB">
        <w:t>. Materials may be placed in a subject repository hosted by a scholarly association or</w:t>
      </w:r>
      <w:r w:rsidR="00C474ED" w:rsidRPr="002333D6">
        <w:t xml:space="preserve"> </w:t>
      </w:r>
      <w:r w:rsidR="00E962DB">
        <w:t>in an institutional repository (IR), hosted by a college,</w:t>
      </w:r>
      <w:r w:rsidR="00C474ED" w:rsidRPr="002333D6">
        <w:t xml:space="preserve"> university</w:t>
      </w:r>
      <w:r w:rsidR="00E962DB">
        <w:t>, or research organization</w:t>
      </w:r>
      <w:r w:rsidR="00C474ED" w:rsidRPr="002333D6">
        <w:t xml:space="preserve">. </w:t>
      </w:r>
      <w:r w:rsidR="00E962DB">
        <w:t>In addition formal repositories, many researchers</w:t>
      </w:r>
      <w:r w:rsidR="00C474ED">
        <w:t xml:space="preserve"> host or post their</w:t>
      </w:r>
      <w:r w:rsidR="00E962DB">
        <w:t xml:space="preserve"> own works on a personal website</w:t>
      </w:r>
      <w:r w:rsidR="00C474ED">
        <w:t xml:space="preserve"> that may be associated with the university or belong to the individual faculty member.</w:t>
      </w:r>
    </w:p>
    <w:p w14:paraId="5B6C87A9" w14:textId="4749745B" w:rsidR="009D0E46" w:rsidRPr="009D0E46" w:rsidRDefault="009D0E46" w:rsidP="009D0E46">
      <w:pPr>
        <w:pStyle w:val="SubsequentParagraphsTextStyle"/>
      </w:pPr>
      <w:r w:rsidRPr="009D0E46">
        <w:t xml:space="preserve">According to </w:t>
      </w:r>
      <w:proofErr w:type="spellStart"/>
      <w:r w:rsidRPr="009D0E46">
        <w:t>Suber</w:t>
      </w:r>
      <w:proofErr w:type="spellEnd"/>
      <w:r w:rsidRPr="009D0E46">
        <w:t xml:space="preserve"> (2005), self-archiving</w:t>
      </w:r>
      <w:r w:rsidR="00C474ED">
        <w:t>, whether through an IR or through the web,</w:t>
      </w:r>
      <w:r w:rsidRPr="009D0E46">
        <w:t xml:space="preserve"> allows authors to expand access to their works, by providing additional access points. High impact journals are more likely to permit authors to self-archive, though the article is usually a pre-print or post-print rather than an electronic copy in Portable Document Format (PDF) of the original document (</w:t>
      </w:r>
      <w:proofErr w:type="spellStart"/>
      <w:r w:rsidRPr="009D0E46">
        <w:t>Suber</w:t>
      </w:r>
      <w:proofErr w:type="spellEnd"/>
      <w:r w:rsidRPr="009D0E46">
        <w:t xml:space="preserve">, 2005). </w:t>
      </w:r>
      <w:proofErr w:type="spellStart"/>
      <w:r w:rsidRPr="009D0E46">
        <w:t>Harnad</w:t>
      </w:r>
      <w:proofErr w:type="spellEnd"/>
      <w:r w:rsidRPr="009D0E46">
        <w:t xml:space="preserve"> and Brody (2004) found more than 50% of publishers identified by the </w:t>
      </w:r>
      <w:proofErr w:type="spellStart"/>
      <w:r w:rsidRPr="009D0E46">
        <w:t>RoMEO</w:t>
      </w:r>
      <w:proofErr w:type="spellEnd"/>
      <w:r w:rsidRPr="009D0E46">
        <w:t xml:space="preserve"> Project (Rights </w:t>
      </w:r>
      <w:proofErr w:type="spellStart"/>
      <w:r w:rsidRPr="009D0E46">
        <w:t>MEtadata</w:t>
      </w:r>
      <w:proofErr w:type="spellEnd"/>
      <w:r w:rsidRPr="009D0E46">
        <w:t xml:space="preserve"> for </w:t>
      </w:r>
      <w:proofErr w:type="gramStart"/>
      <w:r w:rsidRPr="009D0E46">
        <w:t>Open</w:t>
      </w:r>
      <w:proofErr w:type="gramEnd"/>
      <w:r w:rsidRPr="009D0E46">
        <w:t xml:space="preserve"> archiving) </w:t>
      </w:r>
      <w:r w:rsidR="00532764">
        <w:t xml:space="preserve">allowed authors to self-archive. </w:t>
      </w:r>
      <w:r w:rsidRPr="009D0E46">
        <w:t xml:space="preserve">Wren (2005) found correlation between a journal’s impact factor and the availability of its articles on the web. </w:t>
      </w:r>
      <w:proofErr w:type="spellStart"/>
      <w:r w:rsidRPr="009D0E46">
        <w:t>Harnad</w:t>
      </w:r>
      <w:proofErr w:type="spellEnd"/>
      <w:r w:rsidRPr="009D0E46">
        <w:t xml:space="preserve"> and Brody (2004) also found that OA articles were more frequently cited in physics. Publications are increasingly available online, posted through repositories, personal web sites or publisher sites. With enhanced access, it becomes even more important to place items in a digital collection. By incorporating faculty publications in an IR, not only is the article provided the benefits of metadata and preservation, but the article is placed in context among a faculty member’s publications. This level of indexing and preservation is usually not delivered from a personal web site.</w:t>
      </w:r>
    </w:p>
    <w:p w14:paraId="6D9D4B30" w14:textId="30E83590" w:rsidR="009D0E46" w:rsidRDefault="00983D35" w:rsidP="002333D6">
      <w:pPr>
        <w:pStyle w:val="SubsequentParagraphsTextStyle"/>
      </w:pPr>
      <w:r>
        <w:t>Publishers have embraced two models of open access publishing: Green and Gold. Scholarly materials may be posted to an open repository under the Green model, while the Gold model requires the author or an organization to pay a fee to p</w:t>
      </w:r>
      <w:r w:rsidR="00E75690">
        <w:t xml:space="preserve">ost content to a repository. The Gold model does allow publishers to recoup costs associated with publication; however it creates a financial burden on the author or an organization especially if there is an institutional mandate to publish in an open access repository (Morgan, Campbell and </w:t>
      </w:r>
      <w:proofErr w:type="spellStart"/>
      <w:r w:rsidR="00E75690">
        <w:t>Teleen</w:t>
      </w:r>
      <w:proofErr w:type="spellEnd"/>
      <w:r w:rsidR="00E75690">
        <w:t>, 2012).</w:t>
      </w:r>
      <w:r>
        <w:t xml:space="preserve">  </w:t>
      </w:r>
    </w:p>
    <w:p w14:paraId="465A66C0" w14:textId="77777777" w:rsidR="009D0E46" w:rsidRPr="006F7391" w:rsidRDefault="009D0E46" w:rsidP="009D0E46">
      <w:pPr>
        <w:pStyle w:val="SectionSubheading2"/>
        <w:rPr>
          <w:rFonts w:asciiTheme="majorHAnsi" w:hAnsiTheme="majorHAnsi" w:cstheme="majorHAnsi"/>
        </w:rPr>
      </w:pPr>
      <w:r w:rsidRPr="006F7391">
        <w:rPr>
          <w:rFonts w:asciiTheme="majorHAnsi" w:hAnsiTheme="majorHAnsi" w:cstheme="majorHAnsi"/>
        </w:rPr>
        <w:t>Faculty Perceptions of Open Access</w:t>
      </w:r>
    </w:p>
    <w:p w14:paraId="5A357B85" w14:textId="77777777" w:rsidR="00E75690" w:rsidRDefault="00585B37" w:rsidP="00B809EA">
      <w:pPr>
        <w:pStyle w:val="SubsequentParagraphsTextStyle"/>
        <w:ind w:firstLine="0"/>
      </w:pPr>
      <w:r>
        <w:t>Nichols and Rowland (2005) found that</w:t>
      </w:r>
      <w:r w:rsidR="00572C95">
        <w:t xml:space="preserve"> </w:t>
      </w:r>
      <w:r>
        <w:t xml:space="preserve">the more faculty published, the more frequently they turned to open access resources. </w:t>
      </w:r>
      <w:r w:rsidR="00572C95">
        <w:t xml:space="preserve">It is unclear whether the faculty saw a benefit to publishing via an open access channel or if the faculty member had the freedom to choose where he or she published after gaining tenure. </w:t>
      </w:r>
      <w:r>
        <w:t>Coonan (2011) examined the open access publishing habits of business faculty members in the United States</w:t>
      </w:r>
      <w:r w:rsidR="00E75690">
        <w:t xml:space="preserve"> found that </w:t>
      </w:r>
      <w:r>
        <w:t xml:space="preserve">the difference between online and open access was not always clear to faculty. Faculty </w:t>
      </w:r>
      <w:r w:rsidR="00572C95">
        <w:t xml:space="preserve">members </w:t>
      </w:r>
      <w:r>
        <w:t xml:space="preserve">were also </w:t>
      </w:r>
      <w:r w:rsidR="00E75690">
        <w:t>unable to make a</w:t>
      </w:r>
      <w:r>
        <w:t xml:space="preserve"> distinction between open access, freely available articles, and self-archiving, placing one’s articles online on a website or blog.</w:t>
      </w:r>
      <w:r w:rsidR="00495A95">
        <w:t xml:space="preserve"> </w:t>
      </w:r>
      <w:r w:rsidR="00E75690">
        <w:t xml:space="preserve">In addition to conceptual difficulties, </w:t>
      </w:r>
      <w:r w:rsidR="00495A95">
        <w:t xml:space="preserve">Kim (2010) </w:t>
      </w:r>
      <w:r w:rsidR="00E75690">
        <w:t xml:space="preserve">and Shen (2011) identified additional </w:t>
      </w:r>
      <w:r w:rsidR="00495A95">
        <w:t xml:space="preserve">barriers to depositing materials in an open access repository. Copyright concerns and the </w:t>
      </w:r>
      <w:r w:rsidR="00495A95" w:rsidRPr="00495A95">
        <w:t>extra time and effort</w:t>
      </w:r>
      <w:r w:rsidR="00495A95">
        <w:t xml:space="preserve"> it takes to add content were f</w:t>
      </w:r>
      <w:r w:rsidR="00E75690">
        <w:t>requently identified by faculty (Kim, 2010)</w:t>
      </w:r>
      <w:r w:rsidR="00495A95">
        <w:t>. Shen (2011) found that fees negatively impacted open access journals, but that a majority of faculty surveyed had published in an open access resource.</w:t>
      </w:r>
      <w:r w:rsidR="00E75690">
        <w:t xml:space="preserve"> </w:t>
      </w:r>
    </w:p>
    <w:p w14:paraId="3A1057F1" w14:textId="76FBB725" w:rsidR="009D0E46" w:rsidRPr="002333D6" w:rsidRDefault="00E75690" w:rsidP="00E75690">
      <w:pPr>
        <w:pStyle w:val="SubsequentParagraphsTextStyle"/>
      </w:pPr>
      <w:r>
        <w:t xml:space="preserve">While the open access movement has been gaining support over the last decade, there are still barriers to adoption. Faculty have to become more aware of publishing </w:t>
      </w:r>
      <w:r w:rsidR="00051F9C">
        <w:t>options and their rights as authors. If an institutional repository is developed at a college or university, faculty, librarians and staff have to work together to collect the scholarly output of an organization.</w:t>
      </w:r>
      <w:r>
        <w:t xml:space="preserve"> </w:t>
      </w:r>
    </w:p>
    <w:p w14:paraId="200A9DEE" w14:textId="77777777" w:rsidR="002A019C" w:rsidRDefault="00FF7736" w:rsidP="0052378A">
      <w:pPr>
        <w:pStyle w:val="SectionHeadings"/>
      </w:pPr>
      <w:r>
        <w:t>The GALILEO Knowledge Repository</w:t>
      </w:r>
    </w:p>
    <w:p w14:paraId="52598415" w14:textId="4E3714D4" w:rsidR="00C474ED" w:rsidRDefault="00495A95" w:rsidP="00B809EA">
      <w:pPr>
        <w:pStyle w:val="SubsequentParagraphsTextStyle"/>
        <w:ind w:firstLine="0"/>
      </w:pPr>
      <w:r>
        <w:t xml:space="preserve">The GALILEO Knowledge Repository (GKR) is an </w:t>
      </w:r>
      <w:r w:rsidR="00C474ED">
        <w:t>IMLS grant</w:t>
      </w:r>
      <w:r>
        <w:t xml:space="preserve"> funded project that seeks to develop an open access repository umbrella for the University System of Georgia colleges and universities. The GKR </w:t>
      </w:r>
      <w:proofErr w:type="spellStart"/>
      <w:r>
        <w:t>initative</w:t>
      </w:r>
      <w:proofErr w:type="spellEnd"/>
      <w:r>
        <w:t xml:space="preserve"> developed the infrastructure, policies and support of branded repositories at multiple institutions.</w:t>
      </w:r>
      <w:r w:rsidR="00532764">
        <w:t xml:space="preserve"> </w:t>
      </w:r>
      <w:r w:rsidR="00572C95">
        <w:t>Despite libraries and organizations in the USG system holding activities aimed at educating authors and showcasing open access</w:t>
      </w:r>
      <w:r w:rsidR="00CF5CDF">
        <w:t xml:space="preserve">, faculty participation with the project has not met anticipated goals. </w:t>
      </w:r>
      <w:r w:rsidR="00532764">
        <w:t>A survey associated with the grant initiative</w:t>
      </w:r>
      <w:r w:rsidR="00C474ED">
        <w:t xml:space="preserve"> gathered data about the issues </w:t>
      </w:r>
      <w:r w:rsidR="00C474ED">
        <w:lastRenderedPageBreak/>
        <w:t>associated with open access and author rights, identify faculty already publishing in open access journals, and ascertain their use and perceptions</w:t>
      </w:r>
      <w:r w:rsidR="00CF5CDF">
        <w:t xml:space="preserve"> of institutional repositories.</w:t>
      </w:r>
    </w:p>
    <w:p w14:paraId="4F2D048D" w14:textId="77777777" w:rsidR="00126390" w:rsidRDefault="00126390" w:rsidP="00126390">
      <w:pPr>
        <w:pStyle w:val="SectionSubheading1"/>
        <w:rPr>
          <w:szCs w:val="21"/>
        </w:rPr>
      </w:pPr>
      <w:r>
        <w:rPr>
          <w:szCs w:val="21"/>
        </w:rPr>
        <w:t>Methodology</w:t>
      </w:r>
    </w:p>
    <w:p w14:paraId="651D9D29" w14:textId="79BDFAC4" w:rsidR="00C474ED" w:rsidRDefault="00C474ED" w:rsidP="00B809EA">
      <w:pPr>
        <w:pStyle w:val="SubsequentParagraphsTextStyle"/>
        <w:ind w:firstLine="0"/>
      </w:pPr>
      <w:r>
        <w:t>Based partly on Rowlands and Nicholas (2005</w:t>
      </w:r>
      <w:proofErr w:type="gramStart"/>
      <w:r>
        <w:t>)  and</w:t>
      </w:r>
      <w:proofErr w:type="gramEnd"/>
      <w:r>
        <w:t xml:space="preserve"> Rowlands,</w:t>
      </w:r>
      <w:r w:rsidR="006F7391">
        <w:t xml:space="preserve"> Nicholas and Huntingdon (2004)</w:t>
      </w:r>
      <w:r>
        <w:t xml:space="preserve">, the questionnaire will contain specific questions based on the respondent’s role within the university (administration, faculty, librarian). The survey will include questions about open access publishing, author rights, and usage. </w:t>
      </w:r>
    </w:p>
    <w:p w14:paraId="3C232B2D" w14:textId="77777777" w:rsidR="00C474ED" w:rsidRDefault="00C474ED" w:rsidP="00C474ED">
      <w:pPr>
        <w:pStyle w:val="SubsequentParagraphsTextStyle"/>
      </w:pPr>
      <w:r>
        <w:t xml:space="preserve">All of the faculty members at 35 colleges and universities in Georgia (four research universities, two regional universities, 13 state universities, eight state colleges, and eight two-year colleges) were included in the potential study population. According to a 2008 report, the university system employed 11,654 faculty members. </w:t>
      </w:r>
      <w:r w:rsidR="00393E3A">
        <w:t>The</w:t>
      </w:r>
      <w:r>
        <w:t xml:space="preserve"> Vice Chancellor for Academic Affairs for the USG sent an initial email to college and university VPAAs with a survey link and a letter describing the GKR project. Follow up emails were sent to library directors on each campus. The survey was available for forty-five days and closed April 30, 2012.</w:t>
      </w:r>
    </w:p>
    <w:p w14:paraId="2C3C2BCD" w14:textId="77777777" w:rsidR="00C474ED" w:rsidRDefault="00C474ED" w:rsidP="00C474ED">
      <w:pPr>
        <w:pStyle w:val="SubsequentParagraphsTextStyle"/>
      </w:pPr>
      <w:r>
        <w:t xml:space="preserve"> </w:t>
      </w:r>
    </w:p>
    <w:p w14:paraId="1B6911C5" w14:textId="77777777" w:rsidR="00C474ED" w:rsidRDefault="00C474ED" w:rsidP="00C474ED">
      <w:pPr>
        <w:pStyle w:val="SubsequentParagraphsTextStyle"/>
      </w:pPr>
      <w:r>
        <w:t>Research Questions</w:t>
      </w:r>
    </w:p>
    <w:p w14:paraId="28DB722F" w14:textId="77777777" w:rsidR="00C474ED" w:rsidRDefault="00C474ED" w:rsidP="00C474ED">
      <w:pPr>
        <w:pStyle w:val="SubsequentParagraphsTextStyle"/>
      </w:pPr>
      <w:r>
        <w:t>1.</w:t>
      </w:r>
      <w:r>
        <w:tab/>
        <w:t>To what extent do faculty in the USG publish in open access journals or repositories?</w:t>
      </w:r>
    </w:p>
    <w:p w14:paraId="05B830B9" w14:textId="77777777" w:rsidR="00C474ED" w:rsidRDefault="00C474ED" w:rsidP="00C474ED">
      <w:pPr>
        <w:pStyle w:val="SubsequentParagraphsTextStyle"/>
      </w:pPr>
      <w:r>
        <w:t>2.</w:t>
      </w:r>
      <w:r>
        <w:tab/>
        <w:t>To what extent are faculty aware of the individual rights of authors?</w:t>
      </w:r>
    </w:p>
    <w:p w14:paraId="0631CCCD" w14:textId="77777777" w:rsidR="00C474ED" w:rsidRDefault="00C474ED" w:rsidP="00393E3A">
      <w:pPr>
        <w:pStyle w:val="SubsequentParagraphsTextStyle"/>
      </w:pPr>
      <w:r>
        <w:t>3.</w:t>
      </w:r>
      <w:r>
        <w:tab/>
        <w:t>Who is publishing in open access journals and reposit</w:t>
      </w:r>
      <w:r w:rsidR="00393E3A">
        <w:t>ories?</w:t>
      </w:r>
    </w:p>
    <w:p w14:paraId="3F8A92AA" w14:textId="77777777" w:rsidR="00126390" w:rsidRPr="00A6038A" w:rsidRDefault="00126390" w:rsidP="00126390">
      <w:pPr>
        <w:pStyle w:val="SectionSubheading1"/>
        <w:rPr>
          <w:szCs w:val="21"/>
        </w:rPr>
      </w:pPr>
      <w:r>
        <w:rPr>
          <w:szCs w:val="21"/>
        </w:rPr>
        <w:t>USG Faculty Participant Demographics</w:t>
      </w:r>
    </w:p>
    <w:p w14:paraId="77E34900" w14:textId="084A2472" w:rsidR="002F2A65" w:rsidRDefault="00C474ED" w:rsidP="00B809EA">
      <w:pPr>
        <w:pStyle w:val="SubsequentParagraphsTextStyle"/>
        <w:ind w:firstLine="0"/>
      </w:pPr>
      <w:r>
        <w:t xml:space="preserve">Released during the Spring Semester of 2012, 674 respondents began the survey. 80% (539) of the surveys are considered complete by </w:t>
      </w:r>
      <w:proofErr w:type="spellStart"/>
      <w:r>
        <w:t>SurveyMonkey</w:t>
      </w:r>
      <w:proofErr w:type="spellEnd"/>
      <w:r>
        <w:t xml:space="preserve">, the survey tool used for the project. Responses were received from 26 of the 35 USG colleges and universities. Since the survey, the USG has combined several campuses. </w:t>
      </w:r>
    </w:p>
    <w:p w14:paraId="4699D808" w14:textId="69C0E72B" w:rsidR="00C474ED" w:rsidRDefault="00C474ED" w:rsidP="00393E3A">
      <w:pPr>
        <w:pStyle w:val="SubsequentParagraphsTextStyle"/>
      </w:pPr>
      <w:r>
        <w:t>Ten partner sites were identified in the IMLS grant: Albany State University, College of Coastal Georgia, Georgia Gwinnett College, Georgia Health Sciences University</w:t>
      </w:r>
      <w:r w:rsidR="00393E3A">
        <w:t xml:space="preserve"> (Identified as Medical College of Georgia in USG documents)</w:t>
      </w:r>
      <w:r>
        <w:t>, Georgia Institute of Technology, Georgia Southern University, Georgia State University, Kennesaw State University, University of Georgia and Valdosta State University (Table 1</w:t>
      </w:r>
      <w:r w:rsidR="00126390">
        <w:t>.1</w:t>
      </w:r>
      <w:r>
        <w:t>). Statistics will be provided for both the Partner Sites and for all USG institutions in this report. Fifty percent of the participants</w:t>
      </w:r>
      <w:r w:rsidR="00CF5CDF">
        <w:t xml:space="preserve"> were from Partner Sites.</w:t>
      </w:r>
    </w:p>
    <w:p w14:paraId="17018858" w14:textId="77777777" w:rsidR="00751A23" w:rsidRDefault="00751A23" w:rsidP="00126390">
      <w:pPr>
        <w:pStyle w:val="TableFigureHeader"/>
      </w:pPr>
      <w:r w:rsidRPr="00203EF2">
        <w:t xml:space="preserve">Table 1.1: </w:t>
      </w:r>
      <w:r w:rsidR="00126390" w:rsidRPr="00126390">
        <w:t>Partner Institution Participation</w:t>
      </w:r>
    </w:p>
    <w:tbl>
      <w:tblPr>
        <w:tblStyle w:val="TableGrid"/>
        <w:tblW w:w="0" w:type="auto"/>
        <w:tblLook w:val="04A0" w:firstRow="1" w:lastRow="0" w:firstColumn="1" w:lastColumn="0" w:noHBand="0" w:noVBand="1"/>
      </w:tblPr>
      <w:tblGrid>
        <w:gridCol w:w="2131"/>
        <w:gridCol w:w="2044"/>
        <w:gridCol w:w="2068"/>
        <w:gridCol w:w="1717"/>
      </w:tblGrid>
      <w:tr w:rsidR="00C474ED" w:rsidRPr="00126390" w14:paraId="133EA96A" w14:textId="77777777" w:rsidTr="00126390">
        <w:tc>
          <w:tcPr>
            <w:tcW w:w="2152" w:type="dxa"/>
          </w:tcPr>
          <w:p w14:paraId="30D85EDA" w14:textId="77777777" w:rsidR="00C474ED" w:rsidRPr="00126390" w:rsidRDefault="00C474ED" w:rsidP="00B5329F">
            <w:pPr>
              <w:pStyle w:val="TableFigureHeader"/>
              <w:spacing w:before="0" w:after="0"/>
            </w:pPr>
            <w:r w:rsidRPr="00126390">
              <w:t>Institution</w:t>
            </w:r>
          </w:p>
        </w:tc>
        <w:tc>
          <w:tcPr>
            <w:tcW w:w="2063" w:type="dxa"/>
          </w:tcPr>
          <w:p w14:paraId="77BBA496" w14:textId="77777777" w:rsidR="00C474ED" w:rsidRPr="00126390" w:rsidRDefault="00C474ED" w:rsidP="00B5329F">
            <w:pPr>
              <w:pStyle w:val="TableFigureHeader"/>
              <w:spacing w:before="0" w:after="0"/>
            </w:pPr>
            <w:r w:rsidRPr="00126390">
              <w:t>USG Description</w:t>
            </w:r>
          </w:p>
        </w:tc>
        <w:tc>
          <w:tcPr>
            <w:tcW w:w="2090" w:type="dxa"/>
          </w:tcPr>
          <w:p w14:paraId="74A6150F" w14:textId="77777777" w:rsidR="00C474ED" w:rsidRPr="00126390" w:rsidRDefault="00C474ED" w:rsidP="00B5329F">
            <w:pPr>
              <w:pStyle w:val="TableFigureHeader"/>
              <w:spacing w:before="0" w:after="0"/>
            </w:pPr>
            <w:r w:rsidRPr="00126390">
              <w:t>Total Number of Responses (n=339)</w:t>
            </w:r>
          </w:p>
        </w:tc>
        <w:tc>
          <w:tcPr>
            <w:tcW w:w="1730" w:type="dxa"/>
          </w:tcPr>
          <w:p w14:paraId="2282E958" w14:textId="77777777" w:rsidR="00C474ED" w:rsidRPr="00126390" w:rsidRDefault="00C474ED" w:rsidP="00B5329F">
            <w:pPr>
              <w:pStyle w:val="TableFigureHeader"/>
              <w:spacing w:before="0" w:after="0"/>
            </w:pPr>
            <w:r w:rsidRPr="00126390">
              <w:t>Percentage of Partner Responses</w:t>
            </w:r>
          </w:p>
        </w:tc>
      </w:tr>
      <w:tr w:rsidR="00C474ED" w:rsidRPr="00126390" w14:paraId="39B2FD61" w14:textId="77777777" w:rsidTr="00126390">
        <w:tc>
          <w:tcPr>
            <w:tcW w:w="2152" w:type="dxa"/>
          </w:tcPr>
          <w:p w14:paraId="65F6162E" w14:textId="77777777" w:rsidR="00C474ED" w:rsidRPr="00126390" w:rsidRDefault="00C474ED" w:rsidP="00B5329F">
            <w:pPr>
              <w:pStyle w:val="TableFigureHeader"/>
              <w:spacing w:before="0" w:after="0"/>
            </w:pPr>
            <w:r w:rsidRPr="00126390">
              <w:t>Albany State University</w:t>
            </w:r>
          </w:p>
        </w:tc>
        <w:tc>
          <w:tcPr>
            <w:tcW w:w="2063" w:type="dxa"/>
          </w:tcPr>
          <w:p w14:paraId="2CBDD846" w14:textId="77777777" w:rsidR="00C474ED" w:rsidRPr="00126390" w:rsidRDefault="00C474ED" w:rsidP="00B5329F">
            <w:pPr>
              <w:pStyle w:val="TableFigureHeader"/>
              <w:spacing w:before="0" w:after="0"/>
            </w:pPr>
            <w:r w:rsidRPr="00126390">
              <w:t>State University</w:t>
            </w:r>
          </w:p>
        </w:tc>
        <w:tc>
          <w:tcPr>
            <w:tcW w:w="2090" w:type="dxa"/>
          </w:tcPr>
          <w:p w14:paraId="0A1ECF0C" w14:textId="77777777" w:rsidR="00C474ED" w:rsidRPr="00126390" w:rsidRDefault="00C474ED" w:rsidP="00B5329F">
            <w:pPr>
              <w:pStyle w:val="TableFigureHeader"/>
              <w:spacing w:before="0" w:after="0"/>
            </w:pPr>
            <w:r w:rsidRPr="00126390">
              <w:t>5</w:t>
            </w:r>
          </w:p>
        </w:tc>
        <w:tc>
          <w:tcPr>
            <w:tcW w:w="1730" w:type="dxa"/>
          </w:tcPr>
          <w:p w14:paraId="5AF9BC20" w14:textId="77777777" w:rsidR="00C474ED" w:rsidRPr="00126390" w:rsidRDefault="00C474ED" w:rsidP="00B5329F">
            <w:pPr>
              <w:pStyle w:val="TableFigureHeader"/>
              <w:spacing w:before="0" w:after="0"/>
            </w:pPr>
            <w:r w:rsidRPr="00126390">
              <w:t>1.5%</w:t>
            </w:r>
          </w:p>
        </w:tc>
      </w:tr>
      <w:tr w:rsidR="00C474ED" w:rsidRPr="00126390" w14:paraId="7EBE724B" w14:textId="77777777" w:rsidTr="00126390">
        <w:tc>
          <w:tcPr>
            <w:tcW w:w="2152" w:type="dxa"/>
          </w:tcPr>
          <w:p w14:paraId="22AF3F57" w14:textId="77777777" w:rsidR="00C474ED" w:rsidRPr="00126390" w:rsidRDefault="00C474ED" w:rsidP="00B5329F">
            <w:pPr>
              <w:pStyle w:val="TableFigureHeader"/>
              <w:spacing w:before="0" w:after="0"/>
            </w:pPr>
            <w:r w:rsidRPr="00126390">
              <w:t>College of Coastal Georgia</w:t>
            </w:r>
          </w:p>
        </w:tc>
        <w:tc>
          <w:tcPr>
            <w:tcW w:w="2063" w:type="dxa"/>
          </w:tcPr>
          <w:p w14:paraId="381DC2EC" w14:textId="77777777" w:rsidR="00C474ED" w:rsidRPr="00126390" w:rsidRDefault="00C474ED" w:rsidP="00B5329F">
            <w:pPr>
              <w:pStyle w:val="TableFigureHeader"/>
              <w:spacing w:before="0" w:after="0"/>
            </w:pPr>
            <w:r w:rsidRPr="00126390">
              <w:t>State College</w:t>
            </w:r>
          </w:p>
        </w:tc>
        <w:tc>
          <w:tcPr>
            <w:tcW w:w="2090" w:type="dxa"/>
          </w:tcPr>
          <w:p w14:paraId="68CBBB29" w14:textId="77777777" w:rsidR="00C474ED" w:rsidRPr="00126390" w:rsidRDefault="00C474ED" w:rsidP="00B5329F">
            <w:pPr>
              <w:pStyle w:val="TableFigureHeader"/>
              <w:spacing w:before="0" w:after="0"/>
            </w:pPr>
            <w:r w:rsidRPr="00126390">
              <w:t>21</w:t>
            </w:r>
          </w:p>
        </w:tc>
        <w:tc>
          <w:tcPr>
            <w:tcW w:w="1730" w:type="dxa"/>
          </w:tcPr>
          <w:p w14:paraId="6AD81585" w14:textId="77777777" w:rsidR="00C474ED" w:rsidRPr="00126390" w:rsidRDefault="00C474ED" w:rsidP="00B5329F">
            <w:pPr>
              <w:pStyle w:val="TableFigureHeader"/>
              <w:spacing w:before="0" w:after="0"/>
            </w:pPr>
            <w:r w:rsidRPr="00126390">
              <w:t>6.2%</w:t>
            </w:r>
          </w:p>
        </w:tc>
      </w:tr>
      <w:tr w:rsidR="00C474ED" w:rsidRPr="00126390" w14:paraId="22FC2316" w14:textId="77777777" w:rsidTr="00126390">
        <w:tc>
          <w:tcPr>
            <w:tcW w:w="2152" w:type="dxa"/>
          </w:tcPr>
          <w:p w14:paraId="6B33A57F" w14:textId="77777777" w:rsidR="00C474ED" w:rsidRPr="00126390" w:rsidRDefault="00C474ED" w:rsidP="00B5329F">
            <w:pPr>
              <w:pStyle w:val="TableFigureHeader"/>
              <w:spacing w:before="0" w:after="0"/>
            </w:pPr>
            <w:r w:rsidRPr="00126390">
              <w:t>Georgia Gwinnett College</w:t>
            </w:r>
          </w:p>
        </w:tc>
        <w:tc>
          <w:tcPr>
            <w:tcW w:w="2063" w:type="dxa"/>
          </w:tcPr>
          <w:p w14:paraId="3760FBE3" w14:textId="77777777" w:rsidR="00C474ED" w:rsidRPr="00126390" w:rsidRDefault="00C474ED" w:rsidP="00B5329F">
            <w:pPr>
              <w:pStyle w:val="TableFigureHeader"/>
              <w:spacing w:before="0" w:after="0"/>
            </w:pPr>
            <w:r w:rsidRPr="00126390">
              <w:t>State College</w:t>
            </w:r>
          </w:p>
        </w:tc>
        <w:tc>
          <w:tcPr>
            <w:tcW w:w="2090" w:type="dxa"/>
          </w:tcPr>
          <w:p w14:paraId="1EAC0BF5" w14:textId="77777777" w:rsidR="00C474ED" w:rsidRPr="00126390" w:rsidRDefault="00C474ED" w:rsidP="00B5329F">
            <w:pPr>
              <w:pStyle w:val="TableFigureHeader"/>
              <w:spacing w:before="0" w:after="0"/>
            </w:pPr>
            <w:r w:rsidRPr="00126390">
              <w:t>1</w:t>
            </w:r>
          </w:p>
        </w:tc>
        <w:tc>
          <w:tcPr>
            <w:tcW w:w="1730" w:type="dxa"/>
          </w:tcPr>
          <w:p w14:paraId="49537D56" w14:textId="77777777" w:rsidR="00C474ED" w:rsidRPr="00126390" w:rsidRDefault="00C474ED" w:rsidP="00B5329F">
            <w:pPr>
              <w:pStyle w:val="TableFigureHeader"/>
              <w:spacing w:before="0" w:after="0"/>
            </w:pPr>
            <w:r w:rsidRPr="00126390">
              <w:t>0.3%</w:t>
            </w:r>
          </w:p>
        </w:tc>
      </w:tr>
      <w:tr w:rsidR="00C474ED" w:rsidRPr="00126390" w14:paraId="540E2E30" w14:textId="77777777" w:rsidTr="00126390">
        <w:tc>
          <w:tcPr>
            <w:tcW w:w="2152" w:type="dxa"/>
          </w:tcPr>
          <w:p w14:paraId="3DDACA79" w14:textId="77777777" w:rsidR="00C474ED" w:rsidRPr="00126390" w:rsidRDefault="00C474ED" w:rsidP="00B5329F">
            <w:pPr>
              <w:pStyle w:val="TableFigureHeader"/>
              <w:spacing w:before="0" w:after="0"/>
            </w:pPr>
            <w:r w:rsidRPr="00126390">
              <w:t>Georgia Health Science University</w:t>
            </w:r>
          </w:p>
        </w:tc>
        <w:tc>
          <w:tcPr>
            <w:tcW w:w="2063" w:type="dxa"/>
          </w:tcPr>
          <w:p w14:paraId="0D9668BD" w14:textId="77777777" w:rsidR="00C474ED" w:rsidRPr="00126390" w:rsidRDefault="00C474ED" w:rsidP="00B5329F">
            <w:pPr>
              <w:pStyle w:val="TableFigureHeader"/>
              <w:spacing w:before="0" w:after="0"/>
            </w:pPr>
            <w:r w:rsidRPr="00126390">
              <w:t>Research University</w:t>
            </w:r>
          </w:p>
        </w:tc>
        <w:tc>
          <w:tcPr>
            <w:tcW w:w="2090" w:type="dxa"/>
          </w:tcPr>
          <w:p w14:paraId="5E3CD9E6" w14:textId="77777777" w:rsidR="00C474ED" w:rsidRPr="00126390" w:rsidRDefault="00C474ED" w:rsidP="00B5329F">
            <w:pPr>
              <w:pStyle w:val="TableFigureHeader"/>
              <w:spacing w:before="0" w:after="0"/>
            </w:pPr>
            <w:r w:rsidRPr="00126390">
              <w:t>47</w:t>
            </w:r>
          </w:p>
        </w:tc>
        <w:tc>
          <w:tcPr>
            <w:tcW w:w="1730" w:type="dxa"/>
          </w:tcPr>
          <w:p w14:paraId="5F803215" w14:textId="77777777" w:rsidR="00C474ED" w:rsidRPr="00126390" w:rsidRDefault="00C474ED" w:rsidP="00B5329F">
            <w:pPr>
              <w:pStyle w:val="TableFigureHeader"/>
              <w:spacing w:before="0" w:after="0"/>
            </w:pPr>
            <w:r w:rsidRPr="00126390">
              <w:t>13.9%</w:t>
            </w:r>
          </w:p>
        </w:tc>
      </w:tr>
      <w:tr w:rsidR="00C474ED" w:rsidRPr="00126390" w14:paraId="0DA6F035" w14:textId="77777777" w:rsidTr="00126390">
        <w:tc>
          <w:tcPr>
            <w:tcW w:w="2152" w:type="dxa"/>
          </w:tcPr>
          <w:p w14:paraId="3F0ECA1E" w14:textId="77777777" w:rsidR="00C474ED" w:rsidRPr="00126390" w:rsidRDefault="00C474ED" w:rsidP="00B5329F">
            <w:pPr>
              <w:pStyle w:val="TableFigureHeader"/>
              <w:spacing w:before="0" w:after="0"/>
            </w:pPr>
            <w:r w:rsidRPr="00126390">
              <w:t>Georgia Institute of Technology</w:t>
            </w:r>
          </w:p>
        </w:tc>
        <w:tc>
          <w:tcPr>
            <w:tcW w:w="2063" w:type="dxa"/>
          </w:tcPr>
          <w:p w14:paraId="356CC335" w14:textId="77777777" w:rsidR="00C474ED" w:rsidRPr="00126390" w:rsidRDefault="00C474ED" w:rsidP="00B5329F">
            <w:pPr>
              <w:pStyle w:val="TableFigureHeader"/>
              <w:spacing w:before="0" w:after="0"/>
            </w:pPr>
            <w:r w:rsidRPr="00126390">
              <w:t>Research University</w:t>
            </w:r>
          </w:p>
        </w:tc>
        <w:tc>
          <w:tcPr>
            <w:tcW w:w="2090" w:type="dxa"/>
          </w:tcPr>
          <w:p w14:paraId="288987B8" w14:textId="77777777" w:rsidR="00C474ED" w:rsidRPr="00126390" w:rsidRDefault="00C474ED" w:rsidP="00B5329F">
            <w:pPr>
              <w:pStyle w:val="TableFigureHeader"/>
              <w:spacing w:before="0" w:after="0"/>
            </w:pPr>
            <w:r w:rsidRPr="00126390">
              <w:t>59</w:t>
            </w:r>
          </w:p>
        </w:tc>
        <w:tc>
          <w:tcPr>
            <w:tcW w:w="1730" w:type="dxa"/>
          </w:tcPr>
          <w:p w14:paraId="3F2871EA" w14:textId="77777777" w:rsidR="00C474ED" w:rsidRPr="00126390" w:rsidRDefault="00C474ED" w:rsidP="00B5329F">
            <w:pPr>
              <w:pStyle w:val="TableFigureHeader"/>
              <w:spacing w:before="0" w:after="0"/>
            </w:pPr>
            <w:r w:rsidRPr="00126390">
              <w:t>17.4%</w:t>
            </w:r>
          </w:p>
        </w:tc>
      </w:tr>
      <w:tr w:rsidR="00C474ED" w:rsidRPr="00126390" w14:paraId="54B21C71" w14:textId="77777777" w:rsidTr="00126390">
        <w:tc>
          <w:tcPr>
            <w:tcW w:w="2152" w:type="dxa"/>
          </w:tcPr>
          <w:p w14:paraId="5859DEB2" w14:textId="77777777" w:rsidR="00C474ED" w:rsidRPr="00126390" w:rsidRDefault="00C474ED" w:rsidP="00B5329F">
            <w:pPr>
              <w:pStyle w:val="TableFigureHeader"/>
              <w:spacing w:before="0" w:after="0"/>
            </w:pPr>
            <w:r w:rsidRPr="00126390">
              <w:t>Georgia Southern University</w:t>
            </w:r>
          </w:p>
        </w:tc>
        <w:tc>
          <w:tcPr>
            <w:tcW w:w="2063" w:type="dxa"/>
          </w:tcPr>
          <w:p w14:paraId="0AC12A69" w14:textId="77777777" w:rsidR="00C474ED" w:rsidRPr="00126390" w:rsidRDefault="00C474ED" w:rsidP="00B5329F">
            <w:pPr>
              <w:pStyle w:val="TableFigureHeader"/>
              <w:spacing w:before="0" w:after="0"/>
            </w:pPr>
            <w:r w:rsidRPr="00126390">
              <w:t>Regional University</w:t>
            </w:r>
          </w:p>
        </w:tc>
        <w:tc>
          <w:tcPr>
            <w:tcW w:w="2090" w:type="dxa"/>
          </w:tcPr>
          <w:p w14:paraId="2F84A628" w14:textId="77777777" w:rsidR="00C474ED" w:rsidRPr="00126390" w:rsidRDefault="00C474ED" w:rsidP="00B5329F">
            <w:pPr>
              <w:pStyle w:val="TableFigureHeader"/>
              <w:spacing w:before="0" w:after="0"/>
            </w:pPr>
            <w:r w:rsidRPr="00126390">
              <w:t>34</w:t>
            </w:r>
          </w:p>
        </w:tc>
        <w:tc>
          <w:tcPr>
            <w:tcW w:w="1730" w:type="dxa"/>
          </w:tcPr>
          <w:p w14:paraId="0EE72639" w14:textId="77777777" w:rsidR="00C474ED" w:rsidRPr="00126390" w:rsidRDefault="00C474ED" w:rsidP="00B5329F">
            <w:pPr>
              <w:pStyle w:val="TableFigureHeader"/>
              <w:spacing w:before="0" w:after="0"/>
            </w:pPr>
            <w:r w:rsidRPr="00126390">
              <w:t>10.0%</w:t>
            </w:r>
          </w:p>
        </w:tc>
      </w:tr>
      <w:tr w:rsidR="00C474ED" w:rsidRPr="00126390" w14:paraId="1CC47737" w14:textId="77777777" w:rsidTr="00126390">
        <w:tc>
          <w:tcPr>
            <w:tcW w:w="2152" w:type="dxa"/>
          </w:tcPr>
          <w:p w14:paraId="4FF9FCAF" w14:textId="77777777" w:rsidR="00C474ED" w:rsidRPr="00126390" w:rsidRDefault="00C474ED" w:rsidP="00B5329F">
            <w:pPr>
              <w:pStyle w:val="TableFigureHeader"/>
              <w:spacing w:before="0" w:after="0"/>
            </w:pPr>
            <w:r w:rsidRPr="00126390">
              <w:t>Georgia State University</w:t>
            </w:r>
          </w:p>
        </w:tc>
        <w:tc>
          <w:tcPr>
            <w:tcW w:w="2063" w:type="dxa"/>
          </w:tcPr>
          <w:p w14:paraId="445F930D" w14:textId="77777777" w:rsidR="00C474ED" w:rsidRPr="00126390" w:rsidRDefault="00C474ED" w:rsidP="00B5329F">
            <w:pPr>
              <w:pStyle w:val="TableFigureHeader"/>
              <w:spacing w:before="0" w:after="0"/>
            </w:pPr>
            <w:r w:rsidRPr="00126390">
              <w:t>Research University</w:t>
            </w:r>
          </w:p>
        </w:tc>
        <w:tc>
          <w:tcPr>
            <w:tcW w:w="2090" w:type="dxa"/>
          </w:tcPr>
          <w:p w14:paraId="21992C85" w14:textId="77777777" w:rsidR="00C474ED" w:rsidRPr="00126390" w:rsidRDefault="00C474ED" w:rsidP="00B5329F">
            <w:pPr>
              <w:pStyle w:val="TableFigureHeader"/>
              <w:spacing w:before="0" w:after="0"/>
            </w:pPr>
            <w:r w:rsidRPr="00126390">
              <w:t>1</w:t>
            </w:r>
          </w:p>
        </w:tc>
        <w:tc>
          <w:tcPr>
            <w:tcW w:w="1730" w:type="dxa"/>
          </w:tcPr>
          <w:p w14:paraId="0C4DB925" w14:textId="77777777" w:rsidR="00C474ED" w:rsidRPr="00126390" w:rsidRDefault="00C474ED" w:rsidP="00B5329F">
            <w:pPr>
              <w:pStyle w:val="TableFigureHeader"/>
              <w:spacing w:before="0" w:after="0"/>
            </w:pPr>
            <w:r w:rsidRPr="00126390">
              <w:t>0.3%</w:t>
            </w:r>
          </w:p>
        </w:tc>
      </w:tr>
      <w:tr w:rsidR="00C474ED" w:rsidRPr="00126390" w14:paraId="2AA95973" w14:textId="77777777" w:rsidTr="00126390">
        <w:tc>
          <w:tcPr>
            <w:tcW w:w="2152" w:type="dxa"/>
          </w:tcPr>
          <w:p w14:paraId="381E4A5A" w14:textId="77777777" w:rsidR="00C474ED" w:rsidRPr="00126390" w:rsidRDefault="00C474ED" w:rsidP="00B5329F">
            <w:pPr>
              <w:pStyle w:val="TableFigureHeader"/>
              <w:spacing w:before="0" w:after="0"/>
            </w:pPr>
            <w:r w:rsidRPr="00126390">
              <w:lastRenderedPageBreak/>
              <w:t>Kennesaw State University</w:t>
            </w:r>
          </w:p>
        </w:tc>
        <w:tc>
          <w:tcPr>
            <w:tcW w:w="2063" w:type="dxa"/>
          </w:tcPr>
          <w:p w14:paraId="7D174292" w14:textId="77777777" w:rsidR="00C474ED" w:rsidRPr="00126390" w:rsidRDefault="00C474ED" w:rsidP="00B5329F">
            <w:pPr>
              <w:pStyle w:val="TableFigureHeader"/>
              <w:spacing w:before="0" w:after="0"/>
            </w:pPr>
            <w:r w:rsidRPr="00126390">
              <w:t>State University</w:t>
            </w:r>
          </w:p>
        </w:tc>
        <w:tc>
          <w:tcPr>
            <w:tcW w:w="2090" w:type="dxa"/>
          </w:tcPr>
          <w:p w14:paraId="0061E01E" w14:textId="77777777" w:rsidR="00C474ED" w:rsidRPr="00126390" w:rsidRDefault="00C474ED" w:rsidP="00B5329F">
            <w:pPr>
              <w:pStyle w:val="TableFigureHeader"/>
              <w:spacing w:before="0" w:after="0"/>
            </w:pPr>
            <w:r w:rsidRPr="00126390">
              <w:t>59</w:t>
            </w:r>
          </w:p>
        </w:tc>
        <w:tc>
          <w:tcPr>
            <w:tcW w:w="1730" w:type="dxa"/>
          </w:tcPr>
          <w:p w14:paraId="45DF82CA" w14:textId="77777777" w:rsidR="00C474ED" w:rsidRPr="00126390" w:rsidRDefault="00C474ED" w:rsidP="00B5329F">
            <w:pPr>
              <w:pStyle w:val="TableFigureHeader"/>
              <w:spacing w:before="0" w:after="0"/>
            </w:pPr>
            <w:r w:rsidRPr="00126390">
              <w:t>17.4%</w:t>
            </w:r>
          </w:p>
        </w:tc>
      </w:tr>
      <w:tr w:rsidR="00C474ED" w:rsidRPr="00126390" w14:paraId="293BBA7E" w14:textId="77777777" w:rsidTr="00126390">
        <w:tc>
          <w:tcPr>
            <w:tcW w:w="2152" w:type="dxa"/>
          </w:tcPr>
          <w:p w14:paraId="3DD95F61" w14:textId="77777777" w:rsidR="00C474ED" w:rsidRPr="00126390" w:rsidRDefault="00C474ED" w:rsidP="00B5329F">
            <w:pPr>
              <w:pStyle w:val="TableFigureHeader"/>
              <w:spacing w:before="0" w:after="0"/>
            </w:pPr>
            <w:r w:rsidRPr="00126390">
              <w:t>University of Georgia</w:t>
            </w:r>
          </w:p>
        </w:tc>
        <w:tc>
          <w:tcPr>
            <w:tcW w:w="2063" w:type="dxa"/>
          </w:tcPr>
          <w:p w14:paraId="572CD478" w14:textId="77777777" w:rsidR="00C474ED" w:rsidRPr="00126390" w:rsidRDefault="00C474ED" w:rsidP="00B5329F">
            <w:pPr>
              <w:pStyle w:val="TableFigureHeader"/>
              <w:spacing w:before="0" w:after="0"/>
            </w:pPr>
            <w:r w:rsidRPr="00126390">
              <w:t>Research University</w:t>
            </w:r>
          </w:p>
        </w:tc>
        <w:tc>
          <w:tcPr>
            <w:tcW w:w="2090" w:type="dxa"/>
          </w:tcPr>
          <w:p w14:paraId="6DDFDD54" w14:textId="77777777" w:rsidR="00C474ED" w:rsidRPr="00126390" w:rsidRDefault="00C474ED" w:rsidP="00B5329F">
            <w:pPr>
              <w:pStyle w:val="TableFigureHeader"/>
              <w:spacing w:before="0" w:after="0"/>
            </w:pPr>
            <w:r w:rsidRPr="00126390">
              <w:t>77</w:t>
            </w:r>
          </w:p>
        </w:tc>
        <w:tc>
          <w:tcPr>
            <w:tcW w:w="1730" w:type="dxa"/>
          </w:tcPr>
          <w:p w14:paraId="403AC245" w14:textId="77777777" w:rsidR="00C474ED" w:rsidRPr="00126390" w:rsidRDefault="00C474ED" w:rsidP="00B5329F">
            <w:pPr>
              <w:pStyle w:val="TableFigureHeader"/>
              <w:spacing w:before="0" w:after="0"/>
            </w:pPr>
            <w:r w:rsidRPr="00126390">
              <w:t>22.7%</w:t>
            </w:r>
          </w:p>
        </w:tc>
      </w:tr>
      <w:tr w:rsidR="00C474ED" w:rsidRPr="00126390" w14:paraId="2E285438" w14:textId="77777777" w:rsidTr="00126390">
        <w:tc>
          <w:tcPr>
            <w:tcW w:w="2152" w:type="dxa"/>
          </w:tcPr>
          <w:p w14:paraId="736E3D0D" w14:textId="77777777" w:rsidR="00C474ED" w:rsidRPr="00126390" w:rsidRDefault="00C474ED" w:rsidP="00B5329F">
            <w:pPr>
              <w:pStyle w:val="TableFigureHeader"/>
              <w:spacing w:before="0" w:after="0"/>
            </w:pPr>
            <w:r w:rsidRPr="00126390">
              <w:t>Valdosta University</w:t>
            </w:r>
          </w:p>
        </w:tc>
        <w:tc>
          <w:tcPr>
            <w:tcW w:w="2063" w:type="dxa"/>
          </w:tcPr>
          <w:p w14:paraId="67290E49" w14:textId="77777777" w:rsidR="00C474ED" w:rsidRPr="00126390" w:rsidRDefault="00C474ED" w:rsidP="00B5329F">
            <w:pPr>
              <w:pStyle w:val="TableFigureHeader"/>
              <w:spacing w:before="0" w:after="0"/>
            </w:pPr>
            <w:r w:rsidRPr="00126390">
              <w:t>Regional University</w:t>
            </w:r>
          </w:p>
        </w:tc>
        <w:tc>
          <w:tcPr>
            <w:tcW w:w="2090" w:type="dxa"/>
          </w:tcPr>
          <w:p w14:paraId="2D15FC62" w14:textId="77777777" w:rsidR="00C474ED" w:rsidRPr="00126390" w:rsidRDefault="00C474ED" w:rsidP="00B5329F">
            <w:pPr>
              <w:pStyle w:val="TableFigureHeader"/>
              <w:spacing w:before="0" w:after="0"/>
            </w:pPr>
            <w:r w:rsidRPr="00126390">
              <w:t>35</w:t>
            </w:r>
          </w:p>
        </w:tc>
        <w:tc>
          <w:tcPr>
            <w:tcW w:w="1730" w:type="dxa"/>
          </w:tcPr>
          <w:p w14:paraId="3F800ABA" w14:textId="77777777" w:rsidR="00C474ED" w:rsidRPr="00126390" w:rsidRDefault="00C474ED" w:rsidP="00B5329F">
            <w:pPr>
              <w:pStyle w:val="TableFigureHeader"/>
              <w:spacing w:before="0" w:after="0"/>
            </w:pPr>
            <w:r w:rsidRPr="00126390">
              <w:t>10.3%</w:t>
            </w:r>
          </w:p>
        </w:tc>
      </w:tr>
    </w:tbl>
    <w:p w14:paraId="44F021D0" w14:textId="136441BA" w:rsidR="00A6038A" w:rsidRDefault="00126390" w:rsidP="00CF5CDF">
      <w:pPr>
        <w:pStyle w:val="SourceLineforTablesFigures"/>
      </w:pPr>
      <w:r>
        <w:t xml:space="preserve">Source: </w:t>
      </w:r>
      <w:r w:rsidRPr="00126390">
        <w:t xml:space="preserve">University System of Georgia. (2009). </w:t>
      </w:r>
    </w:p>
    <w:p w14:paraId="083A264F" w14:textId="77777777" w:rsidR="00CF5CDF" w:rsidRPr="00126390" w:rsidRDefault="00CF5CDF" w:rsidP="00CF5CDF">
      <w:pPr>
        <w:pStyle w:val="SourceLineforTablesFigures"/>
      </w:pPr>
    </w:p>
    <w:p w14:paraId="60EBFA70" w14:textId="763FF827" w:rsidR="00EE5ED5" w:rsidRDefault="000528EF" w:rsidP="00393E3A">
      <w:pPr>
        <w:pStyle w:val="SubsequentParagraphsTextStyle"/>
      </w:pPr>
      <w:r>
        <w:t xml:space="preserve">Based on the initial number of participants, </w:t>
      </w:r>
      <w:r w:rsidR="00CF5CDF">
        <w:t>the confidence interval at 95% c</w:t>
      </w:r>
      <w:r>
        <w:t xml:space="preserve">onfidence is 3.66. </w:t>
      </w:r>
      <w:r w:rsidR="00126390" w:rsidRPr="00393E3A">
        <w:t>Faculty respon</w:t>
      </w:r>
      <w:r w:rsidR="00CF5CDF">
        <w:t>dents identified rank (Table 1.2) and age (Table 1.3</w:t>
      </w:r>
      <w:r w:rsidR="00126390" w:rsidRPr="00393E3A">
        <w:t>) for demographics. In both the Partner Sites and for All Participants, the greatest number of faculty participants were Professors (28.16% and 27.60%), followed by Associate Professors (25.57% and 24.93%) and Assistant Professors (22.65% and 24.33%).</w:t>
      </w:r>
    </w:p>
    <w:p w14:paraId="57F37773" w14:textId="67615273" w:rsidR="00A6038A" w:rsidRPr="00203EF2" w:rsidRDefault="00A6038A" w:rsidP="00A6038A">
      <w:pPr>
        <w:pStyle w:val="TableFigureHeader"/>
      </w:pPr>
      <w:r w:rsidRPr="00203EF2">
        <w:t>Table 1</w:t>
      </w:r>
      <w:r w:rsidR="00CF5CDF">
        <w:t>.2</w:t>
      </w:r>
      <w:r w:rsidRPr="00203EF2">
        <w:t xml:space="preserve">: </w:t>
      </w:r>
      <w:r w:rsidR="00EE5ED5">
        <w:t>Survey Participants by Rank</w:t>
      </w:r>
    </w:p>
    <w:tbl>
      <w:tblPr>
        <w:tblStyle w:val="TableGrid"/>
        <w:tblW w:w="0" w:type="auto"/>
        <w:jc w:val="center"/>
        <w:tblLook w:val="04A0" w:firstRow="1" w:lastRow="0" w:firstColumn="1" w:lastColumn="0" w:noHBand="0" w:noVBand="1"/>
      </w:tblPr>
      <w:tblGrid>
        <w:gridCol w:w="1897"/>
        <w:gridCol w:w="1960"/>
        <w:gridCol w:w="2027"/>
      </w:tblGrid>
      <w:tr w:rsidR="00EE5ED5" w14:paraId="714C9BA3" w14:textId="77777777" w:rsidTr="00EE5ED5">
        <w:trPr>
          <w:trHeight w:val="310"/>
          <w:jc w:val="center"/>
        </w:trPr>
        <w:tc>
          <w:tcPr>
            <w:tcW w:w="1897" w:type="dxa"/>
          </w:tcPr>
          <w:p w14:paraId="323A4BAC" w14:textId="77777777" w:rsidR="00EE5ED5" w:rsidRPr="00203EF2" w:rsidRDefault="00EE5ED5" w:rsidP="006E04C3">
            <w:pPr>
              <w:pStyle w:val="FirstParaOfSectionTextStyle"/>
              <w:rPr>
                <w:sz w:val="20"/>
              </w:rPr>
            </w:pPr>
          </w:p>
        </w:tc>
        <w:tc>
          <w:tcPr>
            <w:tcW w:w="1960" w:type="dxa"/>
          </w:tcPr>
          <w:p w14:paraId="0175D79C" w14:textId="77777777" w:rsidR="00EE5ED5" w:rsidRDefault="00EE5ED5" w:rsidP="006E04C3">
            <w:pPr>
              <w:pStyle w:val="FirstParaOfSectionTextStyle"/>
              <w:rPr>
                <w:i/>
                <w:sz w:val="20"/>
              </w:rPr>
            </w:pPr>
            <w:r>
              <w:rPr>
                <w:i/>
                <w:sz w:val="20"/>
              </w:rPr>
              <w:t xml:space="preserve">Partner Sites </w:t>
            </w:r>
          </w:p>
          <w:p w14:paraId="20DD3226" w14:textId="77777777" w:rsidR="00EE5ED5" w:rsidRPr="00203EF2" w:rsidRDefault="00EE5ED5" w:rsidP="006E04C3">
            <w:pPr>
              <w:pStyle w:val="FirstParaOfSectionTextStyle"/>
              <w:rPr>
                <w:i/>
                <w:sz w:val="20"/>
              </w:rPr>
            </w:pPr>
            <w:r>
              <w:rPr>
                <w:i/>
                <w:sz w:val="20"/>
              </w:rPr>
              <w:t>(n=337)</w:t>
            </w:r>
          </w:p>
        </w:tc>
        <w:tc>
          <w:tcPr>
            <w:tcW w:w="2027" w:type="dxa"/>
          </w:tcPr>
          <w:p w14:paraId="60D9914E" w14:textId="77777777" w:rsidR="00EE5ED5" w:rsidRDefault="00EE5ED5" w:rsidP="006E04C3">
            <w:pPr>
              <w:pStyle w:val="FirstParaOfSectionTextStyle"/>
              <w:rPr>
                <w:i/>
                <w:sz w:val="20"/>
              </w:rPr>
            </w:pPr>
            <w:r>
              <w:rPr>
                <w:i/>
                <w:sz w:val="20"/>
              </w:rPr>
              <w:t>All Participants</w:t>
            </w:r>
          </w:p>
          <w:p w14:paraId="15A836D7" w14:textId="77777777" w:rsidR="00EE5ED5" w:rsidRPr="00203EF2" w:rsidRDefault="00EE5ED5" w:rsidP="006E04C3">
            <w:pPr>
              <w:pStyle w:val="FirstParaOfSectionTextStyle"/>
              <w:rPr>
                <w:sz w:val="20"/>
              </w:rPr>
            </w:pPr>
            <w:r>
              <w:rPr>
                <w:i/>
                <w:sz w:val="20"/>
              </w:rPr>
              <w:t>(n=674)</w:t>
            </w:r>
          </w:p>
        </w:tc>
      </w:tr>
      <w:tr w:rsidR="00EE5ED5" w14:paraId="0BFCBE2A" w14:textId="77777777" w:rsidTr="00EE5ED5">
        <w:trPr>
          <w:trHeight w:val="310"/>
          <w:jc w:val="center"/>
        </w:trPr>
        <w:tc>
          <w:tcPr>
            <w:tcW w:w="1897" w:type="dxa"/>
          </w:tcPr>
          <w:p w14:paraId="22FBABA3" w14:textId="77777777" w:rsidR="00EE5ED5" w:rsidRPr="00203EF2" w:rsidRDefault="00EE5ED5" w:rsidP="006E04C3">
            <w:pPr>
              <w:pStyle w:val="FirstParaOfSectionTextStyle"/>
              <w:rPr>
                <w:sz w:val="20"/>
              </w:rPr>
            </w:pPr>
            <w:r>
              <w:rPr>
                <w:i/>
                <w:sz w:val="20"/>
              </w:rPr>
              <w:t>Professor</w:t>
            </w:r>
          </w:p>
        </w:tc>
        <w:tc>
          <w:tcPr>
            <w:tcW w:w="1960" w:type="dxa"/>
          </w:tcPr>
          <w:p w14:paraId="2BF44397" w14:textId="77777777" w:rsidR="00EE5ED5" w:rsidRPr="00203EF2" w:rsidRDefault="00EE5ED5" w:rsidP="006E04C3">
            <w:pPr>
              <w:pStyle w:val="FirstParaOfSectionTextStyle"/>
              <w:rPr>
                <w:sz w:val="20"/>
              </w:rPr>
            </w:pPr>
            <w:r>
              <w:rPr>
                <w:sz w:val="20"/>
              </w:rPr>
              <w:t>113 (33.53%)</w:t>
            </w:r>
          </w:p>
        </w:tc>
        <w:tc>
          <w:tcPr>
            <w:tcW w:w="2027" w:type="dxa"/>
          </w:tcPr>
          <w:p w14:paraId="54D1B43F" w14:textId="77777777" w:rsidR="00EE5ED5" w:rsidRPr="00203EF2" w:rsidRDefault="00EE5ED5" w:rsidP="00EE5ED5">
            <w:pPr>
              <w:pStyle w:val="FirstParaOfSectionTextStyle"/>
              <w:rPr>
                <w:sz w:val="20"/>
              </w:rPr>
            </w:pPr>
            <w:r>
              <w:rPr>
                <w:sz w:val="20"/>
              </w:rPr>
              <w:t>186 (27.60%)</w:t>
            </w:r>
          </w:p>
        </w:tc>
      </w:tr>
      <w:tr w:rsidR="00EE5ED5" w14:paraId="0D9BF870" w14:textId="77777777" w:rsidTr="00EE5ED5">
        <w:trPr>
          <w:trHeight w:val="324"/>
          <w:jc w:val="center"/>
        </w:trPr>
        <w:tc>
          <w:tcPr>
            <w:tcW w:w="1897" w:type="dxa"/>
          </w:tcPr>
          <w:p w14:paraId="7A180C99" w14:textId="77777777" w:rsidR="00EE5ED5" w:rsidRPr="00203EF2" w:rsidRDefault="00EE5ED5" w:rsidP="006E04C3">
            <w:pPr>
              <w:pStyle w:val="FirstParaOfSectionTextStyle"/>
              <w:rPr>
                <w:sz w:val="20"/>
              </w:rPr>
            </w:pPr>
            <w:r>
              <w:rPr>
                <w:i/>
                <w:sz w:val="20"/>
              </w:rPr>
              <w:t>Associate Professor</w:t>
            </w:r>
          </w:p>
        </w:tc>
        <w:tc>
          <w:tcPr>
            <w:tcW w:w="1960" w:type="dxa"/>
          </w:tcPr>
          <w:p w14:paraId="07A84465" w14:textId="77777777" w:rsidR="00EE5ED5" w:rsidRPr="00203EF2" w:rsidRDefault="00EE5ED5" w:rsidP="00EE5ED5">
            <w:pPr>
              <w:pStyle w:val="FirstParaOfSectionTextStyle"/>
              <w:rPr>
                <w:sz w:val="20"/>
              </w:rPr>
            </w:pPr>
            <w:r>
              <w:rPr>
                <w:sz w:val="20"/>
              </w:rPr>
              <w:t>81 (24.04%)</w:t>
            </w:r>
          </w:p>
        </w:tc>
        <w:tc>
          <w:tcPr>
            <w:tcW w:w="2027" w:type="dxa"/>
          </w:tcPr>
          <w:p w14:paraId="5D547F14" w14:textId="77777777" w:rsidR="00EE5ED5" w:rsidRPr="00203EF2" w:rsidRDefault="00EE5ED5" w:rsidP="00EE5ED5">
            <w:pPr>
              <w:pStyle w:val="FirstParaOfSectionTextStyle"/>
              <w:rPr>
                <w:sz w:val="20"/>
              </w:rPr>
            </w:pPr>
            <w:r>
              <w:rPr>
                <w:sz w:val="20"/>
              </w:rPr>
              <w:t>168 (24.93%)</w:t>
            </w:r>
          </w:p>
        </w:tc>
      </w:tr>
      <w:tr w:rsidR="00EE5ED5" w14:paraId="5332C4A9" w14:textId="77777777" w:rsidTr="00EE5ED5">
        <w:trPr>
          <w:trHeight w:val="324"/>
          <w:jc w:val="center"/>
        </w:trPr>
        <w:tc>
          <w:tcPr>
            <w:tcW w:w="1897" w:type="dxa"/>
          </w:tcPr>
          <w:p w14:paraId="33968FD2" w14:textId="77777777" w:rsidR="00EE5ED5" w:rsidRDefault="00EE5ED5" w:rsidP="006E04C3">
            <w:pPr>
              <w:pStyle w:val="FirstParaOfSectionTextStyle"/>
              <w:rPr>
                <w:i/>
                <w:sz w:val="20"/>
              </w:rPr>
            </w:pPr>
            <w:r>
              <w:rPr>
                <w:i/>
                <w:sz w:val="20"/>
              </w:rPr>
              <w:t>Assistant Professor</w:t>
            </w:r>
          </w:p>
        </w:tc>
        <w:tc>
          <w:tcPr>
            <w:tcW w:w="1960" w:type="dxa"/>
          </w:tcPr>
          <w:p w14:paraId="3218286F" w14:textId="77777777" w:rsidR="00EE5ED5" w:rsidRPr="00203EF2" w:rsidRDefault="00EE5ED5" w:rsidP="00EE5ED5">
            <w:pPr>
              <w:pStyle w:val="FirstParaOfSectionTextStyle"/>
              <w:rPr>
                <w:sz w:val="20"/>
              </w:rPr>
            </w:pPr>
            <w:r>
              <w:rPr>
                <w:sz w:val="20"/>
              </w:rPr>
              <w:t>70 (20.77%)</w:t>
            </w:r>
          </w:p>
        </w:tc>
        <w:tc>
          <w:tcPr>
            <w:tcW w:w="2027" w:type="dxa"/>
          </w:tcPr>
          <w:p w14:paraId="63D3E631" w14:textId="77777777" w:rsidR="00EE5ED5" w:rsidRPr="00203EF2" w:rsidRDefault="00EE5ED5" w:rsidP="00EE5ED5">
            <w:pPr>
              <w:pStyle w:val="FirstParaOfSectionTextStyle"/>
              <w:rPr>
                <w:sz w:val="20"/>
              </w:rPr>
            </w:pPr>
            <w:r>
              <w:rPr>
                <w:sz w:val="20"/>
              </w:rPr>
              <w:t>164 (24.33%)</w:t>
            </w:r>
          </w:p>
        </w:tc>
      </w:tr>
      <w:tr w:rsidR="00EE5ED5" w14:paraId="5A761D4F" w14:textId="77777777" w:rsidTr="00EE5ED5">
        <w:trPr>
          <w:trHeight w:val="324"/>
          <w:jc w:val="center"/>
        </w:trPr>
        <w:tc>
          <w:tcPr>
            <w:tcW w:w="1897" w:type="dxa"/>
          </w:tcPr>
          <w:p w14:paraId="5DAF5F95" w14:textId="77777777" w:rsidR="00EE5ED5" w:rsidRDefault="00EE5ED5" w:rsidP="006E04C3">
            <w:pPr>
              <w:pStyle w:val="FirstParaOfSectionTextStyle"/>
              <w:rPr>
                <w:i/>
                <w:sz w:val="20"/>
              </w:rPr>
            </w:pPr>
            <w:r>
              <w:rPr>
                <w:i/>
                <w:sz w:val="20"/>
              </w:rPr>
              <w:t>Instructor</w:t>
            </w:r>
          </w:p>
        </w:tc>
        <w:tc>
          <w:tcPr>
            <w:tcW w:w="1960" w:type="dxa"/>
          </w:tcPr>
          <w:p w14:paraId="2BF2CF51" w14:textId="77777777" w:rsidR="00EE5ED5" w:rsidRPr="00203EF2" w:rsidRDefault="00EE5ED5" w:rsidP="00EE5ED5">
            <w:pPr>
              <w:pStyle w:val="FirstParaOfSectionTextStyle"/>
              <w:rPr>
                <w:sz w:val="20"/>
              </w:rPr>
            </w:pPr>
            <w:r>
              <w:rPr>
                <w:sz w:val="20"/>
              </w:rPr>
              <w:t>25 (7.42%)</w:t>
            </w:r>
          </w:p>
        </w:tc>
        <w:tc>
          <w:tcPr>
            <w:tcW w:w="2027" w:type="dxa"/>
          </w:tcPr>
          <w:p w14:paraId="1D081764" w14:textId="77777777" w:rsidR="00EE5ED5" w:rsidRPr="00203EF2" w:rsidRDefault="00EE5ED5" w:rsidP="00EE5ED5">
            <w:pPr>
              <w:pStyle w:val="FirstParaOfSectionTextStyle"/>
              <w:rPr>
                <w:sz w:val="20"/>
              </w:rPr>
            </w:pPr>
            <w:r>
              <w:rPr>
                <w:sz w:val="20"/>
              </w:rPr>
              <w:t>81 (12.02%)</w:t>
            </w:r>
          </w:p>
        </w:tc>
      </w:tr>
      <w:tr w:rsidR="00EE5ED5" w14:paraId="6EFBDD7A" w14:textId="77777777" w:rsidTr="00EE5ED5">
        <w:trPr>
          <w:trHeight w:val="324"/>
          <w:jc w:val="center"/>
        </w:trPr>
        <w:tc>
          <w:tcPr>
            <w:tcW w:w="1897" w:type="dxa"/>
          </w:tcPr>
          <w:p w14:paraId="004F5292" w14:textId="77777777" w:rsidR="00EE5ED5" w:rsidRDefault="00EE5ED5" w:rsidP="006E04C3">
            <w:pPr>
              <w:pStyle w:val="FirstParaOfSectionTextStyle"/>
              <w:rPr>
                <w:i/>
                <w:sz w:val="20"/>
              </w:rPr>
            </w:pPr>
            <w:r>
              <w:rPr>
                <w:i/>
                <w:sz w:val="20"/>
              </w:rPr>
              <w:t>Other</w:t>
            </w:r>
          </w:p>
        </w:tc>
        <w:tc>
          <w:tcPr>
            <w:tcW w:w="1960" w:type="dxa"/>
          </w:tcPr>
          <w:p w14:paraId="7E1F499B" w14:textId="77777777" w:rsidR="00EE5ED5" w:rsidRPr="00203EF2" w:rsidRDefault="00EE5ED5" w:rsidP="00EE5ED5">
            <w:pPr>
              <w:pStyle w:val="FirstParaOfSectionTextStyle"/>
              <w:rPr>
                <w:sz w:val="20"/>
              </w:rPr>
            </w:pPr>
            <w:r>
              <w:rPr>
                <w:sz w:val="20"/>
              </w:rPr>
              <w:t>48 (14.24%)</w:t>
            </w:r>
          </w:p>
        </w:tc>
        <w:tc>
          <w:tcPr>
            <w:tcW w:w="2027" w:type="dxa"/>
          </w:tcPr>
          <w:p w14:paraId="1157C3B6" w14:textId="77777777" w:rsidR="00EE5ED5" w:rsidRPr="00203EF2" w:rsidRDefault="00EE5ED5" w:rsidP="00EE5ED5">
            <w:pPr>
              <w:pStyle w:val="FirstParaOfSectionTextStyle"/>
              <w:rPr>
                <w:sz w:val="20"/>
              </w:rPr>
            </w:pPr>
            <w:r>
              <w:rPr>
                <w:sz w:val="20"/>
              </w:rPr>
              <w:t>75 (11.13%)</w:t>
            </w:r>
          </w:p>
        </w:tc>
      </w:tr>
    </w:tbl>
    <w:p w14:paraId="4F6C92A5" w14:textId="210F0BF5" w:rsidR="00F944C0" w:rsidRDefault="00F944C0" w:rsidP="00393E3A">
      <w:pPr>
        <w:pStyle w:val="TableFigureHeader"/>
        <w:ind w:left="270"/>
        <w:jc w:val="left"/>
      </w:pPr>
      <w:r w:rsidRPr="00F944C0">
        <w:t xml:space="preserve">Respondents self-identified Other (Table </w:t>
      </w:r>
      <w:r>
        <w:t>1.</w:t>
      </w:r>
      <w:r w:rsidR="00CF5CDF">
        <w:t>2</w:t>
      </w:r>
      <w:r w:rsidRPr="00F944C0">
        <w:t>) as graduate students, professors of practice, administrators, research scientists, emeritus professors and librarians.</w:t>
      </w:r>
    </w:p>
    <w:p w14:paraId="1342B191" w14:textId="08174CCB" w:rsidR="00EE5ED5" w:rsidRPr="00203EF2" w:rsidRDefault="00EE5ED5" w:rsidP="00EE5ED5">
      <w:pPr>
        <w:pStyle w:val="TableFigureHeader"/>
      </w:pPr>
      <w:r w:rsidRPr="00203EF2">
        <w:t xml:space="preserve">Table </w:t>
      </w:r>
      <w:r w:rsidR="00CF5CDF">
        <w:t>1.3</w:t>
      </w:r>
      <w:r w:rsidRPr="00203EF2">
        <w:t xml:space="preserve">: </w:t>
      </w:r>
      <w:r>
        <w:t>Survey Participants by Age</w:t>
      </w:r>
    </w:p>
    <w:tbl>
      <w:tblPr>
        <w:tblStyle w:val="TableGrid"/>
        <w:tblW w:w="0" w:type="auto"/>
        <w:jc w:val="center"/>
        <w:tblLook w:val="04A0" w:firstRow="1" w:lastRow="0" w:firstColumn="1" w:lastColumn="0" w:noHBand="0" w:noVBand="1"/>
      </w:tblPr>
      <w:tblGrid>
        <w:gridCol w:w="1897"/>
        <w:gridCol w:w="1960"/>
        <w:gridCol w:w="2027"/>
      </w:tblGrid>
      <w:tr w:rsidR="00EE5ED5" w14:paraId="4A30CCB7" w14:textId="77777777" w:rsidTr="006E04C3">
        <w:trPr>
          <w:trHeight w:val="310"/>
          <w:jc w:val="center"/>
        </w:trPr>
        <w:tc>
          <w:tcPr>
            <w:tcW w:w="1897" w:type="dxa"/>
          </w:tcPr>
          <w:p w14:paraId="00A2B131" w14:textId="77777777" w:rsidR="00EE5ED5" w:rsidRPr="00203EF2" w:rsidRDefault="00EE5ED5" w:rsidP="006E04C3">
            <w:pPr>
              <w:pStyle w:val="FirstParaOfSectionTextStyle"/>
              <w:rPr>
                <w:sz w:val="20"/>
              </w:rPr>
            </w:pPr>
          </w:p>
        </w:tc>
        <w:tc>
          <w:tcPr>
            <w:tcW w:w="1960" w:type="dxa"/>
          </w:tcPr>
          <w:p w14:paraId="7C744A09" w14:textId="77777777" w:rsidR="00EE5ED5" w:rsidRDefault="00EE5ED5" w:rsidP="006E04C3">
            <w:pPr>
              <w:pStyle w:val="FirstParaOfSectionTextStyle"/>
              <w:rPr>
                <w:i/>
                <w:sz w:val="20"/>
              </w:rPr>
            </w:pPr>
            <w:r>
              <w:rPr>
                <w:i/>
                <w:sz w:val="20"/>
              </w:rPr>
              <w:t xml:space="preserve">Partner Sites </w:t>
            </w:r>
          </w:p>
          <w:p w14:paraId="1449460A" w14:textId="77777777" w:rsidR="00EE5ED5" w:rsidRPr="00203EF2" w:rsidRDefault="009A740A" w:rsidP="006E04C3">
            <w:pPr>
              <w:pStyle w:val="FirstParaOfSectionTextStyle"/>
              <w:rPr>
                <w:i/>
                <w:sz w:val="20"/>
              </w:rPr>
            </w:pPr>
            <w:r>
              <w:rPr>
                <w:i/>
                <w:sz w:val="20"/>
              </w:rPr>
              <w:t>(n=328</w:t>
            </w:r>
            <w:r w:rsidR="00EE5ED5">
              <w:rPr>
                <w:i/>
                <w:sz w:val="20"/>
              </w:rPr>
              <w:t>)</w:t>
            </w:r>
          </w:p>
        </w:tc>
        <w:tc>
          <w:tcPr>
            <w:tcW w:w="2027" w:type="dxa"/>
          </w:tcPr>
          <w:p w14:paraId="5A10BBEE" w14:textId="77777777" w:rsidR="00EE5ED5" w:rsidRDefault="00EE5ED5" w:rsidP="006E04C3">
            <w:pPr>
              <w:pStyle w:val="FirstParaOfSectionTextStyle"/>
              <w:rPr>
                <w:i/>
                <w:sz w:val="20"/>
              </w:rPr>
            </w:pPr>
            <w:r>
              <w:rPr>
                <w:i/>
                <w:sz w:val="20"/>
              </w:rPr>
              <w:t>All Participants</w:t>
            </w:r>
          </w:p>
          <w:p w14:paraId="4F06928B" w14:textId="77777777" w:rsidR="00EE5ED5" w:rsidRPr="00203EF2" w:rsidRDefault="009A740A" w:rsidP="006E04C3">
            <w:pPr>
              <w:pStyle w:val="FirstParaOfSectionTextStyle"/>
              <w:rPr>
                <w:sz w:val="20"/>
              </w:rPr>
            </w:pPr>
            <w:r>
              <w:rPr>
                <w:i/>
                <w:sz w:val="20"/>
              </w:rPr>
              <w:t>(n=662</w:t>
            </w:r>
            <w:r w:rsidR="00EE5ED5">
              <w:rPr>
                <w:i/>
                <w:sz w:val="20"/>
              </w:rPr>
              <w:t>)</w:t>
            </w:r>
          </w:p>
        </w:tc>
      </w:tr>
      <w:tr w:rsidR="00EE5ED5" w14:paraId="1CEA3B47" w14:textId="77777777" w:rsidTr="006E04C3">
        <w:trPr>
          <w:trHeight w:val="310"/>
          <w:jc w:val="center"/>
        </w:trPr>
        <w:tc>
          <w:tcPr>
            <w:tcW w:w="1897" w:type="dxa"/>
          </w:tcPr>
          <w:p w14:paraId="4D2A69BD" w14:textId="77777777" w:rsidR="00EE5ED5" w:rsidRPr="00203EF2" w:rsidRDefault="00EE5ED5" w:rsidP="006E04C3">
            <w:pPr>
              <w:pStyle w:val="FirstParaOfSectionTextStyle"/>
              <w:rPr>
                <w:sz w:val="20"/>
              </w:rPr>
            </w:pPr>
            <w:r>
              <w:rPr>
                <w:i/>
                <w:sz w:val="20"/>
              </w:rPr>
              <w:t>Under 26</w:t>
            </w:r>
          </w:p>
        </w:tc>
        <w:tc>
          <w:tcPr>
            <w:tcW w:w="1960" w:type="dxa"/>
          </w:tcPr>
          <w:p w14:paraId="6F2748A8" w14:textId="77777777" w:rsidR="00EE5ED5" w:rsidRPr="00203EF2" w:rsidRDefault="009A740A" w:rsidP="009A740A">
            <w:pPr>
              <w:pStyle w:val="FirstParaOfSectionTextStyle"/>
              <w:rPr>
                <w:sz w:val="20"/>
              </w:rPr>
            </w:pPr>
            <w:r>
              <w:rPr>
                <w:sz w:val="20"/>
              </w:rPr>
              <w:t>2 (0.61</w:t>
            </w:r>
            <w:r w:rsidR="00EE5ED5">
              <w:rPr>
                <w:sz w:val="20"/>
              </w:rPr>
              <w:t>%)</w:t>
            </w:r>
          </w:p>
        </w:tc>
        <w:tc>
          <w:tcPr>
            <w:tcW w:w="2027" w:type="dxa"/>
          </w:tcPr>
          <w:p w14:paraId="511B3C6E" w14:textId="77777777" w:rsidR="00EE5ED5" w:rsidRPr="00203EF2" w:rsidRDefault="009A740A" w:rsidP="006E04C3">
            <w:pPr>
              <w:pStyle w:val="FirstParaOfSectionTextStyle"/>
              <w:rPr>
                <w:sz w:val="20"/>
              </w:rPr>
            </w:pPr>
            <w:r>
              <w:rPr>
                <w:sz w:val="20"/>
              </w:rPr>
              <w:t>2</w:t>
            </w:r>
            <w:r w:rsidR="00EE5ED5">
              <w:rPr>
                <w:sz w:val="20"/>
              </w:rPr>
              <w:t xml:space="preserve"> (</w:t>
            </w:r>
            <w:r>
              <w:rPr>
                <w:sz w:val="20"/>
              </w:rPr>
              <w:t>0.30</w:t>
            </w:r>
            <w:r w:rsidR="00EE5ED5">
              <w:rPr>
                <w:sz w:val="20"/>
              </w:rPr>
              <w:t>%)</w:t>
            </w:r>
          </w:p>
        </w:tc>
      </w:tr>
      <w:tr w:rsidR="00EE5ED5" w14:paraId="14D16B86" w14:textId="77777777" w:rsidTr="006E04C3">
        <w:trPr>
          <w:trHeight w:val="324"/>
          <w:jc w:val="center"/>
        </w:trPr>
        <w:tc>
          <w:tcPr>
            <w:tcW w:w="1897" w:type="dxa"/>
          </w:tcPr>
          <w:p w14:paraId="60F0DB2C" w14:textId="77777777" w:rsidR="00EE5ED5" w:rsidRPr="00203EF2" w:rsidRDefault="00EE5ED5" w:rsidP="006E04C3">
            <w:pPr>
              <w:pStyle w:val="FirstParaOfSectionTextStyle"/>
              <w:rPr>
                <w:sz w:val="20"/>
              </w:rPr>
            </w:pPr>
            <w:r>
              <w:rPr>
                <w:i/>
                <w:sz w:val="20"/>
              </w:rPr>
              <w:t>26-35</w:t>
            </w:r>
          </w:p>
        </w:tc>
        <w:tc>
          <w:tcPr>
            <w:tcW w:w="1960" w:type="dxa"/>
          </w:tcPr>
          <w:p w14:paraId="131512A9" w14:textId="77777777" w:rsidR="00EE5ED5" w:rsidRPr="00203EF2" w:rsidRDefault="009A740A" w:rsidP="006E04C3">
            <w:pPr>
              <w:pStyle w:val="FirstParaOfSectionTextStyle"/>
              <w:rPr>
                <w:sz w:val="20"/>
              </w:rPr>
            </w:pPr>
            <w:r>
              <w:rPr>
                <w:sz w:val="20"/>
              </w:rPr>
              <w:t>42</w:t>
            </w:r>
            <w:r w:rsidR="00EE5ED5">
              <w:rPr>
                <w:sz w:val="20"/>
              </w:rPr>
              <w:t xml:space="preserve"> (</w:t>
            </w:r>
            <w:r>
              <w:rPr>
                <w:sz w:val="20"/>
              </w:rPr>
              <w:t>12.80</w:t>
            </w:r>
            <w:r w:rsidR="00EE5ED5">
              <w:rPr>
                <w:sz w:val="20"/>
              </w:rPr>
              <w:t>%)</w:t>
            </w:r>
          </w:p>
        </w:tc>
        <w:tc>
          <w:tcPr>
            <w:tcW w:w="2027" w:type="dxa"/>
          </w:tcPr>
          <w:p w14:paraId="2A79918C" w14:textId="77777777" w:rsidR="00EE5ED5" w:rsidRPr="00203EF2" w:rsidRDefault="009A740A" w:rsidP="006E04C3">
            <w:pPr>
              <w:pStyle w:val="FirstParaOfSectionTextStyle"/>
              <w:rPr>
                <w:sz w:val="20"/>
              </w:rPr>
            </w:pPr>
            <w:r>
              <w:rPr>
                <w:sz w:val="20"/>
              </w:rPr>
              <w:t>87</w:t>
            </w:r>
            <w:r w:rsidR="00EE5ED5">
              <w:rPr>
                <w:sz w:val="20"/>
              </w:rPr>
              <w:t xml:space="preserve"> (</w:t>
            </w:r>
            <w:r>
              <w:rPr>
                <w:sz w:val="20"/>
              </w:rPr>
              <w:t>13.14</w:t>
            </w:r>
            <w:r w:rsidR="00EE5ED5">
              <w:rPr>
                <w:sz w:val="20"/>
              </w:rPr>
              <w:t>%)</w:t>
            </w:r>
          </w:p>
        </w:tc>
      </w:tr>
      <w:tr w:rsidR="00EE5ED5" w14:paraId="1875319D" w14:textId="77777777" w:rsidTr="006E04C3">
        <w:trPr>
          <w:trHeight w:val="324"/>
          <w:jc w:val="center"/>
        </w:trPr>
        <w:tc>
          <w:tcPr>
            <w:tcW w:w="1897" w:type="dxa"/>
          </w:tcPr>
          <w:p w14:paraId="4116A7FB" w14:textId="77777777" w:rsidR="00EE5ED5" w:rsidRDefault="00EE5ED5" w:rsidP="006E04C3">
            <w:pPr>
              <w:pStyle w:val="FirstParaOfSectionTextStyle"/>
              <w:rPr>
                <w:i/>
                <w:sz w:val="20"/>
              </w:rPr>
            </w:pPr>
            <w:r>
              <w:rPr>
                <w:i/>
                <w:sz w:val="20"/>
              </w:rPr>
              <w:t>36-45</w:t>
            </w:r>
          </w:p>
        </w:tc>
        <w:tc>
          <w:tcPr>
            <w:tcW w:w="1960" w:type="dxa"/>
          </w:tcPr>
          <w:p w14:paraId="1D3719C8" w14:textId="77777777" w:rsidR="00EE5ED5" w:rsidRPr="00203EF2" w:rsidRDefault="009A740A" w:rsidP="006E04C3">
            <w:pPr>
              <w:pStyle w:val="FirstParaOfSectionTextStyle"/>
              <w:rPr>
                <w:sz w:val="20"/>
              </w:rPr>
            </w:pPr>
            <w:r>
              <w:rPr>
                <w:sz w:val="20"/>
              </w:rPr>
              <w:t>85</w:t>
            </w:r>
            <w:r w:rsidR="00EE5ED5">
              <w:rPr>
                <w:sz w:val="20"/>
              </w:rPr>
              <w:t xml:space="preserve"> (</w:t>
            </w:r>
            <w:r>
              <w:rPr>
                <w:sz w:val="20"/>
              </w:rPr>
              <w:t>25.91</w:t>
            </w:r>
            <w:r w:rsidR="00EE5ED5">
              <w:rPr>
                <w:sz w:val="20"/>
              </w:rPr>
              <w:t>%)</w:t>
            </w:r>
          </w:p>
        </w:tc>
        <w:tc>
          <w:tcPr>
            <w:tcW w:w="2027" w:type="dxa"/>
          </w:tcPr>
          <w:p w14:paraId="65E4E013" w14:textId="77777777" w:rsidR="00EE5ED5" w:rsidRPr="00203EF2" w:rsidRDefault="009A740A" w:rsidP="006E04C3">
            <w:pPr>
              <w:pStyle w:val="FirstParaOfSectionTextStyle"/>
              <w:rPr>
                <w:sz w:val="20"/>
              </w:rPr>
            </w:pPr>
            <w:r>
              <w:rPr>
                <w:sz w:val="20"/>
              </w:rPr>
              <w:t>176</w:t>
            </w:r>
            <w:r w:rsidR="00EE5ED5">
              <w:rPr>
                <w:sz w:val="20"/>
              </w:rPr>
              <w:t xml:space="preserve"> (</w:t>
            </w:r>
            <w:r>
              <w:rPr>
                <w:sz w:val="20"/>
              </w:rPr>
              <w:t>26.59</w:t>
            </w:r>
            <w:r w:rsidR="00EE5ED5">
              <w:rPr>
                <w:sz w:val="20"/>
              </w:rPr>
              <w:t>%)</w:t>
            </w:r>
          </w:p>
        </w:tc>
      </w:tr>
      <w:tr w:rsidR="00EE5ED5" w14:paraId="640DA9D7" w14:textId="77777777" w:rsidTr="006E04C3">
        <w:trPr>
          <w:trHeight w:val="324"/>
          <w:jc w:val="center"/>
        </w:trPr>
        <w:tc>
          <w:tcPr>
            <w:tcW w:w="1897" w:type="dxa"/>
          </w:tcPr>
          <w:p w14:paraId="62FD1F69" w14:textId="77777777" w:rsidR="00EE5ED5" w:rsidRDefault="00EE5ED5" w:rsidP="006E04C3">
            <w:pPr>
              <w:pStyle w:val="FirstParaOfSectionTextStyle"/>
              <w:rPr>
                <w:i/>
                <w:sz w:val="20"/>
              </w:rPr>
            </w:pPr>
            <w:r>
              <w:rPr>
                <w:i/>
                <w:sz w:val="20"/>
              </w:rPr>
              <w:t>46-55</w:t>
            </w:r>
          </w:p>
        </w:tc>
        <w:tc>
          <w:tcPr>
            <w:tcW w:w="1960" w:type="dxa"/>
          </w:tcPr>
          <w:p w14:paraId="23AAF502" w14:textId="77777777" w:rsidR="00EE5ED5" w:rsidRPr="00203EF2" w:rsidRDefault="009A740A" w:rsidP="006E04C3">
            <w:pPr>
              <w:pStyle w:val="FirstParaOfSectionTextStyle"/>
              <w:rPr>
                <w:sz w:val="20"/>
              </w:rPr>
            </w:pPr>
            <w:r>
              <w:rPr>
                <w:sz w:val="20"/>
              </w:rPr>
              <w:t>91</w:t>
            </w:r>
            <w:r w:rsidR="00EE5ED5">
              <w:rPr>
                <w:sz w:val="20"/>
              </w:rPr>
              <w:t xml:space="preserve"> (</w:t>
            </w:r>
            <w:r>
              <w:rPr>
                <w:sz w:val="20"/>
              </w:rPr>
              <w:t>27.74</w:t>
            </w:r>
            <w:r w:rsidR="00EE5ED5">
              <w:rPr>
                <w:sz w:val="20"/>
              </w:rPr>
              <w:t>%)</w:t>
            </w:r>
          </w:p>
        </w:tc>
        <w:tc>
          <w:tcPr>
            <w:tcW w:w="2027" w:type="dxa"/>
          </w:tcPr>
          <w:p w14:paraId="70861CD9" w14:textId="77777777" w:rsidR="00EE5ED5" w:rsidRPr="00203EF2" w:rsidRDefault="009A740A" w:rsidP="006E04C3">
            <w:pPr>
              <w:pStyle w:val="FirstParaOfSectionTextStyle"/>
              <w:rPr>
                <w:sz w:val="20"/>
              </w:rPr>
            </w:pPr>
            <w:r>
              <w:rPr>
                <w:sz w:val="20"/>
              </w:rPr>
              <w:t>182</w:t>
            </w:r>
            <w:r w:rsidR="00EE5ED5">
              <w:rPr>
                <w:sz w:val="20"/>
              </w:rPr>
              <w:t xml:space="preserve"> (</w:t>
            </w:r>
            <w:r>
              <w:rPr>
                <w:sz w:val="20"/>
              </w:rPr>
              <w:t>27.49</w:t>
            </w:r>
            <w:r w:rsidR="00EE5ED5">
              <w:rPr>
                <w:sz w:val="20"/>
              </w:rPr>
              <w:t>%)</w:t>
            </w:r>
          </w:p>
        </w:tc>
      </w:tr>
      <w:tr w:rsidR="00EE5ED5" w14:paraId="565DC291" w14:textId="77777777" w:rsidTr="006E04C3">
        <w:trPr>
          <w:trHeight w:val="324"/>
          <w:jc w:val="center"/>
        </w:trPr>
        <w:tc>
          <w:tcPr>
            <w:tcW w:w="1897" w:type="dxa"/>
          </w:tcPr>
          <w:p w14:paraId="7B39846E" w14:textId="77777777" w:rsidR="00EE5ED5" w:rsidRDefault="00EE5ED5" w:rsidP="006E04C3">
            <w:pPr>
              <w:pStyle w:val="FirstParaOfSectionTextStyle"/>
              <w:rPr>
                <w:i/>
                <w:sz w:val="20"/>
              </w:rPr>
            </w:pPr>
            <w:r>
              <w:rPr>
                <w:i/>
                <w:sz w:val="20"/>
              </w:rPr>
              <w:t>56-65</w:t>
            </w:r>
          </w:p>
        </w:tc>
        <w:tc>
          <w:tcPr>
            <w:tcW w:w="1960" w:type="dxa"/>
          </w:tcPr>
          <w:p w14:paraId="689A5C4E" w14:textId="77777777" w:rsidR="00EE5ED5" w:rsidRPr="00203EF2" w:rsidRDefault="009A740A" w:rsidP="006E04C3">
            <w:pPr>
              <w:pStyle w:val="FirstParaOfSectionTextStyle"/>
              <w:rPr>
                <w:sz w:val="20"/>
              </w:rPr>
            </w:pPr>
            <w:r>
              <w:rPr>
                <w:sz w:val="20"/>
              </w:rPr>
              <w:t>90</w:t>
            </w:r>
            <w:r w:rsidR="00EE5ED5">
              <w:rPr>
                <w:sz w:val="20"/>
              </w:rPr>
              <w:t xml:space="preserve"> (</w:t>
            </w:r>
            <w:r>
              <w:rPr>
                <w:sz w:val="20"/>
              </w:rPr>
              <w:t>27.44</w:t>
            </w:r>
            <w:r w:rsidR="00EE5ED5">
              <w:rPr>
                <w:sz w:val="20"/>
              </w:rPr>
              <w:t>%)</w:t>
            </w:r>
          </w:p>
        </w:tc>
        <w:tc>
          <w:tcPr>
            <w:tcW w:w="2027" w:type="dxa"/>
          </w:tcPr>
          <w:p w14:paraId="04D40F5B" w14:textId="77777777" w:rsidR="00EE5ED5" w:rsidRPr="00203EF2" w:rsidRDefault="009A740A" w:rsidP="006E04C3">
            <w:pPr>
              <w:pStyle w:val="FirstParaOfSectionTextStyle"/>
              <w:rPr>
                <w:sz w:val="20"/>
              </w:rPr>
            </w:pPr>
            <w:r>
              <w:rPr>
                <w:sz w:val="20"/>
              </w:rPr>
              <w:t>182</w:t>
            </w:r>
            <w:r w:rsidR="00EE5ED5">
              <w:rPr>
                <w:sz w:val="20"/>
              </w:rPr>
              <w:t xml:space="preserve"> (</w:t>
            </w:r>
            <w:r>
              <w:rPr>
                <w:sz w:val="20"/>
              </w:rPr>
              <w:t>27.49</w:t>
            </w:r>
            <w:r w:rsidR="00EE5ED5">
              <w:rPr>
                <w:sz w:val="20"/>
              </w:rPr>
              <w:t>%)</w:t>
            </w:r>
          </w:p>
        </w:tc>
      </w:tr>
      <w:tr w:rsidR="00EE5ED5" w14:paraId="442DB93B" w14:textId="77777777" w:rsidTr="006E04C3">
        <w:trPr>
          <w:trHeight w:val="324"/>
          <w:jc w:val="center"/>
        </w:trPr>
        <w:tc>
          <w:tcPr>
            <w:tcW w:w="1897" w:type="dxa"/>
          </w:tcPr>
          <w:p w14:paraId="65FE0A77" w14:textId="77777777" w:rsidR="00EE5ED5" w:rsidRDefault="00EE5ED5" w:rsidP="006E04C3">
            <w:pPr>
              <w:pStyle w:val="FirstParaOfSectionTextStyle"/>
              <w:rPr>
                <w:i/>
                <w:sz w:val="20"/>
              </w:rPr>
            </w:pPr>
            <w:r>
              <w:rPr>
                <w:i/>
                <w:sz w:val="20"/>
              </w:rPr>
              <w:t>Over 65</w:t>
            </w:r>
          </w:p>
        </w:tc>
        <w:tc>
          <w:tcPr>
            <w:tcW w:w="1960" w:type="dxa"/>
          </w:tcPr>
          <w:p w14:paraId="5DE4769B" w14:textId="77777777" w:rsidR="00EE5ED5" w:rsidRDefault="009A740A" w:rsidP="006E04C3">
            <w:pPr>
              <w:pStyle w:val="FirstParaOfSectionTextStyle"/>
              <w:rPr>
                <w:sz w:val="20"/>
              </w:rPr>
            </w:pPr>
            <w:r>
              <w:rPr>
                <w:sz w:val="20"/>
              </w:rPr>
              <w:t>18 (5.49%)</w:t>
            </w:r>
          </w:p>
        </w:tc>
        <w:tc>
          <w:tcPr>
            <w:tcW w:w="2027" w:type="dxa"/>
          </w:tcPr>
          <w:p w14:paraId="20A7106C" w14:textId="77777777" w:rsidR="00EE5ED5" w:rsidRDefault="009A740A" w:rsidP="006E04C3">
            <w:pPr>
              <w:pStyle w:val="FirstParaOfSectionTextStyle"/>
              <w:rPr>
                <w:sz w:val="20"/>
              </w:rPr>
            </w:pPr>
            <w:r>
              <w:rPr>
                <w:sz w:val="20"/>
              </w:rPr>
              <w:t>33 (4.98%)</w:t>
            </w:r>
          </w:p>
        </w:tc>
      </w:tr>
    </w:tbl>
    <w:p w14:paraId="2927D68A" w14:textId="0F0ECC1D" w:rsidR="00F944C0" w:rsidRDefault="00F944C0" w:rsidP="00393E3A">
      <w:pPr>
        <w:pStyle w:val="SectionSubheading1"/>
        <w:tabs>
          <w:tab w:val="left" w:pos="270"/>
        </w:tabs>
        <w:ind w:left="270" w:firstLine="540"/>
        <w:rPr>
          <w:rFonts w:cstheme="minorHAnsi"/>
          <w:b w:val="0"/>
          <w:i w:val="0"/>
          <w:sz w:val="20"/>
        </w:rPr>
      </w:pPr>
      <w:r w:rsidRPr="00F944C0">
        <w:rPr>
          <w:rFonts w:cstheme="minorHAnsi"/>
          <w:b w:val="0"/>
          <w:i w:val="0"/>
          <w:sz w:val="20"/>
        </w:rPr>
        <w:t xml:space="preserve">In addition to collecting basic demographic information, faculty respondents were asked about the GKR project. For All Participants as well as Partner Sites, 80% of respondents were not aware of the project. While the survey may be the </w:t>
      </w:r>
      <w:r w:rsidR="00CF5CDF">
        <w:rPr>
          <w:rFonts w:cstheme="minorHAnsi"/>
          <w:b w:val="0"/>
          <w:i w:val="0"/>
          <w:sz w:val="20"/>
        </w:rPr>
        <w:t>first introduction faculty members</w:t>
      </w:r>
      <w:r w:rsidRPr="00F944C0">
        <w:rPr>
          <w:rFonts w:cstheme="minorHAnsi"/>
          <w:b w:val="0"/>
          <w:i w:val="0"/>
          <w:sz w:val="20"/>
        </w:rPr>
        <w:t xml:space="preserve"> have had to the GKR Project, it provided faculty with an opportunity to reflect on </w:t>
      </w:r>
      <w:r w:rsidR="00CF5CDF">
        <w:rPr>
          <w:rFonts w:cstheme="minorHAnsi"/>
          <w:b w:val="0"/>
          <w:i w:val="0"/>
          <w:sz w:val="20"/>
        </w:rPr>
        <w:t xml:space="preserve">their individual </w:t>
      </w:r>
      <w:r w:rsidRPr="00F944C0">
        <w:rPr>
          <w:rFonts w:cstheme="minorHAnsi"/>
          <w:b w:val="0"/>
          <w:i w:val="0"/>
          <w:sz w:val="20"/>
        </w:rPr>
        <w:t>scholarly communication</w:t>
      </w:r>
      <w:r w:rsidR="00CF5CDF">
        <w:rPr>
          <w:rFonts w:cstheme="minorHAnsi"/>
          <w:b w:val="0"/>
          <w:i w:val="0"/>
          <w:sz w:val="20"/>
        </w:rPr>
        <w:t xml:space="preserve"> practices</w:t>
      </w:r>
      <w:r w:rsidRPr="00F944C0">
        <w:rPr>
          <w:rFonts w:cstheme="minorHAnsi"/>
          <w:b w:val="0"/>
          <w:i w:val="0"/>
          <w:sz w:val="20"/>
        </w:rPr>
        <w:t>.</w:t>
      </w:r>
    </w:p>
    <w:p w14:paraId="51A12ACB" w14:textId="3FF0C938" w:rsidR="00F944C0" w:rsidRPr="00B5329F" w:rsidRDefault="00F944C0" w:rsidP="00B5329F">
      <w:pPr>
        <w:pStyle w:val="TableFigureHeader"/>
      </w:pPr>
      <w:r w:rsidRPr="00F944C0">
        <w:rPr>
          <w:noProof/>
        </w:rPr>
        <w:t xml:space="preserve"> </w:t>
      </w:r>
      <w:r w:rsidR="00DD00F1">
        <w:t>Table</w:t>
      </w:r>
      <w:r w:rsidRPr="00203EF2">
        <w:t xml:space="preserve"> 1</w:t>
      </w:r>
      <w:r w:rsidR="00CF5CDF">
        <w:t>.4</w:t>
      </w:r>
      <w:r w:rsidRPr="00203EF2">
        <w:t xml:space="preserve">: </w:t>
      </w:r>
      <w:r>
        <w:t>Faculty Awareness of the GKR initiative</w:t>
      </w:r>
    </w:p>
    <w:tbl>
      <w:tblPr>
        <w:tblStyle w:val="TableGrid"/>
        <w:tblW w:w="0" w:type="auto"/>
        <w:jc w:val="center"/>
        <w:tblLook w:val="04A0" w:firstRow="1" w:lastRow="0" w:firstColumn="1" w:lastColumn="0" w:noHBand="0" w:noVBand="1"/>
      </w:tblPr>
      <w:tblGrid>
        <w:gridCol w:w="1897"/>
        <w:gridCol w:w="1960"/>
        <w:gridCol w:w="2027"/>
      </w:tblGrid>
      <w:tr w:rsidR="00DD00F1" w14:paraId="40B135AB" w14:textId="77777777" w:rsidTr="00852C93">
        <w:trPr>
          <w:trHeight w:val="310"/>
          <w:jc w:val="center"/>
        </w:trPr>
        <w:tc>
          <w:tcPr>
            <w:tcW w:w="5884" w:type="dxa"/>
            <w:gridSpan w:val="3"/>
          </w:tcPr>
          <w:p w14:paraId="1B590212" w14:textId="28E87898" w:rsidR="00DD00F1" w:rsidRDefault="00DD00F1" w:rsidP="00852C93">
            <w:pPr>
              <w:pStyle w:val="FirstParaOfSectionTextStyle"/>
              <w:rPr>
                <w:i/>
                <w:sz w:val="20"/>
              </w:rPr>
            </w:pPr>
            <w:r w:rsidRPr="00DD00F1">
              <w:rPr>
                <w:b/>
                <w:bCs/>
                <w:i/>
                <w:sz w:val="20"/>
              </w:rPr>
              <w:t>Prior to this survey, were you aware or the GKR initiative? Check all that apply</w:t>
            </w:r>
          </w:p>
        </w:tc>
      </w:tr>
      <w:tr w:rsidR="00DD00F1" w14:paraId="371257BA" w14:textId="77777777" w:rsidTr="00852C93">
        <w:trPr>
          <w:trHeight w:val="310"/>
          <w:jc w:val="center"/>
        </w:trPr>
        <w:tc>
          <w:tcPr>
            <w:tcW w:w="1897" w:type="dxa"/>
          </w:tcPr>
          <w:p w14:paraId="2295988A" w14:textId="77777777" w:rsidR="00DD00F1" w:rsidRPr="00203EF2" w:rsidRDefault="00DD00F1" w:rsidP="00775AE4">
            <w:pPr>
              <w:pStyle w:val="FirstParaOfSectionTextStyle"/>
              <w:jc w:val="left"/>
              <w:rPr>
                <w:sz w:val="20"/>
              </w:rPr>
            </w:pPr>
          </w:p>
        </w:tc>
        <w:tc>
          <w:tcPr>
            <w:tcW w:w="1960" w:type="dxa"/>
          </w:tcPr>
          <w:p w14:paraId="6EAC80EE" w14:textId="19D80E66" w:rsidR="00DD00F1" w:rsidRPr="00203EF2" w:rsidRDefault="00DD00F1" w:rsidP="00775AE4">
            <w:pPr>
              <w:pStyle w:val="FirstParaOfSectionTextStyle"/>
              <w:jc w:val="left"/>
              <w:rPr>
                <w:i/>
                <w:sz w:val="20"/>
              </w:rPr>
            </w:pPr>
            <w:r>
              <w:rPr>
                <w:i/>
                <w:sz w:val="20"/>
              </w:rPr>
              <w:t>Partner Responses Percentage (n=280)</w:t>
            </w:r>
          </w:p>
        </w:tc>
        <w:tc>
          <w:tcPr>
            <w:tcW w:w="2027" w:type="dxa"/>
          </w:tcPr>
          <w:p w14:paraId="6ADB2DE2" w14:textId="2BF13539" w:rsidR="00DD00F1" w:rsidRDefault="00DD00F1" w:rsidP="00775AE4">
            <w:pPr>
              <w:pStyle w:val="FirstParaOfSectionTextStyle"/>
              <w:jc w:val="left"/>
              <w:rPr>
                <w:i/>
                <w:sz w:val="20"/>
              </w:rPr>
            </w:pPr>
            <w:r>
              <w:rPr>
                <w:i/>
                <w:sz w:val="20"/>
              </w:rPr>
              <w:t>All Responses Percentage</w:t>
            </w:r>
          </w:p>
          <w:p w14:paraId="757C27DE" w14:textId="099776F0" w:rsidR="00DD00F1" w:rsidRPr="00203EF2" w:rsidRDefault="00DD00F1" w:rsidP="00775AE4">
            <w:pPr>
              <w:pStyle w:val="FirstParaOfSectionTextStyle"/>
              <w:jc w:val="left"/>
              <w:rPr>
                <w:sz w:val="20"/>
              </w:rPr>
            </w:pPr>
            <w:r>
              <w:rPr>
                <w:i/>
                <w:sz w:val="20"/>
              </w:rPr>
              <w:t>(n=536)</w:t>
            </w:r>
          </w:p>
        </w:tc>
      </w:tr>
      <w:tr w:rsidR="00DD00F1" w14:paraId="069FC110" w14:textId="77777777" w:rsidTr="00852C93">
        <w:trPr>
          <w:trHeight w:val="310"/>
          <w:jc w:val="center"/>
        </w:trPr>
        <w:tc>
          <w:tcPr>
            <w:tcW w:w="1897" w:type="dxa"/>
          </w:tcPr>
          <w:p w14:paraId="55BC3996" w14:textId="66B90BCD" w:rsidR="00DD00F1" w:rsidRPr="00203EF2" w:rsidRDefault="00DD00F1" w:rsidP="00775AE4">
            <w:pPr>
              <w:pStyle w:val="FirstParaOfSectionTextStyle"/>
              <w:jc w:val="left"/>
              <w:rPr>
                <w:sz w:val="20"/>
              </w:rPr>
            </w:pPr>
            <w:r>
              <w:rPr>
                <w:i/>
                <w:sz w:val="20"/>
              </w:rPr>
              <w:lastRenderedPageBreak/>
              <w:t>Yes, I am involved in the project</w:t>
            </w:r>
          </w:p>
        </w:tc>
        <w:tc>
          <w:tcPr>
            <w:tcW w:w="1960" w:type="dxa"/>
          </w:tcPr>
          <w:p w14:paraId="30FA001E" w14:textId="44CBE441" w:rsidR="00DD00F1" w:rsidRPr="00203EF2" w:rsidRDefault="00682B60" w:rsidP="00775AE4">
            <w:pPr>
              <w:pStyle w:val="FirstParaOfSectionTextStyle"/>
              <w:jc w:val="left"/>
              <w:rPr>
                <w:sz w:val="20"/>
              </w:rPr>
            </w:pPr>
            <w:r>
              <w:rPr>
                <w:sz w:val="20"/>
              </w:rPr>
              <w:t>3.9%</w:t>
            </w:r>
          </w:p>
        </w:tc>
        <w:tc>
          <w:tcPr>
            <w:tcW w:w="2027" w:type="dxa"/>
          </w:tcPr>
          <w:p w14:paraId="01E34376" w14:textId="472DA6D9" w:rsidR="00DD00F1" w:rsidRPr="00203EF2" w:rsidRDefault="00DD00F1" w:rsidP="00775AE4">
            <w:pPr>
              <w:pStyle w:val="FirstParaOfSectionTextStyle"/>
              <w:jc w:val="left"/>
              <w:rPr>
                <w:sz w:val="20"/>
              </w:rPr>
            </w:pPr>
            <w:r>
              <w:rPr>
                <w:sz w:val="20"/>
              </w:rPr>
              <w:t>2.4%</w:t>
            </w:r>
          </w:p>
        </w:tc>
      </w:tr>
      <w:tr w:rsidR="00DD00F1" w14:paraId="458FBA63" w14:textId="77777777" w:rsidTr="00852C93">
        <w:trPr>
          <w:trHeight w:val="324"/>
          <w:jc w:val="center"/>
        </w:trPr>
        <w:tc>
          <w:tcPr>
            <w:tcW w:w="1897" w:type="dxa"/>
          </w:tcPr>
          <w:p w14:paraId="39BE4953" w14:textId="5A35A908" w:rsidR="00DD00F1" w:rsidRPr="00203EF2" w:rsidRDefault="00DD00F1" w:rsidP="00775AE4">
            <w:pPr>
              <w:pStyle w:val="FirstParaOfSectionTextStyle"/>
              <w:jc w:val="left"/>
              <w:rPr>
                <w:sz w:val="20"/>
              </w:rPr>
            </w:pPr>
            <w:r>
              <w:rPr>
                <w:i/>
                <w:sz w:val="20"/>
              </w:rPr>
              <w:t>Yes, I read about it in the AJC</w:t>
            </w:r>
          </w:p>
        </w:tc>
        <w:tc>
          <w:tcPr>
            <w:tcW w:w="1960" w:type="dxa"/>
          </w:tcPr>
          <w:p w14:paraId="540FBCB4" w14:textId="13F78B71" w:rsidR="00DD00F1" w:rsidRPr="00203EF2" w:rsidRDefault="00682B60" w:rsidP="00775AE4">
            <w:pPr>
              <w:pStyle w:val="FirstParaOfSectionTextStyle"/>
              <w:jc w:val="left"/>
              <w:rPr>
                <w:sz w:val="20"/>
              </w:rPr>
            </w:pPr>
            <w:r>
              <w:rPr>
                <w:sz w:val="20"/>
              </w:rPr>
              <w:t>0.4%</w:t>
            </w:r>
          </w:p>
        </w:tc>
        <w:tc>
          <w:tcPr>
            <w:tcW w:w="2027" w:type="dxa"/>
          </w:tcPr>
          <w:p w14:paraId="7AC7297E" w14:textId="1E617219" w:rsidR="00DD00F1" w:rsidRPr="00203EF2" w:rsidRDefault="00DD00F1" w:rsidP="00775AE4">
            <w:pPr>
              <w:pStyle w:val="FirstParaOfSectionTextStyle"/>
              <w:jc w:val="left"/>
              <w:rPr>
                <w:sz w:val="20"/>
              </w:rPr>
            </w:pPr>
            <w:r>
              <w:rPr>
                <w:sz w:val="20"/>
              </w:rPr>
              <w:t>0.9%</w:t>
            </w:r>
          </w:p>
        </w:tc>
      </w:tr>
      <w:tr w:rsidR="00DD00F1" w14:paraId="39C35103" w14:textId="77777777" w:rsidTr="00852C93">
        <w:trPr>
          <w:trHeight w:val="324"/>
          <w:jc w:val="center"/>
        </w:trPr>
        <w:tc>
          <w:tcPr>
            <w:tcW w:w="1897" w:type="dxa"/>
          </w:tcPr>
          <w:p w14:paraId="35EE4C4B" w14:textId="18C3F169" w:rsidR="00DD00F1" w:rsidRDefault="00DD00F1" w:rsidP="00775AE4">
            <w:pPr>
              <w:pStyle w:val="FirstParaOfSectionTextStyle"/>
              <w:jc w:val="left"/>
              <w:rPr>
                <w:i/>
                <w:sz w:val="20"/>
              </w:rPr>
            </w:pPr>
            <w:r>
              <w:rPr>
                <w:i/>
                <w:sz w:val="20"/>
              </w:rPr>
              <w:t>Yes, I saw a conference presentation about the project</w:t>
            </w:r>
          </w:p>
        </w:tc>
        <w:tc>
          <w:tcPr>
            <w:tcW w:w="1960" w:type="dxa"/>
          </w:tcPr>
          <w:p w14:paraId="11F1BB68" w14:textId="5D415C41" w:rsidR="00DD00F1" w:rsidRPr="00203EF2" w:rsidRDefault="00682B60" w:rsidP="00775AE4">
            <w:pPr>
              <w:pStyle w:val="FirstParaOfSectionTextStyle"/>
              <w:jc w:val="left"/>
              <w:rPr>
                <w:sz w:val="20"/>
              </w:rPr>
            </w:pPr>
            <w:r>
              <w:rPr>
                <w:sz w:val="20"/>
              </w:rPr>
              <w:t>1.4%</w:t>
            </w:r>
          </w:p>
        </w:tc>
        <w:tc>
          <w:tcPr>
            <w:tcW w:w="2027" w:type="dxa"/>
          </w:tcPr>
          <w:p w14:paraId="01AF3650" w14:textId="272682DB" w:rsidR="00DD00F1" w:rsidRPr="00203EF2" w:rsidRDefault="00DD00F1" w:rsidP="00775AE4">
            <w:pPr>
              <w:pStyle w:val="FirstParaOfSectionTextStyle"/>
              <w:jc w:val="left"/>
              <w:rPr>
                <w:sz w:val="20"/>
              </w:rPr>
            </w:pPr>
            <w:r>
              <w:rPr>
                <w:sz w:val="20"/>
              </w:rPr>
              <w:t>2.2%</w:t>
            </w:r>
          </w:p>
        </w:tc>
      </w:tr>
      <w:tr w:rsidR="00DD00F1" w14:paraId="7CCDB2F8" w14:textId="77777777" w:rsidTr="00852C93">
        <w:trPr>
          <w:trHeight w:val="324"/>
          <w:jc w:val="center"/>
        </w:trPr>
        <w:tc>
          <w:tcPr>
            <w:tcW w:w="1897" w:type="dxa"/>
          </w:tcPr>
          <w:p w14:paraId="1507B18B" w14:textId="0764C07F" w:rsidR="00DD00F1" w:rsidRDefault="00DD00F1" w:rsidP="00775AE4">
            <w:pPr>
              <w:pStyle w:val="FirstParaOfSectionTextStyle"/>
              <w:jc w:val="left"/>
              <w:rPr>
                <w:i/>
                <w:sz w:val="20"/>
              </w:rPr>
            </w:pPr>
            <w:r>
              <w:rPr>
                <w:i/>
                <w:sz w:val="20"/>
              </w:rPr>
              <w:t>Yes, I have heard people talk about it on campus</w:t>
            </w:r>
          </w:p>
        </w:tc>
        <w:tc>
          <w:tcPr>
            <w:tcW w:w="1960" w:type="dxa"/>
          </w:tcPr>
          <w:p w14:paraId="6332D69E" w14:textId="4E3F262F" w:rsidR="00DD00F1" w:rsidRPr="00203EF2" w:rsidRDefault="00682B60" w:rsidP="00775AE4">
            <w:pPr>
              <w:pStyle w:val="FirstParaOfSectionTextStyle"/>
              <w:jc w:val="left"/>
              <w:rPr>
                <w:sz w:val="20"/>
              </w:rPr>
            </w:pPr>
            <w:r>
              <w:rPr>
                <w:sz w:val="20"/>
              </w:rPr>
              <w:t>15.4%</w:t>
            </w:r>
          </w:p>
        </w:tc>
        <w:tc>
          <w:tcPr>
            <w:tcW w:w="2027" w:type="dxa"/>
          </w:tcPr>
          <w:p w14:paraId="30606349" w14:textId="60DFEC6A" w:rsidR="00DD00F1" w:rsidRPr="00203EF2" w:rsidRDefault="00DD00F1" w:rsidP="00775AE4">
            <w:pPr>
              <w:pStyle w:val="FirstParaOfSectionTextStyle"/>
              <w:jc w:val="left"/>
              <w:rPr>
                <w:sz w:val="20"/>
              </w:rPr>
            </w:pPr>
            <w:r>
              <w:rPr>
                <w:sz w:val="20"/>
              </w:rPr>
              <w:t>15.5%</w:t>
            </w:r>
          </w:p>
        </w:tc>
      </w:tr>
      <w:tr w:rsidR="00DD00F1" w14:paraId="4DFC87D5" w14:textId="77777777" w:rsidTr="00852C93">
        <w:trPr>
          <w:trHeight w:val="324"/>
          <w:jc w:val="center"/>
        </w:trPr>
        <w:tc>
          <w:tcPr>
            <w:tcW w:w="1897" w:type="dxa"/>
          </w:tcPr>
          <w:p w14:paraId="7A57D0EC" w14:textId="5BBBC324" w:rsidR="00DD00F1" w:rsidRDefault="00DD00F1" w:rsidP="00775AE4">
            <w:pPr>
              <w:pStyle w:val="FirstParaOfSectionTextStyle"/>
              <w:jc w:val="left"/>
              <w:rPr>
                <w:i/>
                <w:sz w:val="20"/>
              </w:rPr>
            </w:pPr>
            <w:r>
              <w:rPr>
                <w:i/>
                <w:sz w:val="20"/>
              </w:rPr>
              <w:t>No, I didn’t know about the project</w:t>
            </w:r>
          </w:p>
        </w:tc>
        <w:tc>
          <w:tcPr>
            <w:tcW w:w="1960" w:type="dxa"/>
          </w:tcPr>
          <w:p w14:paraId="15F6DF1B" w14:textId="22397715" w:rsidR="00DD00F1" w:rsidRPr="00203EF2" w:rsidRDefault="00682B60" w:rsidP="00775AE4">
            <w:pPr>
              <w:pStyle w:val="FirstParaOfSectionTextStyle"/>
              <w:jc w:val="left"/>
              <w:rPr>
                <w:sz w:val="20"/>
              </w:rPr>
            </w:pPr>
            <w:r>
              <w:rPr>
                <w:sz w:val="20"/>
              </w:rPr>
              <w:t>80.7%</w:t>
            </w:r>
          </w:p>
        </w:tc>
        <w:tc>
          <w:tcPr>
            <w:tcW w:w="2027" w:type="dxa"/>
          </w:tcPr>
          <w:p w14:paraId="3AD9BB8B" w14:textId="786C890C" w:rsidR="00DD00F1" w:rsidRPr="00203EF2" w:rsidRDefault="00DD00F1" w:rsidP="00775AE4">
            <w:pPr>
              <w:pStyle w:val="FirstParaOfSectionTextStyle"/>
              <w:jc w:val="left"/>
              <w:rPr>
                <w:sz w:val="20"/>
              </w:rPr>
            </w:pPr>
            <w:r>
              <w:rPr>
                <w:sz w:val="20"/>
              </w:rPr>
              <w:t>81.2%</w:t>
            </w:r>
          </w:p>
        </w:tc>
      </w:tr>
    </w:tbl>
    <w:p w14:paraId="66F2510F" w14:textId="5F8FDA7D" w:rsidR="00DD00F1" w:rsidRPr="00F944C0" w:rsidRDefault="004C3883" w:rsidP="000D5B45">
      <w:pPr>
        <w:pStyle w:val="SectionSubheading1"/>
        <w:rPr>
          <w:rFonts w:cstheme="minorHAnsi"/>
          <w:b w:val="0"/>
          <w:i w:val="0"/>
          <w:sz w:val="20"/>
        </w:rPr>
      </w:pPr>
      <w:r>
        <w:rPr>
          <w:rFonts w:cstheme="minorHAnsi"/>
          <w:b w:val="0"/>
          <w:i w:val="0"/>
          <w:sz w:val="20"/>
        </w:rPr>
        <w:t xml:space="preserve">Despite several years of work at the Partner Sites, very few participants were aware of the initiative to develop a repository on campus. </w:t>
      </w:r>
      <w:r w:rsidR="00682B60">
        <w:rPr>
          <w:rFonts w:cstheme="minorHAnsi"/>
          <w:b w:val="0"/>
          <w:i w:val="0"/>
          <w:sz w:val="20"/>
        </w:rPr>
        <w:t xml:space="preserve">According to the results, 81.2% of faculty (95% CI, 77.07, </w:t>
      </w:r>
      <w:proofErr w:type="gramStart"/>
      <w:r w:rsidR="00682B60">
        <w:rPr>
          <w:rFonts w:cstheme="minorHAnsi"/>
          <w:b w:val="0"/>
          <w:i w:val="0"/>
          <w:sz w:val="20"/>
        </w:rPr>
        <w:t>85.33</w:t>
      </w:r>
      <w:proofErr w:type="gramEnd"/>
      <w:r w:rsidR="00682B60">
        <w:rPr>
          <w:rFonts w:cstheme="minorHAnsi"/>
          <w:b w:val="0"/>
          <w:i w:val="0"/>
          <w:sz w:val="20"/>
        </w:rPr>
        <w:t>) of faculty did not know about the project. During the p</w:t>
      </w:r>
      <w:r w:rsidR="00077FF6">
        <w:rPr>
          <w:rFonts w:cstheme="minorHAnsi"/>
          <w:b w:val="0"/>
          <w:i w:val="0"/>
          <w:sz w:val="20"/>
        </w:rPr>
        <w:t xml:space="preserve">revious two years, an article about the </w:t>
      </w:r>
      <w:r w:rsidR="00077FF6" w:rsidRPr="00775AE4">
        <w:rPr>
          <w:b w:val="0"/>
          <w:i w:val="0"/>
        </w:rPr>
        <w:t xml:space="preserve">grant initiative appeared in the </w:t>
      </w:r>
      <w:r w:rsidR="00077FF6" w:rsidRPr="00775AE4">
        <w:rPr>
          <w:b w:val="0"/>
        </w:rPr>
        <w:t xml:space="preserve">Atlanta Journal </w:t>
      </w:r>
      <w:r w:rsidR="00775AE4" w:rsidRPr="00775AE4">
        <w:rPr>
          <w:b w:val="0"/>
        </w:rPr>
        <w:t>Constitution</w:t>
      </w:r>
      <w:r w:rsidR="00077FF6" w:rsidRPr="00775AE4">
        <w:rPr>
          <w:b w:val="0"/>
          <w:i w:val="0"/>
        </w:rPr>
        <w:t xml:space="preserve"> (AJC). Many campus libraries presented information about the project or open access publishing. </w:t>
      </w:r>
      <w:r w:rsidR="00682B60" w:rsidRPr="00775AE4">
        <w:rPr>
          <w:b w:val="0"/>
          <w:i w:val="0"/>
        </w:rPr>
        <w:t xml:space="preserve"> </w:t>
      </w:r>
      <w:r w:rsidRPr="00775AE4">
        <w:rPr>
          <w:b w:val="0"/>
          <w:i w:val="0"/>
        </w:rPr>
        <w:t>If faculty are not aware of local open access initiatives, what are their perceptions of the open access movement?</w:t>
      </w:r>
      <w:r w:rsidR="00682B60" w:rsidRPr="00775AE4">
        <w:rPr>
          <w:b w:val="0"/>
          <w:i w:val="0"/>
        </w:rPr>
        <w:t xml:space="preserve"> Why are they not aware of the initiative?</w:t>
      </w:r>
    </w:p>
    <w:p w14:paraId="2EF3A076" w14:textId="73D9B9AA" w:rsidR="009D0E46" w:rsidRDefault="009D0E46" w:rsidP="00775AE4">
      <w:pPr>
        <w:pStyle w:val="SectionSubheading1"/>
        <w:rPr>
          <w:szCs w:val="21"/>
        </w:rPr>
      </w:pPr>
      <w:r>
        <w:rPr>
          <w:szCs w:val="21"/>
        </w:rPr>
        <w:t xml:space="preserve">USG Faculty </w:t>
      </w:r>
      <w:r w:rsidR="007B4E97">
        <w:rPr>
          <w:szCs w:val="21"/>
        </w:rPr>
        <w:t>Experiences with</w:t>
      </w:r>
      <w:r>
        <w:rPr>
          <w:szCs w:val="21"/>
        </w:rPr>
        <w:t xml:space="preserve"> Open Access</w:t>
      </w:r>
    </w:p>
    <w:p w14:paraId="719C4C07" w14:textId="475B243E" w:rsidR="004C3883" w:rsidRPr="00572C95" w:rsidRDefault="004C3883" w:rsidP="00B809EA">
      <w:pPr>
        <w:jc w:val="both"/>
        <w:rPr>
          <w:sz w:val="21"/>
          <w:szCs w:val="21"/>
        </w:rPr>
      </w:pPr>
      <w:r w:rsidRPr="00572C95">
        <w:rPr>
          <w:sz w:val="21"/>
          <w:szCs w:val="21"/>
        </w:rPr>
        <w:t xml:space="preserve">While faculty members were not aware of the GKR project, 32.6% of </w:t>
      </w:r>
      <w:r w:rsidR="000D5B45" w:rsidRPr="00572C95">
        <w:rPr>
          <w:sz w:val="21"/>
          <w:szCs w:val="21"/>
        </w:rPr>
        <w:t>respondents</w:t>
      </w:r>
      <w:r w:rsidRPr="00572C95">
        <w:rPr>
          <w:sz w:val="21"/>
          <w:szCs w:val="21"/>
        </w:rPr>
        <w:t xml:space="preserve"> had </w:t>
      </w:r>
      <w:r w:rsidR="000D5B45" w:rsidRPr="00572C95">
        <w:rPr>
          <w:sz w:val="21"/>
          <w:szCs w:val="21"/>
        </w:rPr>
        <w:t>knowingly</w:t>
      </w:r>
      <w:r w:rsidRPr="00572C95">
        <w:rPr>
          <w:sz w:val="21"/>
          <w:szCs w:val="21"/>
        </w:rPr>
        <w:t xml:space="preserve"> shared materials in an open access repository (</w:t>
      </w:r>
      <w:r w:rsidR="00B5329F" w:rsidRPr="00572C95">
        <w:rPr>
          <w:sz w:val="21"/>
          <w:szCs w:val="21"/>
        </w:rPr>
        <w:t>Table</w:t>
      </w:r>
      <w:r w:rsidR="00F90015" w:rsidRPr="00572C95">
        <w:rPr>
          <w:sz w:val="21"/>
          <w:szCs w:val="21"/>
        </w:rPr>
        <w:t xml:space="preserve"> 1.5</w:t>
      </w:r>
      <w:r w:rsidRPr="00572C95">
        <w:rPr>
          <w:sz w:val="21"/>
          <w:szCs w:val="21"/>
        </w:rPr>
        <w:t>).</w:t>
      </w:r>
      <w:r w:rsidR="000D5B45" w:rsidRPr="00572C95">
        <w:rPr>
          <w:i/>
          <w:sz w:val="21"/>
          <w:szCs w:val="21"/>
        </w:rPr>
        <w:t xml:space="preserve"> </w:t>
      </w:r>
      <w:r w:rsidR="000D5B45" w:rsidRPr="00572C95">
        <w:rPr>
          <w:sz w:val="21"/>
          <w:szCs w:val="21"/>
        </w:rPr>
        <w:t>One hundred and sixty-six faculty members reported publishing in open access journals and repositories. The majority of respondents (41.6%) publishing in open access resources were from research institutions (University of Georgia, Georgia Institute of Technology and Georgia Health Sciences University).</w:t>
      </w:r>
      <w:r w:rsidR="00B5329F" w:rsidRPr="00572C95">
        <w:rPr>
          <w:sz w:val="21"/>
          <w:szCs w:val="21"/>
        </w:rPr>
        <w:t xml:space="preserve"> Scientific communities were among the first to adopt open access practices, with the</w:t>
      </w:r>
      <w:r w:rsidR="00DF20C5" w:rsidRPr="00572C95">
        <w:rPr>
          <w:sz w:val="21"/>
          <w:szCs w:val="21"/>
        </w:rPr>
        <w:t xml:space="preserve"> focus on doctoral research and medical information, it was expected that the participant group would have a larger percentage of faculty aware of open access publishing options.</w:t>
      </w:r>
    </w:p>
    <w:p w14:paraId="185F135A" w14:textId="74F4A1A4" w:rsidR="00A6038A" w:rsidRDefault="00775AE4" w:rsidP="00775AE4">
      <w:pPr>
        <w:pStyle w:val="TableFigureHeader"/>
        <w:ind w:left="409"/>
      </w:pPr>
      <w:r>
        <w:t>Table</w:t>
      </w:r>
      <w:r w:rsidR="00F90015">
        <w:t xml:space="preserve"> 1.5</w:t>
      </w:r>
      <w:r w:rsidR="004C3883">
        <w:t xml:space="preserve"> Faculty open access publishing habits</w:t>
      </w:r>
    </w:p>
    <w:tbl>
      <w:tblPr>
        <w:tblStyle w:val="TableGrid"/>
        <w:tblW w:w="0" w:type="auto"/>
        <w:jc w:val="center"/>
        <w:tblLook w:val="04A0" w:firstRow="1" w:lastRow="0" w:firstColumn="1" w:lastColumn="0" w:noHBand="0" w:noVBand="1"/>
      </w:tblPr>
      <w:tblGrid>
        <w:gridCol w:w="1897"/>
        <w:gridCol w:w="1960"/>
        <w:gridCol w:w="2027"/>
      </w:tblGrid>
      <w:tr w:rsidR="00775AE4" w14:paraId="15B7D7CF" w14:textId="77777777" w:rsidTr="00852C93">
        <w:trPr>
          <w:trHeight w:val="310"/>
          <w:jc w:val="center"/>
        </w:trPr>
        <w:tc>
          <w:tcPr>
            <w:tcW w:w="5884" w:type="dxa"/>
            <w:gridSpan w:val="3"/>
          </w:tcPr>
          <w:p w14:paraId="4C7092AD" w14:textId="77777777" w:rsidR="00775AE4" w:rsidRDefault="00775AE4" w:rsidP="00852C93">
            <w:pPr>
              <w:pStyle w:val="FirstParaOfSectionTextStyle"/>
              <w:rPr>
                <w:i/>
                <w:sz w:val="20"/>
              </w:rPr>
            </w:pPr>
            <w:r w:rsidRPr="00DD00F1">
              <w:rPr>
                <w:b/>
                <w:bCs/>
                <w:i/>
                <w:sz w:val="20"/>
              </w:rPr>
              <w:t>Prior to this survey, were you aware or the GKR initiative? Check all that apply</w:t>
            </w:r>
          </w:p>
        </w:tc>
      </w:tr>
      <w:tr w:rsidR="00775AE4" w14:paraId="5B5C3C0D" w14:textId="77777777" w:rsidTr="00852C93">
        <w:trPr>
          <w:trHeight w:val="310"/>
          <w:jc w:val="center"/>
        </w:trPr>
        <w:tc>
          <w:tcPr>
            <w:tcW w:w="1897" w:type="dxa"/>
          </w:tcPr>
          <w:p w14:paraId="48DED553" w14:textId="77777777" w:rsidR="00775AE4" w:rsidRPr="00203EF2" w:rsidRDefault="00775AE4" w:rsidP="00852C93">
            <w:pPr>
              <w:pStyle w:val="FirstParaOfSectionTextStyle"/>
              <w:jc w:val="left"/>
              <w:rPr>
                <w:sz w:val="20"/>
              </w:rPr>
            </w:pPr>
          </w:p>
        </w:tc>
        <w:tc>
          <w:tcPr>
            <w:tcW w:w="1960" w:type="dxa"/>
          </w:tcPr>
          <w:p w14:paraId="27AAA2AD" w14:textId="1ED83A41" w:rsidR="00775AE4" w:rsidRPr="00203EF2" w:rsidRDefault="00775AE4" w:rsidP="00852C93">
            <w:pPr>
              <w:pStyle w:val="FirstParaOfSectionTextStyle"/>
              <w:jc w:val="left"/>
              <w:rPr>
                <w:i/>
                <w:sz w:val="20"/>
              </w:rPr>
            </w:pPr>
            <w:r>
              <w:rPr>
                <w:i/>
                <w:sz w:val="20"/>
              </w:rPr>
              <w:t>Partner Responses Percentage (n=316)</w:t>
            </w:r>
          </w:p>
        </w:tc>
        <w:tc>
          <w:tcPr>
            <w:tcW w:w="2027" w:type="dxa"/>
          </w:tcPr>
          <w:p w14:paraId="582F924D" w14:textId="77777777" w:rsidR="00775AE4" w:rsidRDefault="00775AE4" w:rsidP="00852C93">
            <w:pPr>
              <w:pStyle w:val="FirstParaOfSectionTextStyle"/>
              <w:jc w:val="left"/>
              <w:rPr>
                <w:i/>
                <w:sz w:val="20"/>
              </w:rPr>
            </w:pPr>
            <w:r>
              <w:rPr>
                <w:i/>
                <w:sz w:val="20"/>
              </w:rPr>
              <w:t>All Responses Percentage</w:t>
            </w:r>
          </w:p>
          <w:p w14:paraId="340C6A71" w14:textId="0618BF53" w:rsidR="00775AE4" w:rsidRPr="00203EF2" w:rsidRDefault="00775AE4" w:rsidP="00852C93">
            <w:pPr>
              <w:pStyle w:val="FirstParaOfSectionTextStyle"/>
              <w:jc w:val="left"/>
              <w:rPr>
                <w:sz w:val="20"/>
              </w:rPr>
            </w:pPr>
            <w:r>
              <w:rPr>
                <w:i/>
                <w:sz w:val="20"/>
              </w:rPr>
              <w:t>(n=590)</w:t>
            </w:r>
          </w:p>
        </w:tc>
      </w:tr>
      <w:tr w:rsidR="00775AE4" w14:paraId="66EB7BA5" w14:textId="77777777" w:rsidTr="00852C93">
        <w:trPr>
          <w:trHeight w:val="310"/>
          <w:jc w:val="center"/>
        </w:trPr>
        <w:tc>
          <w:tcPr>
            <w:tcW w:w="1897" w:type="dxa"/>
          </w:tcPr>
          <w:p w14:paraId="7C78B81A" w14:textId="1AEE3BD6" w:rsidR="00775AE4" w:rsidRPr="00203EF2" w:rsidRDefault="00775AE4" w:rsidP="00775AE4">
            <w:pPr>
              <w:pStyle w:val="FirstParaOfSectionTextStyle"/>
              <w:jc w:val="left"/>
              <w:rPr>
                <w:sz w:val="20"/>
              </w:rPr>
            </w:pPr>
            <w:r>
              <w:rPr>
                <w:i/>
                <w:sz w:val="20"/>
              </w:rPr>
              <w:t>Yes, I publish in open access journals whenever possible</w:t>
            </w:r>
          </w:p>
        </w:tc>
        <w:tc>
          <w:tcPr>
            <w:tcW w:w="1960" w:type="dxa"/>
          </w:tcPr>
          <w:p w14:paraId="3E3BC78A" w14:textId="250E3F86" w:rsidR="00775AE4" w:rsidRPr="00203EF2" w:rsidRDefault="00775AE4" w:rsidP="00852C93">
            <w:pPr>
              <w:pStyle w:val="FirstParaOfSectionTextStyle"/>
              <w:jc w:val="left"/>
              <w:rPr>
                <w:sz w:val="20"/>
              </w:rPr>
            </w:pPr>
            <w:r>
              <w:rPr>
                <w:sz w:val="20"/>
              </w:rPr>
              <w:t>18.2%</w:t>
            </w:r>
          </w:p>
        </w:tc>
        <w:tc>
          <w:tcPr>
            <w:tcW w:w="2027" w:type="dxa"/>
          </w:tcPr>
          <w:p w14:paraId="1662C9FC" w14:textId="7C7D0389" w:rsidR="00775AE4" w:rsidRPr="00203EF2" w:rsidRDefault="00775AE4" w:rsidP="00852C93">
            <w:pPr>
              <w:pStyle w:val="FirstParaOfSectionTextStyle"/>
              <w:jc w:val="left"/>
              <w:rPr>
                <w:sz w:val="20"/>
              </w:rPr>
            </w:pPr>
            <w:r>
              <w:rPr>
                <w:sz w:val="20"/>
              </w:rPr>
              <w:t>10.2%</w:t>
            </w:r>
          </w:p>
        </w:tc>
      </w:tr>
      <w:tr w:rsidR="00775AE4" w14:paraId="5816C4D3" w14:textId="77777777" w:rsidTr="00852C93">
        <w:trPr>
          <w:trHeight w:val="324"/>
          <w:jc w:val="center"/>
        </w:trPr>
        <w:tc>
          <w:tcPr>
            <w:tcW w:w="1897" w:type="dxa"/>
          </w:tcPr>
          <w:p w14:paraId="72F3647F" w14:textId="3D491A44" w:rsidR="00775AE4" w:rsidRPr="00203EF2" w:rsidRDefault="00775AE4" w:rsidP="00775AE4">
            <w:pPr>
              <w:pStyle w:val="FirstParaOfSectionTextStyle"/>
              <w:jc w:val="left"/>
              <w:rPr>
                <w:sz w:val="20"/>
              </w:rPr>
            </w:pPr>
            <w:r>
              <w:rPr>
                <w:i/>
                <w:sz w:val="20"/>
              </w:rPr>
              <w:t>Yes, I deposit conference materials in open access repositories</w:t>
            </w:r>
          </w:p>
        </w:tc>
        <w:tc>
          <w:tcPr>
            <w:tcW w:w="1960" w:type="dxa"/>
          </w:tcPr>
          <w:p w14:paraId="7E634A21" w14:textId="3205A6B8" w:rsidR="00775AE4" w:rsidRPr="00203EF2" w:rsidRDefault="00775AE4" w:rsidP="00852C93">
            <w:pPr>
              <w:pStyle w:val="FirstParaOfSectionTextStyle"/>
              <w:jc w:val="left"/>
              <w:rPr>
                <w:sz w:val="20"/>
              </w:rPr>
            </w:pPr>
            <w:r>
              <w:rPr>
                <w:sz w:val="20"/>
              </w:rPr>
              <w:t>11.2%</w:t>
            </w:r>
          </w:p>
        </w:tc>
        <w:tc>
          <w:tcPr>
            <w:tcW w:w="2027" w:type="dxa"/>
          </w:tcPr>
          <w:p w14:paraId="421FC6B4" w14:textId="3F565FF8" w:rsidR="00775AE4" w:rsidRPr="00203EF2" w:rsidRDefault="00775AE4" w:rsidP="00852C93">
            <w:pPr>
              <w:pStyle w:val="FirstParaOfSectionTextStyle"/>
              <w:jc w:val="left"/>
              <w:rPr>
                <w:sz w:val="20"/>
              </w:rPr>
            </w:pPr>
            <w:r>
              <w:rPr>
                <w:sz w:val="20"/>
              </w:rPr>
              <w:t>8.8%</w:t>
            </w:r>
          </w:p>
        </w:tc>
      </w:tr>
      <w:tr w:rsidR="00775AE4" w14:paraId="3DB20E73" w14:textId="77777777" w:rsidTr="00852C93">
        <w:trPr>
          <w:trHeight w:val="324"/>
          <w:jc w:val="center"/>
        </w:trPr>
        <w:tc>
          <w:tcPr>
            <w:tcW w:w="1897" w:type="dxa"/>
          </w:tcPr>
          <w:p w14:paraId="7C89BFE5" w14:textId="7D12C2FD" w:rsidR="00775AE4" w:rsidRDefault="00775AE4" w:rsidP="00775AE4">
            <w:pPr>
              <w:pStyle w:val="FirstParaOfSectionTextStyle"/>
              <w:jc w:val="left"/>
              <w:rPr>
                <w:i/>
                <w:sz w:val="20"/>
              </w:rPr>
            </w:pPr>
            <w:r>
              <w:rPr>
                <w:i/>
                <w:sz w:val="20"/>
              </w:rPr>
              <w:t xml:space="preserve">Yes, I publish an deposit in open access repositories, </w:t>
            </w:r>
            <w:r>
              <w:rPr>
                <w:i/>
                <w:sz w:val="20"/>
              </w:rPr>
              <w:lastRenderedPageBreak/>
              <w:t>but it is not a major issue for me</w:t>
            </w:r>
          </w:p>
        </w:tc>
        <w:tc>
          <w:tcPr>
            <w:tcW w:w="1960" w:type="dxa"/>
          </w:tcPr>
          <w:p w14:paraId="4B93ADF3" w14:textId="623DCD5D" w:rsidR="00775AE4" w:rsidRPr="00203EF2" w:rsidRDefault="00775AE4" w:rsidP="00852C93">
            <w:pPr>
              <w:pStyle w:val="FirstParaOfSectionTextStyle"/>
              <w:jc w:val="left"/>
              <w:rPr>
                <w:sz w:val="20"/>
              </w:rPr>
            </w:pPr>
            <w:r>
              <w:rPr>
                <w:sz w:val="20"/>
              </w:rPr>
              <w:lastRenderedPageBreak/>
              <w:t>20.5%</w:t>
            </w:r>
          </w:p>
        </w:tc>
        <w:tc>
          <w:tcPr>
            <w:tcW w:w="2027" w:type="dxa"/>
          </w:tcPr>
          <w:p w14:paraId="7B85238F" w14:textId="7D55D734" w:rsidR="00775AE4" w:rsidRPr="00203EF2" w:rsidRDefault="00775AE4" w:rsidP="00852C93">
            <w:pPr>
              <w:pStyle w:val="FirstParaOfSectionTextStyle"/>
              <w:jc w:val="left"/>
              <w:rPr>
                <w:sz w:val="20"/>
              </w:rPr>
            </w:pPr>
            <w:r>
              <w:rPr>
                <w:sz w:val="20"/>
              </w:rPr>
              <w:t>13.6%</w:t>
            </w:r>
          </w:p>
        </w:tc>
      </w:tr>
      <w:tr w:rsidR="00775AE4" w14:paraId="33B86BBC" w14:textId="77777777" w:rsidTr="00852C93">
        <w:trPr>
          <w:trHeight w:val="324"/>
          <w:jc w:val="center"/>
        </w:trPr>
        <w:tc>
          <w:tcPr>
            <w:tcW w:w="1897" w:type="dxa"/>
          </w:tcPr>
          <w:p w14:paraId="72E12206" w14:textId="11062164" w:rsidR="00775AE4" w:rsidRDefault="00775AE4" w:rsidP="00852C93">
            <w:pPr>
              <w:pStyle w:val="FirstParaOfSectionTextStyle"/>
              <w:jc w:val="left"/>
              <w:rPr>
                <w:i/>
                <w:sz w:val="20"/>
              </w:rPr>
            </w:pPr>
            <w:r>
              <w:rPr>
                <w:i/>
                <w:sz w:val="20"/>
              </w:rPr>
              <w:t>No</w:t>
            </w:r>
          </w:p>
        </w:tc>
        <w:tc>
          <w:tcPr>
            <w:tcW w:w="1960" w:type="dxa"/>
          </w:tcPr>
          <w:p w14:paraId="41E32EA0" w14:textId="4F5664F6" w:rsidR="00775AE4" w:rsidRPr="00203EF2" w:rsidRDefault="00775AE4" w:rsidP="00852C93">
            <w:pPr>
              <w:pStyle w:val="FirstParaOfSectionTextStyle"/>
              <w:jc w:val="left"/>
              <w:rPr>
                <w:sz w:val="20"/>
              </w:rPr>
            </w:pPr>
            <w:r>
              <w:rPr>
                <w:sz w:val="20"/>
              </w:rPr>
              <w:t>60.9%</w:t>
            </w:r>
          </w:p>
        </w:tc>
        <w:tc>
          <w:tcPr>
            <w:tcW w:w="2027" w:type="dxa"/>
          </w:tcPr>
          <w:p w14:paraId="43807FEC" w14:textId="7D99D1AA" w:rsidR="00775AE4" w:rsidRPr="00203EF2" w:rsidRDefault="00775AE4" w:rsidP="00852C93">
            <w:pPr>
              <w:pStyle w:val="FirstParaOfSectionTextStyle"/>
              <w:jc w:val="left"/>
              <w:rPr>
                <w:sz w:val="20"/>
              </w:rPr>
            </w:pPr>
            <w:r>
              <w:rPr>
                <w:sz w:val="20"/>
              </w:rPr>
              <w:t>57.6%</w:t>
            </w:r>
          </w:p>
        </w:tc>
      </w:tr>
      <w:tr w:rsidR="00775AE4" w14:paraId="58080D35" w14:textId="77777777" w:rsidTr="00852C93">
        <w:trPr>
          <w:trHeight w:val="324"/>
          <w:jc w:val="center"/>
        </w:trPr>
        <w:tc>
          <w:tcPr>
            <w:tcW w:w="1897" w:type="dxa"/>
          </w:tcPr>
          <w:p w14:paraId="4509CD75" w14:textId="792EB146" w:rsidR="00775AE4" w:rsidRDefault="00775AE4" w:rsidP="00852C93">
            <w:pPr>
              <w:pStyle w:val="FirstParaOfSectionTextStyle"/>
              <w:jc w:val="left"/>
              <w:rPr>
                <w:i/>
                <w:sz w:val="20"/>
              </w:rPr>
            </w:pPr>
            <w:r>
              <w:rPr>
                <w:i/>
                <w:sz w:val="20"/>
              </w:rPr>
              <w:t>I don’t know</w:t>
            </w:r>
          </w:p>
        </w:tc>
        <w:tc>
          <w:tcPr>
            <w:tcW w:w="1960" w:type="dxa"/>
          </w:tcPr>
          <w:p w14:paraId="241BEA41" w14:textId="0B9BBF3A" w:rsidR="00775AE4" w:rsidRPr="00203EF2" w:rsidRDefault="00775AE4" w:rsidP="00852C93">
            <w:pPr>
              <w:pStyle w:val="FirstParaOfSectionTextStyle"/>
              <w:jc w:val="left"/>
              <w:rPr>
                <w:sz w:val="20"/>
              </w:rPr>
            </w:pPr>
            <w:r>
              <w:rPr>
                <w:sz w:val="20"/>
              </w:rPr>
              <w:t>11.6%</w:t>
            </w:r>
          </w:p>
        </w:tc>
        <w:tc>
          <w:tcPr>
            <w:tcW w:w="2027" w:type="dxa"/>
          </w:tcPr>
          <w:p w14:paraId="5DF696E7" w14:textId="785DC136" w:rsidR="00775AE4" w:rsidRPr="00203EF2" w:rsidRDefault="00775AE4" w:rsidP="00852C93">
            <w:pPr>
              <w:pStyle w:val="FirstParaOfSectionTextStyle"/>
              <w:jc w:val="left"/>
              <w:rPr>
                <w:sz w:val="20"/>
              </w:rPr>
            </w:pPr>
            <w:r>
              <w:rPr>
                <w:sz w:val="20"/>
              </w:rPr>
              <w:t>9.8%</w:t>
            </w:r>
          </w:p>
        </w:tc>
      </w:tr>
    </w:tbl>
    <w:p w14:paraId="2821DF5C" w14:textId="77777777" w:rsidR="00775AE4" w:rsidRDefault="000D5B45" w:rsidP="00775AE4">
      <w:pPr>
        <w:pStyle w:val="SubsequentParagraphsTextStyle"/>
        <w:ind w:firstLine="0"/>
      </w:pPr>
      <w:r>
        <w:tab/>
      </w:r>
    </w:p>
    <w:p w14:paraId="1580F2B2" w14:textId="22544C1C" w:rsidR="007B4E97" w:rsidRDefault="000D5B45" w:rsidP="007B4E97">
      <w:pPr>
        <w:pStyle w:val="SubsequentParagraphsTextStyle"/>
      </w:pPr>
      <w:r>
        <w:t>In addition, faculty were asked about publishing to an institutional repository. Universities and colleges have been collected materials from faculty and students for more than ten years.</w:t>
      </w:r>
      <w:r w:rsidR="007B4E97">
        <w:t xml:space="preserve"> With over 300 active repositories in higher education in the United States alone, it is expected that some faculty will have submitted dissertations, articles or slides to a repository at some point in their careers.</w:t>
      </w:r>
      <w:r>
        <w:t xml:space="preserve"> </w:t>
      </w:r>
      <w:r w:rsidR="007B4E97">
        <w:t xml:space="preserve">However, 72.6% of participants had not deposited any materials and only 14.4% voluntarily deposited </w:t>
      </w:r>
      <w:r w:rsidR="00F90015">
        <w:t>materials in a repository (Table 1.6</w:t>
      </w:r>
      <w:r w:rsidR="007B4E97">
        <w:t>).</w:t>
      </w:r>
    </w:p>
    <w:p w14:paraId="570AA8AA" w14:textId="25444353" w:rsidR="00C714A9" w:rsidRDefault="00775AE4" w:rsidP="00B5329F">
      <w:pPr>
        <w:pStyle w:val="TableFigureHeader"/>
      </w:pPr>
      <w:r>
        <w:t>Table</w:t>
      </w:r>
      <w:r w:rsidR="00F90015">
        <w:t xml:space="preserve"> 1.6</w:t>
      </w:r>
      <w:r w:rsidR="007B4E97" w:rsidRPr="00203EF2">
        <w:t xml:space="preserve">: </w:t>
      </w:r>
      <w:r w:rsidR="007B4E97">
        <w:t>Survey Participan</w:t>
      </w:r>
      <w:r w:rsidR="00532764">
        <w:t>ts Open Access Publishing Habits</w:t>
      </w:r>
    </w:p>
    <w:tbl>
      <w:tblPr>
        <w:tblStyle w:val="TableGrid"/>
        <w:tblW w:w="0" w:type="auto"/>
        <w:jc w:val="center"/>
        <w:tblLook w:val="04A0" w:firstRow="1" w:lastRow="0" w:firstColumn="1" w:lastColumn="0" w:noHBand="0" w:noVBand="1"/>
      </w:tblPr>
      <w:tblGrid>
        <w:gridCol w:w="1897"/>
        <w:gridCol w:w="1960"/>
        <w:gridCol w:w="2027"/>
      </w:tblGrid>
      <w:tr w:rsidR="00775AE4" w14:paraId="11D4697F" w14:textId="77777777" w:rsidTr="00852C93">
        <w:trPr>
          <w:trHeight w:val="310"/>
          <w:jc w:val="center"/>
        </w:trPr>
        <w:tc>
          <w:tcPr>
            <w:tcW w:w="5884" w:type="dxa"/>
            <w:gridSpan w:val="3"/>
          </w:tcPr>
          <w:p w14:paraId="0D36FEAA" w14:textId="77777777" w:rsidR="00775AE4" w:rsidRPr="00B5329F" w:rsidRDefault="00775AE4" w:rsidP="00852C93">
            <w:pPr>
              <w:pStyle w:val="FirstParaOfSectionTextStyle"/>
              <w:rPr>
                <w:sz w:val="20"/>
              </w:rPr>
            </w:pPr>
            <w:r w:rsidRPr="00B5329F">
              <w:rPr>
                <w:bCs/>
                <w:sz w:val="20"/>
              </w:rPr>
              <w:t>Prior to this survey, were you aware or the GKR initiative? Check all that apply</w:t>
            </w:r>
          </w:p>
        </w:tc>
      </w:tr>
      <w:tr w:rsidR="00775AE4" w14:paraId="2E84B9B7" w14:textId="77777777" w:rsidTr="00852C93">
        <w:trPr>
          <w:trHeight w:val="310"/>
          <w:jc w:val="center"/>
        </w:trPr>
        <w:tc>
          <w:tcPr>
            <w:tcW w:w="1897" w:type="dxa"/>
          </w:tcPr>
          <w:p w14:paraId="1CDFE749" w14:textId="77777777" w:rsidR="00775AE4" w:rsidRPr="00203EF2" w:rsidRDefault="00775AE4" w:rsidP="00852C93">
            <w:pPr>
              <w:pStyle w:val="FirstParaOfSectionTextStyle"/>
              <w:jc w:val="left"/>
              <w:rPr>
                <w:sz w:val="20"/>
              </w:rPr>
            </w:pPr>
          </w:p>
        </w:tc>
        <w:tc>
          <w:tcPr>
            <w:tcW w:w="1960" w:type="dxa"/>
          </w:tcPr>
          <w:p w14:paraId="54B88D32" w14:textId="0F5E8908" w:rsidR="00775AE4" w:rsidRPr="00203EF2" w:rsidRDefault="00775AE4" w:rsidP="00852C93">
            <w:pPr>
              <w:pStyle w:val="FirstParaOfSectionTextStyle"/>
              <w:jc w:val="left"/>
              <w:rPr>
                <w:i/>
                <w:sz w:val="20"/>
              </w:rPr>
            </w:pPr>
            <w:r>
              <w:rPr>
                <w:i/>
                <w:sz w:val="20"/>
              </w:rPr>
              <w:t>Partner Responses Percentage (n=278)</w:t>
            </w:r>
          </w:p>
        </w:tc>
        <w:tc>
          <w:tcPr>
            <w:tcW w:w="2027" w:type="dxa"/>
          </w:tcPr>
          <w:p w14:paraId="470DA16A" w14:textId="77777777" w:rsidR="00775AE4" w:rsidRDefault="00775AE4" w:rsidP="00852C93">
            <w:pPr>
              <w:pStyle w:val="FirstParaOfSectionTextStyle"/>
              <w:jc w:val="left"/>
              <w:rPr>
                <w:i/>
                <w:sz w:val="20"/>
              </w:rPr>
            </w:pPr>
            <w:r>
              <w:rPr>
                <w:i/>
                <w:sz w:val="20"/>
              </w:rPr>
              <w:t>All Responses Percentage</w:t>
            </w:r>
          </w:p>
          <w:p w14:paraId="70F628B6" w14:textId="35F0B757" w:rsidR="00775AE4" w:rsidRPr="00203EF2" w:rsidRDefault="00775AE4" w:rsidP="00852C93">
            <w:pPr>
              <w:pStyle w:val="FirstParaOfSectionTextStyle"/>
              <w:jc w:val="left"/>
              <w:rPr>
                <w:sz w:val="20"/>
              </w:rPr>
            </w:pPr>
            <w:r>
              <w:rPr>
                <w:i/>
                <w:sz w:val="20"/>
              </w:rPr>
              <w:t>(n=533)</w:t>
            </w:r>
          </w:p>
        </w:tc>
      </w:tr>
      <w:tr w:rsidR="00775AE4" w14:paraId="0E3C633F" w14:textId="77777777" w:rsidTr="00852C93">
        <w:trPr>
          <w:trHeight w:val="310"/>
          <w:jc w:val="center"/>
        </w:trPr>
        <w:tc>
          <w:tcPr>
            <w:tcW w:w="1897" w:type="dxa"/>
          </w:tcPr>
          <w:p w14:paraId="34D57507" w14:textId="44810A96" w:rsidR="00775AE4" w:rsidRPr="00203EF2" w:rsidRDefault="00775AE4" w:rsidP="00775AE4">
            <w:pPr>
              <w:pStyle w:val="FirstParaOfSectionTextStyle"/>
              <w:jc w:val="left"/>
              <w:rPr>
                <w:sz w:val="20"/>
              </w:rPr>
            </w:pPr>
            <w:r>
              <w:rPr>
                <w:i/>
                <w:sz w:val="20"/>
              </w:rPr>
              <w:t>Yes, I did so voluntarily</w:t>
            </w:r>
          </w:p>
        </w:tc>
        <w:tc>
          <w:tcPr>
            <w:tcW w:w="1960" w:type="dxa"/>
          </w:tcPr>
          <w:p w14:paraId="7BF75552" w14:textId="1BBB406B" w:rsidR="00775AE4" w:rsidRPr="00203EF2" w:rsidRDefault="00B5329F" w:rsidP="00852C93">
            <w:pPr>
              <w:pStyle w:val="FirstParaOfSectionTextStyle"/>
              <w:jc w:val="left"/>
              <w:rPr>
                <w:sz w:val="20"/>
              </w:rPr>
            </w:pPr>
            <w:r>
              <w:rPr>
                <w:sz w:val="20"/>
              </w:rPr>
              <w:t>17.3</w:t>
            </w:r>
            <w:r w:rsidR="00775AE4">
              <w:rPr>
                <w:sz w:val="20"/>
              </w:rPr>
              <w:t>%</w:t>
            </w:r>
          </w:p>
        </w:tc>
        <w:tc>
          <w:tcPr>
            <w:tcW w:w="2027" w:type="dxa"/>
          </w:tcPr>
          <w:p w14:paraId="5A912B71" w14:textId="3A8F9BBD" w:rsidR="00775AE4" w:rsidRPr="00203EF2" w:rsidRDefault="00775AE4" w:rsidP="00852C93">
            <w:pPr>
              <w:pStyle w:val="FirstParaOfSectionTextStyle"/>
              <w:jc w:val="left"/>
              <w:rPr>
                <w:sz w:val="20"/>
              </w:rPr>
            </w:pPr>
            <w:r>
              <w:rPr>
                <w:sz w:val="20"/>
              </w:rPr>
              <w:t>14.4%</w:t>
            </w:r>
          </w:p>
        </w:tc>
      </w:tr>
      <w:tr w:rsidR="00775AE4" w14:paraId="40FDB2F6" w14:textId="77777777" w:rsidTr="00852C93">
        <w:trPr>
          <w:trHeight w:val="324"/>
          <w:jc w:val="center"/>
        </w:trPr>
        <w:tc>
          <w:tcPr>
            <w:tcW w:w="1897" w:type="dxa"/>
          </w:tcPr>
          <w:p w14:paraId="3DB82F85" w14:textId="04B5FB11" w:rsidR="00775AE4" w:rsidRPr="00203EF2" w:rsidRDefault="00775AE4" w:rsidP="00775AE4">
            <w:pPr>
              <w:pStyle w:val="FirstParaOfSectionTextStyle"/>
              <w:jc w:val="left"/>
              <w:rPr>
                <w:sz w:val="20"/>
              </w:rPr>
            </w:pPr>
            <w:r>
              <w:rPr>
                <w:i/>
                <w:sz w:val="20"/>
              </w:rPr>
              <w:t>Yes, I was required to do so</w:t>
            </w:r>
          </w:p>
        </w:tc>
        <w:tc>
          <w:tcPr>
            <w:tcW w:w="1960" w:type="dxa"/>
          </w:tcPr>
          <w:p w14:paraId="5E03CDAB" w14:textId="1A839243" w:rsidR="00775AE4" w:rsidRPr="00203EF2" w:rsidRDefault="00B5329F" w:rsidP="00852C93">
            <w:pPr>
              <w:pStyle w:val="FirstParaOfSectionTextStyle"/>
              <w:jc w:val="left"/>
              <w:rPr>
                <w:sz w:val="20"/>
              </w:rPr>
            </w:pPr>
            <w:r>
              <w:rPr>
                <w:sz w:val="20"/>
              </w:rPr>
              <w:t>11.5</w:t>
            </w:r>
            <w:r w:rsidR="00775AE4">
              <w:rPr>
                <w:sz w:val="20"/>
              </w:rPr>
              <w:t>%</w:t>
            </w:r>
          </w:p>
        </w:tc>
        <w:tc>
          <w:tcPr>
            <w:tcW w:w="2027" w:type="dxa"/>
          </w:tcPr>
          <w:p w14:paraId="52F5F67B" w14:textId="4FE96D62" w:rsidR="00775AE4" w:rsidRPr="00203EF2" w:rsidRDefault="00775AE4" w:rsidP="00852C93">
            <w:pPr>
              <w:pStyle w:val="FirstParaOfSectionTextStyle"/>
              <w:jc w:val="left"/>
              <w:rPr>
                <w:sz w:val="20"/>
              </w:rPr>
            </w:pPr>
            <w:r>
              <w:rPr>
                <w:sz w:val="20"/>
              </w:rPr>
              <w:t>12.9%</w:t>
            </w:r>
          </w:p>
        </w:tc>
      </w:tr>
      <w:tr w:rsidR="00775AE4" w14:paraId="2D74D35A" w14:textId="77777777" w:rsidTr="00852C93">
        <w:trPr>
          <w:trHeight w:val="324"/>
          <w:jc w:val="center"/>
        </w:trPr>
        <w:tc>
          <w:tcPr>
            <w:tcW w:w="1897" w:type="dxa"/>
          </w:tcPr>
          <w:p w14:paraId="5FC75EE2" w14:textId="11408924" w:rsidR="00775AE4" w:rsidRDefault="00B5329F" w:rsidP="00852C93">
            <w:pPr>
              <w:pStyle w:val="FirstParaOfSectionTextStyle"/>
              <w:jc w:val="left"/>
              <w:rPr>
                <w:i/>
                <w:sz w:val="20"/>
              </w:rPr>
            </w:pPr>
            <w:r>
              <w:rPr>
                <w:i/>
                <w:sz w:val="20"/>
              </w:rPr>
              <w:t>No</w:t>
            </w:r>
          </w:p>
        </w:tc>
        <w:tc>
          <w:tcPr>
            <w:tcW w:w="1960" w:type="dxa"/>
          </w:tcPr>
          <w:p w14:paraId="7E8FE3EE" w14:textId="76DD7307" w:rsidR="00775AE4" w:rsidRPr="00203EF2" w:rsidRDefault="00B5329F" w:rsidP="00852C93">
            <w:pPr>
              <w:pStyle w:val="FirstParaOfSectionTextStyle"/>
              <w:jc w:val="left"/>
              <w:rPr>
                <w:sz w:val="20"/>
              </w:rPr>
            </w:pPr>
            <w:r>
              <w:rPr>
                <w:sz w:val="20"/>
              </w:rPr>
              <w:t>71.2</w:t>
            </w:r>
            <w:r w:rsidR="00775AE4">
              <w:rPr>
                <w:sz w:val="20"/>
              </w:rPr>
              <w:t>%</w:t>
            </w:r>
          </w:p>
        </w:tc>
        <w:tc>
          <w:tcPr>
            <w:tcW w:w="2027" w:type="dxa"/>
          </w:tcPr>
          <w:p w14:paraId="71282DE0" w14:textId="7053ED87" w:rsidR="00775AE4" w:rsidRPr="00203EF2" w:rsidRDefault="00B5329F" w:rsidP="00852C93">
            <w:pPr>
              <w:pStyle w:val="FirstParaOfSectionTextStyle"/>
              <w:jc w:val="left"/>
              <w:rPr>
                <w:sz w:val="20"/>
              </w:rPr>
            </w:pPr>
            <w:r>
              <w:rPr>
                <w:sz w:val="20"/>
              </w:rPr>
              <w:t>72.6</w:t>
            </w:r>
            <w:r w:rsidR="00775AE4">
              <w:rPr>
                <w:sz w:val="20"/>
              </w:rPr>
              <w:t>%</w:t>
            </w:r>
          </w:p>
        </w:tc>
      </w:tr>
    </w:tbl>
    <w:p w14:paraId="343FC360" w14:textId="77777777" w:rsidR="00775AE4" w:rsidRDefault="00775AE4" w:rsidP="00F90015">
      <w:pPr>
        <w:pStyle w:val="TableFigureHeader"/>
        <w:jc w:val="left"/>
      </w:pPr>
    </w:p>
    <w:p w14:paraId="379C592D" w14:textId="1445205F" w:rsidR="00F944C0" w:rsidRDefault="007B4E97" w:rsidP="00466C48">
      <w:pPr>
        <w:pStyle w:val="SubsequentParagraphsTextStyle"/>
        <w:ind w:firstLine="270"/>
      </w:pPr>
      <w:r>
        <w:t xml:space="preserve">Before posting to a repository or sharing materials online through the internet, it is important to understand what agreements are in place with between authors and publishers. With the </w:t>
      </w:r>
      <w:r w:rsidR="006F5BB1">
        <w:t>different types of open access agreements (green or gold) and the type of materials that can published in a repository (pre-prints or post-prints), authors have to be aware of what rights they hold when signing copyright agreements. While 79.1% of respondents took a detailed interest or some interest in the agreement, reading the agreement does not necessarily mean under</w:t>
      </w:r>
      <w:r w:rsidR="00F90015">
        <w:t>standing one’s rights (Table 1.7</w:t>
      </w:r>
      <w:r w:rsidR="006F5BB1">
        <w:t>).</w:t>
      </w:r>
    </w:p>
    <w:p w14:paraId="0415D92F" w14:textId="59696943" w:rsidR="00C714A9" w:rsidRPr="00203EF2" w:rsidRDefault="00C714A9" w:rsidP="00C714A9">
      <w:pPr>
        <w:pStyle w:val="TableFigureHeader"/>
      </w:pPr>
      <w:r w:rsidRPr="00203EF2">
        <w:t xml:space="preserve">Table </w:t>
      </w:r>
      <w:r w:rsidR="00F90015">
        <w:t>1.7</w:t>
      </w:r>
      <w:r w:rsidRPr="00203EF2">
        <w:t xml:space="preserve">: </w:t>
      </w:r>
      <w:r w:rsidR="000C11A1">
        <w:t xml:space="preserve">Reading </w:t>
      </w:r>
      <w:r>
        <w:t xml:space="preserve">Copyright Agreements for Published Articles </w:t>
      </w:r>
    </w:p>
    <w:tbl>
      <w:tblPr>
        <w:tblStyle w:val="TableGrid"/>
        <w:tblW w:w="0" w:type="auto"/>
        <w:jc w:val="center"/>
        <w:tblLook w:val="04A0" w:firstRow="1" w:lastRow="0" w:firstColumn="1" w:lastColumn="0" w:noHBand="0" w:noVBand="1"/>
      </w:tblPr>
      <w:tblGrid>
        <w:gridCol w:w="1897"/>
        <w:gridCol w:w="1960"/>
        <w:gridCol w:w="1643"/>
      </w:tblGrid>
      <w:tr w:rsidR="00C714A9" w14:paraId="5CC1C3AA" w14:textId="77777777" w:rsidTr="000C11A1">
        <w:trPr>
          <w:trHeight w:val="310"/>
          <w:jc w:val="center"/>
        </w:trPr>
        <w:tc>
          <w:tcPr>
            <w:tcW w:w="1897" w:type="dxa"/>
          </w:tcPr>
          <w:p w14:paraId="55399EA3" w14:textId="77777777" w:rsidR="00C714A9" w:rsidRPr="00203EF2" w:rsidRDefault="00C714A9" w:rsidP="006E04C3">
            <w:pPr>
              <w:pStyle w:val="FirstParaOfSectionTextStyle"/>
              <w:rPr>
                <w:sz w:val="20"/>
              </w:rPr>
            </w:pPr>
          </w:p>
        </w:tc>
        <w:tc>
          <w:tcPr>
            <w:tcW w:w="1960" w:type="dxa"/>
          </w:tcPr>
          <w:p w14:paraId="1E87C6C2" w14:textId="77777777" w:rsidR="000C11A1" w:rsidRDefault="00C714A9" w:rsidP="006E04C3">
            <w:pPr>
              <w:pStyle w:val="FirstParaOfSectionTextStyle"/>
              <w:rPr>
                <w:i/>
                <w:sz w:val="20"/>
              </w:rPr>
            </w:pPr>
            <w:r>
              <w:rPr>
                <w:i/>
                <w:sz w:val="20"/>
              </w:rPr>
              <w:t xml:space="preserve">Partner Sites </w:t>
            </w:r>
          </w:p>
          <w:p w14:paraId="59E0B766" w14:textId="77777777" w:rsidR="00C714A9" w:rsidRDefault="000C11A1" w:rsidP="006E04C3">
            <w:pPr>
              <w:pStyle w:val="FirstParaOfSectionTextStyle"/>
              <w:rPr>
                <w:i/>
                <w:sz w:val="20"/>
              </w:rPr>
            </w:pPr>
            <w:r>
              <w:rPr>
                <w:i/>
                <w:sz w:val="20"/>
              </w:rPr>
              <w:t>Percentage</w:t>
            </w:r>
          </w:p>
          <w:p w14:paraId="1CE8A35E" w14:textId="77777777" w:rsidR="00C714A9" w:rsidRPr="00203EF2" w:rsidRDefault="000C11A1" w:rsidP="006E04C3">
            <w:pPr>
              <w:pStyle w:val="FirstParaOfSectionTextStyle"/>
              <w:rPr>
                <w:i/>
                <w:sz w:val="20"/>
              </w:rPr>
            </w:pPr>
            <w:r>
              <w:rPr>
                <w:i/>
                <w:sz w:val="20"/>
              </w:rPr>
              <w:t>(n=303</w:t>
            </w:r>
            <w:r w:rsidR="00C714A9">
              <w:rPr>
                <w:i/>
                <w:sz w:val="20"/>
              </w:rPr>
              <w:t>)</w:t>
            </w:r>
          </w:p>
        </w:tc>
        <w:tc>
          <w:tcPr>
            <w:tcW w:w="1643" w:type="dxa"/>
          </w:tcPr>
          <w:p w14:paraId="23D0026D" w14:textId="77777777" w:rsidR="000C11A1" w:rsidRDefault="00C714A9" w:rsidP="006E04C3">
            <w:pPr>
              <w:pStyle w:val="FirstParaOfSectionTextStyle"/>
              <w:rPr>
                <w:i/>
                <w:sz w:val="20"/>
              </w:rPr>
            </w:pPr>
            <w:r>
              <w:rPr>
                <w:i/>
                <w:sz w:val="20"/>
              </w:rPr>
              <w:t>A</w:t>
            </w:r>
            <w:r w:rsidR="000C11A1">
              <w:rPr>
                <w:i/>
                <w:sz w:val="20"/>
              </w:rPr>
              <w:t xml:space="preserve">ll </w:t>
            </w:r>
            <w:r>
              <w:rPr>
                <w:i/>
                <w:sz w:val="20"/>
              </w:rPr>
              <w:t>Participants</w:t>
            </w:r>
            <w:r w:rsidR="000C11A1">
              <w:rPr>
                <w:i/>
                <w:sz w:val="20"/>
              </w:rPr>
              <w:t xml:space="preserve"> </w:t>
            </w:r>
          </w:p>
          <w:p w14:paraId="7DF9C8B1" w14:textId="77777777" w:rsidR="00C714A9" w:rsidRDefault="000C11A1" w:rsidP="006E04C3">
            <w:pPr>
              <w:pStyle w:val="FirstParaOfSectionTextStyle"/>
              <w:rPr>
                <w:i/>
                <w:sz w:val="20"/>
              </w:rPr>
            </w:pPr>
            <w:r>
              <w:rPr>
                <w:i/>
                <w:sz w:val="20"/>
              </w:rPr>
              <w:t>Percentage</w:t>
            </w:r>
          </w:p>
          <w:p w14:paraId="729517DF" w14:textId="77777777" w:rsidR="00C714A9" w:rsidRPr="00203EF2" w:rsidRDefault="00C714A9" w:rsidP="000C11A1">
            <w:pPr>
              <w:pStyle w:val="FirstParaOfSectionTextStyle"/>
              <w:rPr>
                <w:sz w:val="20"/>
              </w:rPr>
            </w:pPr>
            <w:r>
              <w:rPr>
                <w:i/>
                <w:sz w:val="20"/>
              </w:rPr>
              <w:t>(n=</w:t>
            </w:r>
            <w:r w:rsidR="000C11A1">
              <w:rPr>
                <w:i/>
                <w:sz w:val="20"/>
              </w:rPr>
              <w:t>554</w:t>
            </w:r>
            <w:r>
              <w:rPr>
                <w:i/>
                <w:sz w:val="20"/>
              </w:rPr>
              <w:t>)</w:t>
            </w:r>
          </w:p>
        </w:tc>
      </w:tr>
      <w:tr w:rsidR="00C714A9" w14:paraId="7D96F841" w14:textId="77777777" w:rsidTr="000C11A1">
        <w:trPr>
          <w:trHeight w:val="310"/>
          <w:jc w:val="center"/>
        </w:trPr>
        <w:tc>
          <w:tcPr>
            <w:tcW w:w="1897" w:type="dxa"/>
          </w:tcPr>
          <w:p w14:paraId="107C4221" w14:textId="77777777" w:rsidR="00C714A9" w:rsidRPr="00203EF2" w:rsidRDefault="00C714A9" w:rsidP="006E04C3">
            <w:pPr>
              <w:pStyle w:val="FirstParaOfSectionTextStyle"/>
              <w:rPr>
                <w:sz w:val="20"/>
              </w:rPr>
            </w:pPr>
            <w:r>
              <w:rPr>
                <w:i/>
                <w:sz w:val="20"/>
              </w:rPr>
              <w:t>I took a detailed interest</w:t>
            </w:r>
          </w:p>
        </w:tc>
        <w:tc>
          <w:tcPr>
            <w:tcW w:w="1960" w:type="dxa"/>
          </w:tcPr>
          <w:p w14:paraId="0A0198A6" w14:textId="77777777" w:rsidR="00C714A9" w:rsidRPr="00203EF2" w:rsidRDefault="000C11A1" w:rsidP="006E04C3">
            <w:pPr>
              <w:pStyle w:val="FirstParaOfSectionTextStyle"/>
              <w:rPr>
                <w:sz w:val="20"/>
              </w:rPr>
            </w:pPr>
            <w:r>
              <w:rPr>
                <w:sz w:val="20"/>
              </w:rPr>
              <w:t>22.8%</w:t>
            </w:r>
          </w:p>
        </w:tc>
        <w:tc>
          <w:tcPr>
            <w:tcW w:w="1643" w:type="dxa"/>
          </w:tcPr>
          <w:p w14:paraId="7A49D5AB" w14:textId="77777777" w:rsidR="00C714A9" w:rsidRPr="00203EF2" w:rsidRDefault="000C11A1" w:rsidP="006E04C3">
            <w:pPr>
              <w:pStyle w:val="FirstParaOfSectionTextStyle"/>
              <w:rPr>
                <w:sz w:val="20"/>
              </w:rPr>
            </w:pPr>
            <w:r>
              <w:rPr>
                <w:sz w:val="20"/>
              </w:rPr>
              <w:t>24.5%</w:t>
            </w:r>
          </w:p>
        </w:tc>
      </w:tr>
      <w:tr w:rsidR="00C714A9" w14:paraId="58DE071B" w14:textId="77777777" w:rsidTr="000C11A1">
        <w:trPr>
          <w:trHeight w:val="324"/>
          <w:jc w:val="center"/>
        </w:trPr>
        <w:tc>
          <w:tcPr>
            <w:tcW w:w="1897" w:type="dxa"/>
          </w:tcPr>
          <w:p w14:paraId="23BECEA0" w14:textId="77777777" w:rsidR="00C714A9" w:rsidRPr="00203EF2" w:rsidRDefault="00C714A9" w:rsidP="006E04C3">
            <w:pPr>
              <w:pStyle w:val="FirstParaOfSectionTextStyle"/>
              <w:rPr>
                <w:sz w:val="20"/>
              </w:rPr>
            </w:pPr>
            <w:r>
              <w:rPr>
                <w:i/>
                <w:sz w:val="20"/>
              </w:rPr>
              <w:t>I took some interest</w:t>
            </w:r>
          </w:p>
        </w:tc>
        <w:tc>
          <w:tcPr>
            <w:tcW w:w="1960" w:type="dxa"/>
          </w:tcPr>
          <w:p w14:paraId="6A099116" w14:textId="77777777" w:rsidR="00C714A9" w:rsidRPr="00203EF2" w:rsidRDefault="000C11A1" w:rsidP="006E04C3">
            <w:pPr>
              <w:pStyle w:val="FirstParaOfSectionTextStyle"/>
              <w:rPr>
                <w:sz w:val="20"/>
              </w:rPr>
            </w:pPr>
            <w:r>
              <w:rPr>
                <w:sz w:val="20"/>
              </w:rPr>
              <w:t>57.8%</w:t>
            </w:r>
          </w:p>
        </w:tc>
        <w:tc>
          <w:tcPr>
            <w:tcW w:w="1643" w:type="dxa"/>
          </w:tcPr>
          <w:p w14:paraId="0C0FE558" w14:textId="77777777" w:rsidR="00C714A9" w:rsidRPr="00203EF2" w:rsidRDefault="000C11A1" w:rsidP="006E04C3">
            <w:pPr>
              <w:pStyle w:val="FirstParaOfSectionTextStyle"/>
              <w:rPr>
                <w:sz w:val="20"/>
              </w:rPr>
            </w:pPr>
            <w:r>
              <w:rPr>
                <w:sz w:val="20"/>
              </w:rPr>
              <w:t>54.5%</w:t>
            </w:r>
          </w:p>
        </w:tc>
      </w:tr>
      <w:tr w:rsidR="00C714A9" w14:paraId="63471E16" w14:textId="77777777" w:rsidTr="000C11A1">
        <w:trPr>
          <w:trHeight w:val="324"/>
          <w:jc w:val="center"/>
        </w:trPr>
        <w:tc>
          <w:tcPr>
            <w:tcW w:w="1897" w:type="dxa"/>
          </w:tcPr>
          <w:p w14:paraId="58C3821B" w14:textId="77777777" w:rsidR="00C714A9" w:rsidRDefault="00C714A9" w:rsidP="006E04C3">
            <w:pPr>
              <w:pStyle w:val="FirstParaOfSectionTextStyle"/>
              <w:rPr>
                <w:i/>
                <w:sz w:val="20"/>
              </w:rPr>
            </w:pPr>
            <w:r>
              <w:rPr>
                <w:i/>
                <w:sz w:val="20"/>
              </w:rPr>
              <w:t>I took no interest</w:t>
            </w:r>
          </w:p>
        </w:tc>
        <w:tc>
          <w:tcPr>
            <w:tcW w:w="1960" w:type="dxa"/>
          </w:tcPr>
          <w:p w14:paraId="5F6323D8" w14:textId="77777777" w:rsidR="00C714A9" w:rsidRPr="00203EF2" w:rsidRDefault="000C11A1" w:rsidP="006E04C3">
            <w:pPr>
              <w:pStyle w:val="FirstParaOfSectionTextStyle"/>
              <w:rPr>
                <w:sz w:val="20"/>
              </w:rPr>
            </w:pPr>
            <w:r>
              <w:rPr>
                <w:sz w:val="20"/>
              </w:rPr>
              <w:t>19.5%</w:t>
            </w:r>
          </w:p>
        </w:tc>
        <w:tc>
          <w:tcPr>
            <w:tcW w:w="1643" w:type="dxa"/>
          </w:tcPr>
          <w:p w14:paraId="7962EDBB" w14:textId="77777777" w:rsidR="00C714A9" w:rsidRPr="00203EF2" w:rsidRDefault="000C11A1" w:rsidP="006E04C3">
            <w:pPr>
              <w:pStyle w:val="FirstParaOfSectionTextStyle"/>
              <w:rPr>
                <w:sz w:val="20"/>
              </w:rPr>
            </w:pPr>
            <w:r>
              <w:rPr>
                <w:sz w:val="20"/>
              </w:rPr>
              <w:t>20.9%</w:t>
            </w:r>
          </w:p>
        </w:tc>
      </w:tr>
    </w:tbl>
    <w:p w14:paraId="0326EA27" w14:textId="63643F55" w:rsidR="006F5BB1" w:rsidRDefault="006F5BB1" w:rsidP="006F5BB1">
      <w:pPr>
        <w:pStyle w:val="SectionSubheading1"/>
        <w:ind w:left="270"/>
        <w:rPr>
          <w:szCs w:val="21"/>
        </w:rPr>
      </w:pPr>
      <w:r>
        <w:rPr>
          <w:szCs w:val="21"/>
        </w:rPr>
        <w:t>USG Faculty Publishing in Open Access Journals or Repositories</w:t>
      </w:r>
    </w:p>
    <w:p w14:paraId="47950C61" w14:textId="765CD91E" w:rsidR="002E12CD" w:rsidRDefault="00916B6F" w:rsidP="00B809EA">
      <w:pPr>
        <w:pStyle w:val="SubsequentParagraphsTextStyle"/>
        <w:ind w:firstLine="0"/>
      </w:pPr>
      <w:r>
        <w:t>The majority of faculty members in the USG system who publish in OA resources are tenured professors. Of the 174 participants who publish in an OA resource, 34.5% were Professors and 23.0% were a</w:t>
      </w:r>
      <w:r w:rsidR="00F90015">
        <w:t>ssociate professors (Table 1.8</w:t>
      </w:r>
      <w:r w:rsidR="002E12CD">
        <w:t>).</w:t>
      </w:r>
      <w:r>
        <w:t xml:space="preserve"> </w:t>
      </w:r>
      <w:r w:rsidR="002E12CD">
        <w:t xml:space="preserve">With tenure, faculty </w:t>
      </w:r>
      <w:r w:rsidR="00B5329F">
        <w:t xml:space="preserve">members </w:t>
      </w:r>
      <w:r w:rsidR="002E12CD">
        <w:t>have more flexibility to choose where they are going to publish and how. Junior faculty</w:t>
      </w:r>
      <w:r w:rsidR="00B5329F">
        <w:t>, on the other hand,</w:t>
      </w:r>
      <w:r w:rsidR="002E12CD">
        <w:t xml:space="preserve"> may be more interested in getting research published than in publi</w:t>
      </w:r>
      <w:r w:rsidR="00B5329F">
        <w:t xml:space="preserve">shing in an open access journal or they may be required to </w:t>
      </w:r>
      <w:r w:rsidR="00B5329F">
        <w:lastRenderedPageBreak/>
        <w:t>publish in journals identified by their school or department.  F</w:t>
      </w:r>
      <w:r w:rsidR="009E67F7">
        <w:t>aculty</w:t>
      </w:r>
      <w:r w:rsidR="00B5329F">
        <w:t xml:space="preserve"> participants</w:t>
      </w:r>
      <w:r w:rsidR="009E67F7">
        <w:t xml:space="preserve"> were asked to identify frequently used open access resources</w:t>
      </w:r>
      <w:r w:rsidR="00B5329F">
        <w:t xml:space="preserve"> to verify understanding of the concept</w:t>
      </w:r>
      <w:r w:rsidR="009E67F7">
        <w:t>. Many of the resources identified were in fact fee-based resources, like JSTOR and SAGE, but faculty did identify open access journals, pr</w:t>
      </w:r>
      <w:r w:rsidR="00B5329F">
        <w:t>ojects and government documents.</w:t>
      </w:r>
    </w:p>
    <w:p w14:paraId="38044384" w14:textId="77777777" w:rsidR="002E12CD" w:rsidRDefault="002E12CD" w:rsidP="00B5329F">
      <w:pPr>
        <w:pStyle w:val="SubsequentParagraphsTextStyle"/>
        <w:ind w:firstLine="0"/>
      </w:pPr>
    </w:p>
    <w:p w14:paraId="374B6B68" w14:textId="5D2A2594" w:rsidR="006F5BB1" w:rsidRDefault="00F90015" w:rsidP="00466C48">
      <w:pPr>
        <w:pStyle w:val="TableFigureHeader"/>
      </w:pPr>
      <w:r>
        <w:t>Table 1.8</w:t>
      </w:r>
      <w:r w:rsidR="00916B6F">
        <w:t>: OA Publishing by Rank</w:t>
      </w:r>
    </w:p>
    <w:tbl>
      <w:tblPr>
        <w:tblStyle w:val="TableGrid"/>
        <w:tblW w:w="0" w:type="auto"/>
        <w:jc w:val="center"/>
        <w:tblLook w:val="04A0" w:firstRow="1" w:lastRow="0" w:firstColumn="1" w:lastColumn="0" w:noHBand="0" w:noVBand="1"/>
      </w:tblPr>
      <w:tblGrid>
        <w:gridCol w:w="2101"/>
        <w:gridCol w:w="2780"/>
      </w:tblGrid>
      <w:tr w:rsidR="00466C48" w14:paraId="7B4E1666" w14:textId="77777777" w:rsidTr="00466C48">
        <w:trPr>
          <w:trHeight w:val="310"/>
          <w:jc w:val="center"/>
        </w:trPr>
        <w:tc>
          <w:tcPr>
            <w:tcW w:w="2101" w:type="dxa"/>
          </w:tcPr>
          <w:p w14:paraId="54645FDD" w14:textId="77777777" w:rsidR="00466C48" w:rsidRPr="00203EF2" w:rsidRDefault="00466C48" w:rsidP="00466C48">
            <w:pPr>
              <w:pStyle w:val="FirstParaOfSectionTextStyle"/>
              <w:rPr>
                <w:sz w:val="20"/>
              </w:rPr>
            </w:pPr>
          </w:p>
        </w:tc>
        <w:tc>
          <w:tcPr>
            <w:tcW w:w="2780" w:type="dxa"/>
          </w:tcPr>
          <w:p w14:paraId="04A124F5" w14:textId="486CA123" w:rsidR="00466C48" w:rsidRPr="00466C48" w:rsidRDefault="00466C48" w:rsidP="00466C48">
            <w:pPr>
              <w:pStyle w:val="FirstParaOfSectionTextStyle"/>
              <w:jc w:val="left"/>
              <w:rPr>
                <w:i/>
                <w:sz w:val="20"/>
              </w:rPr>
            </w:pPr>
            <w:r w:rsidRPr="00466C48">
              <w:rPr>
                <w:bCs/>
                <w:i/>
                <w:sz w:val="20"/>
              </w:rPr>
              <w:t>R</w:t>
            </w:r>
            <w:r>
              <w:rPr>
                <w:bCs/>
                <w:i/>
                <w:sz w:val="20"/>
              </w:rPr>
              <w:t xml:space="preserve">ank of all faculty participants </w:t>
            </w:r>
            <w:r w:rsidRPr="00466C48">
              <w:rPr>
                <w:bCs/>
                <w:i/>
                <w:sz w:val="20"/>
              </w:rPr>
              <w:t>who publish in OA resources (percentage; n=174)</w:t>
            </w:r>
          </w:p>
          <w:p w14:paraId="20775B51" w14:textId="5675EA0F" w:rsidR="00466C48" w:rsidRPr="00203EF2" w:rsidRDefault="00466C48" w:rsidP="00466C48">
            <w:pPr>
              <w:pStyle w:val="FirstParaOfSectionTextStyle"/>
              <w:rPr>
                <w:i/>
                <w:sz w:val="20"/>
              </w:rPr>
            </w:pPr>
          </w:p>
        </w:tc>
      </w:tr>
      <w:tr w:rsidR="00466C48" w14:paraId="3C141F27" w14:textId="77777777" w:rsidTr="00466C48">
        <w:trPr>
          <w:trHeight w:val="310"/>
          <w:jc w:val="center"/>
        </w:trPr>
        <w:tc>
          <w:tcPr>
            <w:tcW w:w="2101" w:type="dxa"/>
          </w:tcPr>
          <w:p w14:paraId="7DBE4707" w14:textId="4F32BCD8" w:rsidR="00466C48" w:rsidRPr="00203EF2" w:rsidRDefault="00466C48" w:rsidP="00466C48">
            <w:pPr>
              <w:pStyle w:val="FirstParaOfSectionTextStyle"/>
              <w:rPr>
                <w:sz w:val="20"/>
              </w:rPr>
            </w:pPr>
            <w:r>
              <w:rPr>
                <w:i/>
                <w:sz w:val="20"/>
              </w:rPr>
              <w:t>Professor</w:t>
            </w:r>
          </w:p>
        </w:tc>
        <w:tc>
          <w:tcPr>
            <w:tcW w:w="2780" w:type="dxa"/>
          </w:tcPr>
          <w:p w14:paraId="07B7E10A" w14:textId="738C04CD" w:rsidR="00466C48" w:rsidRPr="00203EF2" w:rsidRDefault="00466C48" w:rsidP="00466C48">
            <w:pPr>
              <w:pStyle w:val="FirstParaOfSectionTextStyle"/>
              <w:rPr>
                <w:sz w:val="20"/>
              </w:rPr>
            </w:pPr>
            <w:r>
              <w:rPr>
                <w:sz w:val="20"/>
              </w:rPr>
              <w:t>34.5%</w:t>
            </w:r>
          </w:p>
        </w:tc>
      </w:tr>
      <w:tr w:rsidR="00466C48" w14:paraId="7CC09FF4" w14:textId="77777777" w:rsidTr="00466C48">
        <w:trPr>
          <w:trHeight w:val="324"/>
          <w:jc w:val="center"/>
        </w:trPr>
        <w:tc>
          <w:tcPr>
            <w:tcW w:w="2101" w:type="dxa"/>
          </w:tcPr>
          <w:p w14:paraId="6AFBED5D" w14:textId="1940D352" w:rsidR="00466C48" w:rsidRPr="00203EF2" w:rsidRDefault="00466C48" w:rsidP="00466C48">
            <w:pPr>
              <w:pStyle w:val="FirstParaOfSectionTextStyle"/>
              <w:rPr>
                <w:sz w:val="20"/>
              </w:rPr>
            </w:pPr>
            <w:r>
              <w:rPr>
                <w:i/>
                <w:sz w:val="20"/>
              </w:rPr>
              <w:t>Associate Professor</w:t>
            </w:r>
          </w:p>
        </w:tc>
        <w:tc>
          <w:tcPr>
            <w:tcW w:w="2780" w:type="dxa"/>
          </w:tcPr>
          <w:p w14:paraId="5DCDEC97" w14:textId="43535961" w:rsidR="00466C48" w:rsidRPr="00203EF2" w:rsidRDefault="00466C48" w:rsidP="00466C48">
            <w:pPr>
              <w:pStyle w:val="FirstParaOfSectionTextStyle"/>
              <w:rPr>
                <w:sz w:val="20"/>
              </w:rPr>
            </w:pPr>
            <w:r>
              <w:rPr>
                <w:sz w:val="20"/>
              </w:rPr>
              <w:t>23.0%</w:t>
            </w:r>
          </w:p>
        </w:tc>
      </w:tr>
      <w:tr w:rsidR="00466C48" w14:paraId="3A3E684E" w14:textId="77777777" w:rsidTr="00466C48">
        <w:trPr>
          <w:trHeight w:val="324"/>
          <w:jc w:val="center"/>
        </w:trPr>
        <w:tc>
          <w:tcPr>
            <w:tcW w:w="2101" w:type="dxa"/>
          </w:tcPr>
          <w:p w14:paraId="04C553B2" w14:textId="48177756" w:rsidR="00466C48" w:rsidRDefault="00466C48" w:rsidP="00466C48">
            <w:pPr>
              <w:pStyle w:val="FirstParaOfSectionTextStyle"/>
              <w:rPr>
                <w:i/>
                <w:sz w:val="20"/>
              </w:rPr>
            </w:pPr>
            <w:r>
              <w:rPr>
                <w:i/>
                <w:sz w:val="20"/>
              </w:rPr>
              <w:t>Assistant Professor</w:t>
            </w:r>
          </w:p>
        </w:tc>
        <w:tc>
          <w:tcPr>
            <w:tcW w:w="2780" w:type="dxa"/>
          </w:tcPr>
          <w:p w14:paraId="2128977A" w14:textId="51FE6BD9" w:rsidR="00466C48" w:rsidRPr="00203EF2" w:rsidRDefault="00466C48" w:rsidP="00466C48">
            <w:pPr>
              <w:pStyle w:val="FirstParaOfSectionTextStyle"/>
              <w:rPr>
                <w:sz w:val="20"/>
              </w:rPr>
            </w:pPr>
            <w:r>
              <w:rPr>
                <w:sz w:val="20"/>
              </w:rPr>
              <w:t>21.8%</w:t>
            </w:r>
          </w:p>
        </w:tc>
      </w:tr>
      <w:tr w:rsidR="00466C48" w14:paraId="5A4457D3" w14:textId="77777777" w:rsidTr="00466C48">
        <w:trPr>
          <w:trHeight w:val="324"/>
          <w:jc w:val="center"/>
        </w:trPr>
        <w:tc>
          <w:tcPr>
            <w:tcW w:w="2101" w:type="dxa"/>
          </w:tcPr>
          <w:p w14:paraId="14E2AEC6" w14:textId="0AEA2A6C" w:rsidR="00466C48" w:rsidRDefault="00466C48" w:rsidP="00466C48">
            <w:pPr>
              <w:pStyle w:val="FirstParaOfSectionTextStyle"/>
              <w:rPr>
                <w:i/>
                <w:sz w:val="20"/>
              </w:rPr>
            </w:pPr>
            <w:r>
              <w:rPr>
                <w:i/>
                <w:sz w:val="20"/>
              </w:rPr>
              <w:t>Instructor</w:t>
            </w:r>
          </w:p>
        </w:tc>
        <w:tc>
          <w:tcPr>
            <w:tcW w:w="2780" w:type="dxa"/>
          </w:tcPr>
          <w:p w14:paraId="5757B194" w14:textId="4DC80D66" w:rsidR="00466C48" w:rsidRDefault="00466C48" w:rsidP="00466C48">
            <w:pPr>
              <w:pStyle w:val="FirstParaOfSectionTextStyle"/>
              <w:rPr>
                <w:sz w:val="20"/>
              </w:rPr>
            </w:pPr>
            <w:r>
              <w:rPr>
                <w:sz w:val="20"/>
              </w:rPr>
              <w:t>6.3%</w:t>
            </w:r>
          </w:p>
        </w:tc>
      </w:tr>
      <w:tr w:rsidR="00466C48" w14:paraId="26408207" w14:textId="77777777" w:rsidTr="00466C48">
        <w:trPr>
          <w:trHeight w:val="324"/>
          <w:jc w:val="center"/>
        </w:trPr>
        <w:tc>
          <w:tcPr>
            <w:tcW w:w="2101" w:type="dxa"/>
          </w:tcPr>
          <w:p w14:paraId="560BEB1B" w14:textId="13C8FED1" w:rsidR="00466C48" w:rsidRDefault="00466C48" w:rsidP="00466C48">
            <w:pPr>
              <w:pStyle w:val="FirstParaOfSectionTextStyle"/>
              <w:rPr>
                <w:i/>
                <w:sz w:val="20"/>
              </w:rPr>
            </w:pPr>
            <w:r>
              <w:rPr>
                <w:i/>
                <w:sz w:val="20"/>
              </w:rPr>
              <w:t>Other</w:t>
            </w:r>
          </w:p>
        </w:tc>
        <w:tc>
          <w:tcPr>
            <w:tcW w:w="2780" w:type="dxa"/>
          </w:tcPr>
          <w:p w14:paraId="2247597B" w14:textId="0EB6D6F4" w:rsidR="00466C48" w:rsidRDefault="00466C48" w:rsidP="00466C48">
            <w:pPr>
              <w:pStyle w:val="FirstParaOfSectionTextStyle"/>
              <w:rPr>
                <w:sz w:val="20"/>
              </w:rPr>
            </w:pPr>
            <w:r>
              <w:rPr>
                <w:sz w:val="20"/>
              </w:rPr>
              <w:t>14.4%</w:t>
            </w:r>
          </w:p>
        </w:tc>
      </w:tr>
    </w:tbl>
    <w:p w14:paraId="3A5A1546" w14:textId="77777777" w:rsidR="00C714A9" w:rsidRPr="00203EF2" w:rsidRDefault="00C714A9" w:rsidP="00C714A9">
      <w:pPr>
        <w:pStyle w:val="TableFigureHeader"/>
        <w:ind w:left="409"/>
      </w:pPr>
    </w:p>
    <w:p w14:paraId="75A4F72E" w14:textId="3498B3D4" w:rsidR="007B4E97" w:rsidRDefault="007B4E97" w:rsidP="00EB5495">
      <w:pPr>
        <w:pStyle w:val="SectionSubheading1"/>
        <w:rPr>
          <w:szCs w:val="21"/>
        </w:rPr>
      </w:pPr>
      <w:r>
        <w:rPr>
          <w:szCs w:val="21"/>
        </w:rPr>
        <w:t xml:space="preserve">USG Faculty </w:t>
      </w:r>
      <w:r w:rsidR="00077FF6">
        <w:rPr>
          <w:szCs w:val="21"/>
        </w:rPr>
        <w:t>Perceptions of</w:t>
      </w:r>
      <w:r>
        <w:rPr>
          <w:szCs w:val="21"/>
        </w:rPr>
        <w:t xml:space="preserve"> Open Access</w:t>
      </w:r>
    </w:p>
    <w:p w14:paraId="2CEEEBC2" w14:textId="22DC3C45" w:rsidR="00C714A9" w:rsidRPr="00203EF2" w:rsidRDefault="00077FF6" w:rsidP="00B809EA">
      <w:pPr>
        <w:pStyle w:val="TableFigureHeader"/>
        <w:spacing w:before="0" w:after="0"/>
        <w:jc w:val="left"/>
      </w:pPr>
      <w:r>
        <w:t>In the survey, USG f</w:t>
      </w:r>
      <w:r w:rsidR="009E67F7">
        <w:t>aculty</w:t>
      </w:r>
      <w:r>
        <w:t xml:space="preserve"> participants</w:t>
      </w:r>
      <w:r w:rsidR="009E67F7">
        <w:t xml:space="preserve"> </w:t>
      </w:r>
      <w:r>
        <w:t xml:space="preserve">answered </w:t>
      </w:r>
      <w:r w:rsidR="009E67F7">
        <w:t xml:space="preserve">several questions about open access publications and publishing. 51.4% </w:t>
      </w:r>
      <w:proofErr w:type="gramStart"/>
      <w:r w:rsidR="009E67F7">
        <w:t>Strongly</w:t>
      </w:r>
      <w:proofErr w:type="gramEnd"/>
      <w:r w:rsidR="009E67F7">
        <w:t xml:space="preserve"> Agreed or Agreed that fewer articles would be rejected in an open access journal. 47.1% either Disagreed or Strongly Disagreed that article quality would improve with open access publishing. More than 30% Agreed or Strongly Agreed that articles would become less concise.</w:t>
      </w:r>
      <w:r w:rsidR="00051F9C">
        <w:t xml:space="preserve"> In other words, open access leads to an increase in the quantity of articles and quality may suffer.</w:t>
      </w:r>
    </w:p>
    <w:p w14:paraId="75D11FDF" w14:textId="41FDCF61" w:rsidR="00466C48" w:rsidRPr="00034D47" w:rsidRDefault="00077FF6" w:rsidP="00B809EA">
      <w:pPr>
        <w:spacing w:after="0"/>
        <w:ind w:firstLine="270"/>
        <w:rPr>
          <w:rFonts w:cstheme="minorHAnsi"/>
          <w:sz w:val="20"/>
          <w:szCs w:val="20"/>
        </w:rPr>
      </w:pPr>
      <w:r>
        <w:rPr>
          <w:rFonts w:cstheme="minorHAnsi"/>
          <w:sz w:val="20"/>
          <w:szCs w:val="20"/>
        </w:rPr>
        <w:t xml:space="preserve">Despite the growth in open access publishing options, a </w:t>
      </w:r>
      <w:r w:rsidR="00034D47" w:rsidRPr="00034D47">
        <w:rPr>
          <w:rFonts w:cstheme="minorHAnsi"/>
          <w:sz w:val="20"/>
          <w:szCs w:val="20"/>
        </w:rPr>
        <w:t>majority of</w:t>
      </w:r>
      <w:r>
        <w:rPr>
          <w:rFonts w:cstheme="minorHAnsi"/>
          <w:sz w:val="20"/>
          <w:szCs w:val="20"/>
        </w:rPr>
        <w:t xml:space="preserve"> USG survey</w:t>
      </w:r>
      <w:r w:rsidR="00034D47" w:rsidRPr="00034D47">
        <w:rPr>
          <w:rFonts w:cstheme="minorHAnsi"/>
          <w:sz w:val="20"/>
          <w:szCs w:val="20"/>
        </w:rPr>
        <w:t xml:space="preserve"> participants associate open access journals with “predatory publishers” or “author pays to publish”. Faculty do not associate (30.9% of the partner responses and 25.9% of all responses) high quality with open access journals. More than half of respondents quite strongly associated or very strongly associated “no hard copy jou</w:t>
      </w:r>
      <w:r w:rsidR="00034D47">
        <w:rPr>
          <w:rFonts w:cstheme="minorHAnsi"/>
          <w:sz w:val="20"/>
          <w:szCs w:val="20"/>
        </w:rPr>
        <w:t>rnal” with open access journal</w:t>
      </w:r>
      <w:r w:rsidR="00466C48">
        <w:rPr>
          <w:rFonts w:cstheme="minorHAnsi"/>
          <w:sz w:val="20"/>
          <w:szCs w:val="20"/>
        </w:rPr>
        <w:t>.</w:t>
      </w:r>
    </w:p>
    <w:p w14:paraId="63C3978F" w14:textId="77777777" w:rsidR="00572C95" w:rsidRDefault="00572C95" w:rsidP="00572C95">
      <w:pPr>
        <w:pStyle w:val="SectionSubheading1"/>
      </w:pPr>
      <w:r>
        <w:t>Adoption and Diffusion of Innovation</w:t>
      </w:r>
    </w:p>
    <w:p w14:paraId="71DC298D" w14:textId="1F64EAD4" w:rsidR="00572C95" w:rsidRDefault="00572C95" w:rsidP="00572C95">
      <w:pPr>
        <w:pStyle w:val="SubsequentParagraphsTextStyle"/>
        <w:ind w:firstLine="0"/>
      </w:pPr>
      <w:r>
        <w:t>As new technologies and practices are introduced, they are adopted by members of a community over time.</w:t>
      </w:r>
      <w:r w:rsidRPr="00DD00F1">
        <w:t xml:space="preserve"> According to Rogers (2003), adoption of an innovation is divided into five categories: Innovators, Early Adopters, Early Majority, Late Majority, and Laggards.  In a normal distribution, the first 2.5% of adopters are considered Innovators while the following 13.5% are the Early Adopters. Early Majority (34%) and the Late Majority (34%) fall in the center of the distribution. The Laggards compose the final 16% in the distribution’s tail. The process of adoption over time can be represented by a bell curve or a normal distribution. </w:t>
      </w:r>
      <w:r>
        <w:t xml:space="preserve">Based on the participant surveys, 28.1% (95% CI, 24.2, </w:t>
      </w:r>
      <w:proofErr w:type="gramStart"/>
      <w:r>
        <w:t>32.1</w:t>
      </w:r>
      <w:proofErr w:type="gramEnd"/>
      <w:r>
        <w:t xml:space="preserve">) of USG faculty members are publishing in open access journals or repositories placing adoption of open access publishing at the Early Majority stage. However, individual adoption and author submission of articles does not correlate to GKR publishing habits. </w:t>
      </w:r>
    </w:p>
    <w:p w14:paraId="0D25E562" w14:textId="1E40E9F9" w:rsidR="00572C95" w:rsidRDefault="00572C95" w:rsidP="00051F9C">
      <w:pPr>
        <w:pStyle w:val="SubsequentParagraphsTextStyle"/>
      </w:pPr>
      <w:r w:rsidRPr="00EB5495">
        <w:t xml:space="preserve">Interpersonal relationships may affect adoption rate because interpersonal networks and relationships increase diffusion (Rogers, 2003). Those developing the repositories, liaison librarians identifying content, and faculty may or may not have relationships with each other. This may be especially true if the repository project is located in </w:t>
      </w:r>
      <w:r>
        <w:t>t</w:t>
      </w:r>
      <w:r w:rsidRPr="00EB5495">
        <w:t>echnical services or a systems department</w:t>
      </w:r>
      <w:r>
        <w:t xml:space="preserve"> with in the library</w:t>
      </w:r>
      <w:r w:rsidRPr="00EB5495">
        <w:t xml:space="preserve"> that does not regularly interact with faculty members.  Repository developers from </w:t>
      </w:r>
      <w:r w:rsidRPr="00EB5495">
        <w:lastRenderedPageBreak/>
        <w:t>these areas need to develop relationships with other librarians and faculty; relationships that may not have been necessary before</w:t>
      </w:r>
      <w:r>
        <w:t xml:space="preserve"> repository </w:t>
      </w:r>
      <w:r w:rsidRPr="00EB5495">
        <w:t>development</w:t>
      </w:r>
      <w:r>
        <w:t>.</w:t>
      </w:r>
    </w:p>
    <w:p w14:paraId="01DDA6E3" w14:textId="07FEA826" w:rsidR="00572C95" w:rsidRPr="00EB5495" w:rsidRDefault="00852C93" w:rsidP="00572C95">
      <w:pPr>
        <w:pStyle w:val="SubsequentParagraphsTextStyle"/>
      </w:pPr>
      <w:proofErr w:type="spellStart"/>
      <w:r w:rsidRPr="00FA73B6">
        <w:rPr>
          <w:rStyle w:val="medium-normal"/>
        </w:rPr>
        <w:t>Starkweather</w:t>
      </w:r>
      <w:proofErr w:type="spellEnd"/>
      <w:r w:rsidRPr="00FA73B6">
        <w:rPr>
          <w:rStyle w:val="medium-normal"/>
        </w:rPr>
        <w:t xml:space="preserve"> and </w:t>
      </w:r>
      <w:proofErr w:type="spellStart"/>
      <w:r w:rsidRPr="00FA73B6">
        <w:rPr>
          <w:rStyle w:val="medium-normal"/>
        </w:rPr>
        <w:t>Wallin</w:t>
      </w:r>
      <w:proofErr w:type="spellEnd"/>
      <w:r w:rsidRPr="00FA73B6">
        <w:rPr>
          <w:rStyle w:val="medium-normal"/>
        </w:rPr>
        <w:t xml:space="preserve"> (1999) examined faculty adoption and use of computer technologies in libraries. They found that late majority faculty “preferred to learn about new technologies only when they actually needed them” (</w:t>
      </w:r>
      <w:proofErr w:type="spellStart"/>
      <w:r w:rsidRPr="00FA73B6">
        <w:rPr>
          <w:rStyle w:val="medium-normal"/>
        </w:rPr>
        <w:t>Starkweather</w:t>
      </w:r>
      <w:proofErr w:type="spellEnd"/>
      <w:r w:rsidRPr="00FA73B6">
        <w:rPr>
          <w:rStyle w:val="medium-normal"/>
        </w:rPr>
        <w:t xml:space="preserve"> </w:t>
      </w:r>
      <w:r>
        <w:rPr>
          <w:rStyle w:val="medium-normal"/>
        </w:rPr>
        <w:t>&amp;</w:t>
      </w:r>
      <w:r w:rsidRPr="00FA73B6">
        <w:rPr>
          <w:rStyle w:val="medium-normal"/>
        </w:rPr>
        <w:t xml:space="preserve"> </w:t>
      </w:r>
      <w:proofErr w:type="spellStart"/>
      <w:r w:rsidRPr="00FA73B6">
        <w:rPr>
          <w:rStyle w:val="medium-normal"/>
        </w:rPr>
        <w:t>Wallin</w:t>
      </w:r>
      <w:proofErr w:type="spellEnd"/>
      <w:r w:rsidRPr="00FA73B6">
        <w:rPr>
          <w:rStyle w:val="medium-normal"/>
        </w:rPr>
        <w:t>, 1999, p.660). If this preference is true for institutional repositories, some faculty may never participate in a collection because the current scholarly publishing outlets serve their needs.</w:t>
      </w:r>
      <w:r>
        <w:rPr>
          <w:rStyle w:val="medium-normal"/>
        </w:rPr>
        <w:t xml:space="preserve"> On the other hand, f</w:t>
      </w:r>
      <w:r w:rsidR="00572C95" w:rsidRPr="00EB5495">
        <w:t xml:space="preserve">aculty may be unwilling to submit items to the repository based on perceived attributes (Rogers, 2003). </w:t>
      </w:r>
      <w:r w:rsidR="00572C95">
        <w:t>Submission</w:t>
      </w:r>
      <w:r w:rsidR="00572C95" w:rsidRPr="00EB5495">
        <w:t xml:space="preserve"> menus can be complex and difficult to understand and the organizational system difficult to follow. </w:t>
      </w:r>
      <w:r w:rsidR="00572C95">
        <w:t xml:space="preserve">Submitting articles is an additional task to be added to a workflow after publication. Without an institutional mandate, institutional reward or a simple structure for submission, depositing materials in the repository is not a high priority for faculty members. In addition, faculty may submit materials to a subject repository, placing research articles with a scholarly research community rather than an institutional one. </w:t>
      </w:r>
      <w:r w:rsidR="00572C95" w:rsidRPr="00EB5495">
        <w:t xml:space="preserve">At many sites, </w:t>
      </w:r>
      <w:r w:rsidR="00572C95">
        <w:t>GKR</w:t>
      </w:r>
      <w:r w:rsidR="00572C95" w:rsidRPr="00EB5495">
        <w:t xml:space="preserve"> administrators are loading items for</w:t>
      </w:r>
      <w:r w:rsidR="00572C95">
        <w:t xml:space="preserve"> faculty and easing the process. Some administrators are capturing content on websites or in other open access repositories for inclusion, by-passing faculty.</w:t>
      </w:r>
    </w:p>
    <w:p w14:paraId="2F58147A" w14:textId="77777777" w:rsidR="00572C95" w:rsidRPr="00EB5495" w:rsidRDefault="00572C95" w:rsidP="00572C95">
      <w:pPr>
        <w:pStyle w:val="SubsequentParagraphsTextStyle"/>
      </w:pPr>
      <w:r>
        <w:t>Explicitness may</w:t>
      </w:r>
      <w:r w:rsidRPr="00EB5495">
        <w:t xml:space="preserve"> affect adoption (Rogers, 2003). The goals and rationale of the repository</w:t>
      </w:r>
      <w:r>
        <w:t xml:space="preserve"> and open access publishing</w:t>
      </w:r>
      <w:r w:rsidRPr="00EB5495">
        <w:t xml:space="preserve"> may not be clear to faculty </w:t>
      </w:r>
      <w:r>
        <w:t>and, thus, not a priority</w:t>
      </w:r>
      <w:r w:rsidRPr="00EB5495">
        <w:t>. While the advantage for faculty is higher citation rates, these benefits may not be observable at the outset (</w:t>
      </w:r>
      <w:proofErr w:type="spellStart"/>
      <w:r w:rsidRPr="00EB5495">
        <w:t>Harnad</w:t>
      </w:r>
      <w:proofErr w:type="spellEnd"/>
      <w:r w:rsidRPr="00EB5495">
        <w:t xml:space="preserve"> and Brody, 2004). The motivating factors for developing a repository are not very explicit, and few sites have developed a narrative to explain what the repository is</w:t>
      </w:r>
      <w:r>
        <w:t xml:space="preserve"> and why faculty should consider open access publishing (Campbell-Meier, 2008)</w:t>
      </w:r>
      <w:r w:rsidRPr="00EB5495">
        <w:t>.</w:t>
      </w:r>
    </w:p>
    <w:p w14:paraId="57F05F69" w14:textId="3B5CC1CF" w:rsidR="00EB5495" w:rsidRPr="00DD00F1" w:rsidRDefault="00FF7736" w:rsidP="00051F9C">
      <w:pPr>
        <w:pStyle w:val="SectionHeadings"/>
      </w:pPr>
      <w:r>
        <w:t>Conclusions</w:t>
      </w:r>
    </w:p>
    <w:p w14:paraId="1EE4AB17" w14:textId="77777777" w:rsidR="00A6038A" w:rsidRDefault="000C11A1" w:rsidP="00201A4E">
      <w:pPr>
        <w:pStyle w:val="SectionSubheading1"/>
        <w:rPr>
          <w:szCs w:val="21"/>
        </w:rPr>
      </w:pPr>
      <w:r>
        <w:rPr>
          <w:szCs w:val="21"/>
        </w:rPr>
        <w:t xml:space="preserve">Bridging Gaps </w:t>
      </w:r>
      <w:proofErr w:type="gramStart"/>
      <w:r>
        <w:rPr>
          <w:szCs w:val="21"/>
        </w:rPr>
        <w:t>Between</w:t>
      </w:r>
      <w:proofErr w:type="gramEnd"/>
      <w:r>
        <w:rPr>
          <w:szCs w:val="21"/>
        </w:rPr>
        <w:t xml:space="preserve"> Librarians and Faculty</w:t>
      </w:r>
    </w:p>
    <w:p w14:paraId="45844368" w14:textId="56405D58" w:rsidR="00201A4E" w:rsidRPr="00201A4E" w:rsidRDefault="00201A4E" w:rsidP="00B809EA">
      <w:pPr>
        <w:pStyle w:val="SectionSubheading1"/>
        <w:spacing w:after="0"/>
        <w:rPr>
          <w:b w:val="0"/>
          <w:i w:val="0"/>
          <w:sz w:val="20"/>
        </w:rPr>
      </w:pPr>
      <w:r>
        <w:rPr>
          <w:b w:val="0"/>
          <w:i w:val="0"/>
          <w:sz w:val="20"/>
        </w:rPr>
        <w:t>On college and university campuses, open access initiatives are often developed from a library perspective. Traditionally, libraries have been seen as a storehouse of information, not as a publisher. While librarians have clearly identified the benefits for using and adopting open access practices, many faculty members are not necessarily aware of the open access opportunities publishing available (Campbell-Meier, 2008).</w:t>
      </w:r>
      <w:r w:rsidR="00852C93">
        <w:rPr>
          <w:b w:val="0"/>
          <w:i w:val="0"/>
          <w:sz w:val="20"/>
        </w:rPr>
        <w:t xml:space="preserve"> </w:t>
      </w:r>
      <w:proofErr w:type="spellStart"/>
      <w:r w:rsidR="00852C93" w:rsidRPr="00852C93">
        <w:rPr>
          <w:b w:val="0"/>
          <w:i w:val="0"/>
          <w:sz w:val="20"/>
        </w:rPr>
        <w:t>Starkweather</w:t>
      </w:r>
      <w:proofErr w:type="spellEnd"/>
      <w:r w:rsidR="00852C93" w:rsidRPr="00852C93">
        <w:rPr>
          <w:b w:val="0"/>
          <w:i w:val="0"/>
          <w:sz w:val="20"/>
        </w:rPr>
        <w:t xml:space="preserve"> and </w:t>
      </w:r>
      <w:proofErr w:type="spellStart"/>
      <w:r w:rsidR="00852C93" w:rsidRPr="00852C93">
        <w:rPr>
          <w:b w:val="0"/>
          <w:i w:val="0"/>
          <w:sz w:val="20"/>
        </w:rPr>
        <w:t>Wallin</w:t>
      </w:r>
      <w:proofErr w:type="spellEnd"/>
      <w:r w:rsidR="00852C93" w:rsidRPr="00852C93">
        <w:rPr>
          <w:b w:val="0"/>
          <w:i w:val="0"/>
          <w:sz w:val="20"/>
        </w:rPr>
        <w:t xml:space="preserve"> (1999) examined faculty adoption and use of computer technologies in libraries. They found that late majority faculty “preferred to learn about new technologies only when they actually needed them” (</w:t>
      </w:r>
      <w:proofErr w:type="spellStart"/>
      <w:r w:rsidR="00852C93" w:rsidRPr="00852C93">
        <w:rPr>
          <w:b w:val="0"/>
          <w:i w:val="0"/>
          <w:sz w:val="20"/>
        </w:rPr>
        <w:t>Starkweather</w:t>
      </w:r>
      <w:proofErr w:type="spellEnd"/>
      <w:r w:rsidR="00852C93" w:rsidRPr="00852C93">
        <w:rPr>
          <w:b w:val="0"/>
          <w:i w:val="0"/>
          <w:sz w:val="20"/>
        </w:rPr>
        <w:t xml:space="preserve"> &amp; </w:t>
      </w:r>
      <w:proofErr w:type="spellStart"/>
      <w:r w:rsidR="00852C93" w:rsidRPr="00852C93">
        <w:rPr>
          <w:b w:val="0"/>
          <w:i w:val="0"/>
          <w:sz w:val="20"/>
        </w:rPr>
        <w:t>Wallin</w:t>
      </w:r>
      <w:proofErr w:type="spellEnd"/>
      <w:r w:rsidR="00852C93" w:rsidRPr="00852C93">
        <w:rPr>
          <w:b w:val="0"/>
          <w:i w:val="0"/>
          <w:sz w:val="20"/>
        </w:rPr>
        <w:t>, 1999, p.660). If this preference is true for institutional repositories, some faculty may never participate in a collection because the current scholarly publishing outlets serve their needs.</w:t>
      </w:r>
    </w:p>
    <w:p w14:paraId="373685BB" w14:textId="1365232E" w:rsidR="00FF7736" w:rsidRDefault="00655B26" w:rsidP="00B809EA">
      <w:pPr>
        <w:pStyle w:val="SubsequentParagraphsTextStyle"/>
      </w:pPr>
      <w:r>
        <w:t>Educational opportunities may be developed from the library, a scholarly communications office or through a center for teaching and learning on a university campus. These educational opportunities should cover topics such as a</w:t>
      </w:r>
      <w:r w:rsidR="00A6038A" w:rsidRPr="00A6038A">
        <w:t>uthor rights</w:t>
      </w:r>
      <w:r>
        <w:t xml:space="preserve"> and the identification of high quality open access materials. Frequently faculty members are unaware of their rights within publisher agreements and are not sure whether they can archive your work online or s</w:t>
      </w:r>
      <w:r w:rsidR="00A6038A" w:rsidRPr="00A6038A">
        <w:t>hare</w:t>
      </w:r>
      <w:r>
        <w:t xml:space="preserve"> it with colleagues and students. The open access publishing landscape is complicated. Journals may be considered green, gold or require authors to pay additional fees to allow posting of accepted articles in repositories. Quality online journals are available open access and many traditional scholarly publishers offer open access journals in parallel with their traditional subscription-based journals. I</w:t>
      </w:r>
      <w:r w:rsidR="00A6038A" w:rsidRPr="00A6038A">
        <w:t>dentify</w:t>
      </w:r>
      <w:r>
        <w:t xml:space="preserve">ing resources like the </w:t>
      </w:r>
      <w:r w:rsidR="00A6038A" w:rsidRPr="00A6038A">
        <w:t>Directory of Open Access Journals</w:t>
      </w:r>
      <w:r>
        <w:t>, a list of</w:t>
      </w:r>
      <w:r w:rsidR="00A6038A" w:rsidRPr="00A6038A">
        <w:t xml:space="preserve"> thousands of open access journals, </w:t>
      </w:r>
      <w:r>
        <w:t xml:space="preserve">or SHERPA ROMEO, a tool that allows users to </w:t>
      </w:r>
      <w:r w:rsidR="00A6038A" w:rsidRPr="00A6038A">
        <w:t xml:space="preserve">search for </w:t>
      </w:r>
      <w:r>
        <w:t>p</w:t>
      </w:r>
      <w:r w:rsidR="00A6038A" w:rsidRPr="00A6038A">
        <w:t xml:space="preserve">ublisher copyright </w:t>
      </w:r>
      <w:r>
        <w:t>and</w:t>
      </w:r>
      <w:r w:rsidRPr="00A6038A">
        <w:t xml:space="preserve"> self-archiving </w:t>
      </w:r>
      <w:r>
        <w:t>policies.</w:t>
      </w:r>
      <w:bookmarkEnd w:id="0"/>
    </w:p>
    <w:p w14:paraId="5BC8A3FC" w14:textId="2A03491F" w:rsidR="00E21F85" w:rsidRPr="00034D47" w:rsidRDefault="00034D47" w:rsidP="00B809EA">
      <w:pPr>
        <w:pStyle w:val="SubsequentParagraphsTextStyle"/>
      </w:pPr>
      <w:r>
        <w:t>There is faculty support for open access resources, like repositories within the USG system and faculty support the collection of scholarly works. With education and support from repository developers on a campus,</w:t>
      </w:r>
      <w:r w:rsidR="0017126F">
        <w:t xml:space="preserve"> as well as university administration,</w:t>
      </w:r>
      <w:r>
        <w:t xml:space="preserve"> open access publishing can flourish within the USG system.</w:t>
      </w:r>
      <w:r w:rsidR="00F90015">
        <w:t xml:space="preserve"> However, without mandates it is unclear whether faculty members within the USG system will adopt this new publishing practice. Instead, of focusing on faculty submissions, </w:t>
      </w:r>
      <w:r w:rsidR="00F90015">
        <w:lastRenderedPageBreak/>
        <w:t>library systems may need to expand programs that identify open access research published by university faculty in other venues.</w:t>
      </w:r>
      <w:r w:rsidR="00852C93" w:rsidRPr="00852C93">
        <w:rPr>
          <w:rStyle w:val="medium-normal"/>
        </w:rPr>
        <w:t xml:space="preserve"> </w:t>
      </w:r>
      <w:r w:rsidR="00E21F85">
        <w:br w:type="page"/>
      </w:r>
    </w:p>
    <w:bookmarkEnd w:id="1"/>
    <w:p w14:paraId="3B47D1B0" w14:textId="77777777" w:rsidR="002A019C" w:rsidRPr="00203EF2" w:rsidRDefault="002A019C" w:rsidP="00203EF2">
      <w:pPr>
        <w:pStyle w:val="ReferencesHeading"/>
      </w:pPr>
      <w:r w:rsidRPr="00203EF2">
        <w:lastRenderedPageBreak/>
        <w:t>REFERENCES</w:t>
      </w:r>
    </w:p>
    <w:p w14:paraId="24F6CB44" w14:textId="448A5249" w:rsidR="00532764" w:rsidRPr="00532764" w:rsidRDefault="00532764" w:rsidP="00F877CC">
      <w:pPr>
        <w:pStyle w:val="NormalWeb"/>
        <w:ind w:left="450" w:hanging="450"/>
        <w:rPr>
          <w:rFonts w:asciiTheme="majorHAnsi" w:hAnsiTheme="majorHAnsi" w:cstheme="majorHAnsi"/>
          <w:sz w:val="20"/>
          <w:szCs w:val="20"/>
        </w:rPr>
      </w:pPr>
      <w:r w:rsidRPr="00532764">
        <w:rPr>
          <w:rFonts w:asciiTheme="majorHAnsi" w:hAnsiTheme="majorHAnsi" w:cstheme="majorHAnsi"/>
          <w:sz w:val="20"/>
          <w:szCs w:val="20"/>
        </w:rPr>
        <w:t xml:space="preserve">Anderson, Davis Erin, Grace Dwyer, and Sean Leahy. Fine-tuning the institutional repository: Evaluating the self-archiving behavior of researchers in music. </w:t>
      </w:r>
      <w:r w:rsidRPr="00532764">
        <w:rPr>
          <w:rFonts w:asciiTheme="majorHAnsi" w:hAnsiTheme="majorHAnsi" w:cstheme="majorHAnsi"/>
          <w:i/>
          <w:iCs/>
          <w:sz w:val="20"/>
          <w:szCs w:val="20"/>
        </w:rPr>
        <w:t>Serials Librarian</w:t>
      </w:r>
      <w:r w:rsidR="00796CEC">
        <w:rPr>
          <w:rFonts w:asciiTheme="majorHAnsi" w:hAnsiTheme="majorHAnsi" w:cstheme="majorHAnsi"/>
          <w:sz w:val="20"/>
          <w:szCs w:val="20"/>
        </w:rPr>
        <w:t xml:space="preserve"> 63.3 (2012</w:t>
      </w:r>
      <w:r w:rsidR="00F877CC">
        <w:rPr>
          <w:rFonts w:asciiTheme="majorHAnsi" w:hAnsiTheme="majorHAnsi" w:cstheme="majorHAnsi"/>
          <w:sz w:val="20"/>
          <w:szCs w:val="20"/>
        </w:rPr>
        <w:t>): 277-87</w:t>
      </w:r>
      <w:r w:rsidRPr="00532764">
        <w:rPr>
          <w:rFonts w:asciiTheme="majorHAnsi" w:hAnsiTheme="majorHAnsi" w:cstheme="majorHAnsi"/>
          <w:sz w:val="20"/>
          <w:szCs w:val="20"/>
        </w:rPr>
        <w:t xml:space="preserve">. </w:t>
      </w:r>
    </w:p>
    <w:p w14:paraId="2AE0A547" w14:textId="4F4F221A" w:rsidR="00532764" w:rsidRPr="00532764" w:rsidRDefault="00796CEC"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t>Campbell-Meier, Jennifer</w:t>
      </w:r>
      <w:r w:rsidR="00532764" w:rsidRPr="00532764">
        <w:rPr>
          <w:rFonts w:asciiTheme="majorHAnsi" w:hAnsiTheme="majorHAnsi" w:cstheme="majorHAnsi"/>
          <w:sz w:val="20"/>
          <w:szCs w:val="20"/>
        </w:rPr>
        <w:t xml:space="preserve">. A framework for institutional repository development. </w:t>
      </w:r>
      <w:r w:rsidR="00532764" w:rsidRPr="00532764">
        <w:rPr>
          <w:rFonts w:asciiTheme="majorHAnsi" w:hAnsiTheme="majorHAnsi" w:cstheme="majorHAnsi"/>
          <w:i/>
          <w:iCs/>
          <w:sz w:val="20"/>
          <w:szCs w:val="20"/>
        </w:rPr>
        <w:t>Advances in Library Administration and Organization</w:t>
      </w:r>
      <w:r w:rsidR="00532764" w:rsidRPr="00532764">
        <w:rPr>
          <w:rFonts w:asciiTheme="majorHAnsi" w:hAnsiTheme="majorHAnsi" w:cstheme="majorHAnsi"/>
          <w:sz w:val="20"/>
          <w:szCs w:val="20"/>
        </w:rPr>
        <w:t xml:space="preserve"> 30</w:t>
      </w:r>
      <w:r>
        <w:rPr>
          <w:rFonts w:asciiTheme="majorHAnsi" w:hAnsiTheme="majorHAnsi" w:cstheme="majorHAnsi"/>
          <w:sz w:val="20"/>
          <w:szCs w:val="20"/>
        </w:rPr>
        <w:t xml:space="preserve"> (2011</w:t>
      </w:r>
      <w:proofErr w:type="gramStart"/>
      <w:r>
        <w:rPr>
          <w:rFonts w:asciiTheme="majorHAnsi" w:hAnsiTheme="majorHAnsi" w:cstheme="majorHAnsi"/>
          <w:sz w:val="20"/>
          <w:szCs w:val="20"/>
        </w:rPr>
        <w:t>)</w:t>
      </w:r>
      <w:r w:rsidR="00532764" w:rsidRPr="00532764">
        <w:rPr>
          <w:rFonts w:asciiTheme="majorHAnsi" w:hAnsiTheme="majorHAnsi" w:cstheme="majorHAnsi"/>
          <w:sz w:val="20"/>
          <w:szCs w:val="20"/>
        </w:rPr>
        <w:t xml:space="preserve"> :</w:t>
      </w:r>
      <w:proofErr w:type="gramEnd"/>
      <w:r w:rsidR="00532764" w:rsidRPr="00532764">
        <w:rPr>
          <w:rFonts w:asciiTheme="majorHAnsi" w:hAnsiTheme="majorHAnsi" w:cstheme="majorHAnsi"/>
          <w:sz w:val="20"/>
          <w:szCs w:val="20"/>
        </w:rPr>
        <w:t xml:space="preserve"> 151-185. </w:t>
      </w:r>
    </w:p>
    <w:p w14:paraId="073169C4" w14:textId="296FAF4B" w:rsidR="00532764" w:rsidRPr="00532764" w:rsidRDefault="00532764" w:rsidP="00F877CC">
      <w:pPr>
        <w:pStyle w:val="NormalWeb"/>
        <w:ind w:left="450" w:hanging="450"/>
        <w:rPr>
          <w:rFonts w:asciiTheme="majorHAnsi" w:hAnsiTheme="majorHAnsi" w:cstheme="majorHAnsi"/>
          <w:sz w:val="20"/>
          <w:szCs w:val="20"/>
        </w:rPr>
      </w:pPr>
      <w:proofErr w:type="spellStart"/>
      <w:r w:rsidRPr="00532764">
        <w:rPr>
          <w:rFonts w:asciiTheme="majorHAnsi" w:hAnsiTheme="majorHAnsi" w:cstheme="majorHAnsi"/>
          <w:sz w:val="20"/>
          <w:szCs w:val="20"/>
        </w:rPr>
        <w:t>Coon</w:t>
      </w:r>
      <w:r w:rsidR="00796CEC">
        <w:rPr>
          <w:rFonts w:asciiTheme="majorHAnsi" w:hAnsiTheme="majorHAnsi" w:cstheme="majorHAnsi"/>
          <w:sz w:val="20"/>
          <w:szCs w:val="20"/>
        </w:rPr>
        <w:t>in</w:t>
      </w:r>
      <w:proofErr w:type="spellEnd"/>
      <w:r w:rsidR="00796CEC">
        <w:rPr>
          <w:rFonts w:asciiTheme="majorHAnsi" w:hAnsiTheme="majorHAnsi" w:cstheme="majorHAnsi"/>
          <w:sz w:val="20"/>
          <w:szCs w:val="20"/>
        </w:rPr>
        <w:t xml:space="preserve">, </w:t>
      </w:r>
      <w:proofErr w:type="spellStart"/>
      <w:r w:rsidR="00796CEC">
        <w:rPr>
          <w:rFonts w:asciiTheme="majorHAnsi" w:hAnsiTheme="majorHAnsi" w:cstheme="majorHAnsi"/>
          <w:sz w:val="20"/>
          <w:szCs w:val="20"/>
        </w:rPr>
        <w:t>Bryna</w:t>
      </w:r>
      <w:proofErr w:type="spellEnd"/>
      <w:r w:rsidRPr="00532764">
        <w:rPr>
          <w:rFonts w:asciiTheme="majorHAnsi" w:hAnsiTheme="majorHAnsi" w:cstheme="majorHAnsi"/>
          <w:sz w:val="20"/>
          <w:szCs w:val="20"/>
        </w:rPr>
        <w:t xml:space="preserve">. Open access publishing in business research: The authors' perspective. </w:t>
      </w:r>
      <w:r w:rsidRPr="00532764">
        <w:rPr>
          <w:rFonts w:asciiTheme="majorHAnsi" w:hAnsiTheme="majorHAnsi" w:cstheme="majorHAnsi"/>
          <w:i/>
          <w:iCs/>
          <w:sz w:val="20"/>
          <w:szCs w:val="20"/>
        </w:rPr>
        <w:t>Journal of Business &amp; Finance Librarianship</w:t>
      </w:r>
      <w:r w:rsidR="00796CEC">
        <w:rPr>
          <w:rFonts w:asciiTheme="majorHAnsi" w:hAnsiTheme="majorHAnsi" w:cstheme="majorHAnsi"/>
          <w:sz w:val="20"/>
          <w:szCs w:val="20"/>
        </w:rPr>
        <w:t xml:space="preserve"> 16.3 (2011</w:t>
      </w:r>
      <w:r w:rsidRPr="00532764">
        <w:rPr>
          <w:rFonts w:asciiTheme="majorHAnsi" w:hAnsiTheme="majorHAnsi" w:cstheme="majorHAnsi"/>
          <w:sz w:val="20"/>
          <w:szCs w:val="20"/>
        </w:rPr>
        <w:t>): 193-212</w:t>
      </w:r>
      <w:r w:rsidR="00F877CC">
        <w:rPr>
          <w:rFonts w:asciiTheme="majorHAnsi" w:hAnsiTheme="majorHAnsi" w:cstheme="majorHAnsi"/>
          <w:sz w:val="20"/>
          <w:szCs w:val="20"/>
        </w:rPr>
        <w:t>.</w:t>
      </w:r>
      <w:r w:rsidRPr="00532764">
        <w:rPr>
          <w:rFonts w:asciiTheme="majorHAnsi" w:hAnsiTheme="majorHAnsi" w:cstheme="majorHAnsi"/>
          <w:sz w:val="20"/>
          <w:szCs w:val="20"/>
        </w:rPr>
        <w:t xml:space="preserve"> </w:t>
      </w:r>
    </w:p>
    <w:p w14:paraId="0DB336EF" w14:textId="094C1CFE" w:rsidR="00532764" w:rsidRPr="00532764" w:rsidRDefault="00532764" w:rsidP="00F877CC">
      <w:pPr>
        <w:pStyle w:val="NormalWeb"/>
        <w:ind w:left="450" w:hanging="450"/>
        <w:rPr>
          <w:rFonts w:asciiTheme="majorHAnsi" w:hAnsiTheme="majorHAnsi" w:cstheme="majorHAnsi"/>
          <w:sz w:val="20"/>
          <w:szCs w:val="20"/>
        </w:rPr>
      </w:pPr>
      <w:proofErr w:type="spellStart"/>
      <w:r w:rsidRPr="00532764">
        <w:rPr>
          <w:rFonts w:asciiTheme="majorHAnsi" w:hAnsiTheme="majorHAnsi" w:cstheme="majorHAnsi"/>
          <w:sz w:val="20"/>
          <w:szCs w:val="20"/>
        </w:rPr>
        <w:t>Correia</w:t>
      </w:r>
      <w:proofErr w:type="spellEnd"/>
      <w:r w:rsidRPr="00532764">
        <w:rPr>
          <w:rFonts w:asciiTheme="majorHAnsi" w:hAnsiTheme="majorHAnsi" w:cstheme="majorHAnsi"/>
          <w:sz w:val="20"/>
          <w:szCs w:val="20"/>
        </w:rPr>
        <w:t xml:space="preserve">, Ana Maria </w:t>
      </w:r>
      <w:proofErr w:type="spellStart"/>
      <w:r w:rsidRPr="00532764">
        <w:rPr>
          <w:rFonts w:asciiTheme="majorHAnsi" w:hAnsiTheme="majorHAnsi" w:cstheme="majorHAnsi"/>
          <w:sz w:val="20"/>
          <w:szCs w:val="20"/>
        </w:rPr>
        <w:t>Ramalho</w:t>
      </w:r>
      <w:proofErr w:type="spellEnd"/>
      <w:r w:rsidR="00796CEC">
        <w:rPr>
          <w:rFonts w:asciiTheme="majorHAnsi" w:hAnsiTheme="majorHAnsi" w:cstheme="majorHAnsi"/>
          <w:sz w:val="20"/>
          <w:szCs w:val="20"/>
        </w:rPr>
        <w:t>, and José Carlos Teixeira</w:t>
      </w:r>
      <w:r w:rsidRPr="00532764">
        <w:rPr>
          <w:rFonts w:asciiTheme="majorHAnsi" w:hAnsiTheme="majorHAnsi" w:cstheme="majorHAnsi"/>
          <w:sz w:val="20"/>
          <w:szCs w:val="20"/>
        </w:rPr>
        <w:t xml:space="preserve">. Reforming scholarly publishing and knowledge communication: From the advent of the scholarly journal to the challenges of open access. </w:t>
      </w:r>
      <w:r w:rsidRPr="00532764">
        <w:rPr>
          <w:rFonts w:asciiTheme="majorHAnsi" w:hAnsiTheme="majorHAnsi" w:cstheme="majorHAnsi"/>
          <w:i/>
          <w:iCs/>
          <w:sz w:val="20"/>
          <w:szCs w:val="20"/>
        </w:rPr>
        <w:t>Online Information Review</w:t>
      </w:r>
      <w:r w:rsidR="00796CEC">
        <w:rPr>
          <w:rFonts w:asciiTheme="majorHAnsi" w:hAnsiTheme="majorHAnsi" w:cstheme="majorHAnsi"/>
          <w:sz w:val="20"/>
          <w:szCs w:val="20"/>
        </w:rPr>
        <w:t xml:space="preserve"> 29.4 (2005)</w:t>
      </w:r>
      <w:r w:rsidRPr="00532764">
        <w:rPr>
          <w:rFonts w:asciiTheme="majorHAnsi" w:hAnsiTheme="majorHAnsi" w:cstheme="majorHAnsi"/>
          <w:sz w:val="20"/>
          <w:szCs w:val="20"/>
        </w:rPr>
        <w:t>: 349</w:t>
      </w:r>
      <w:r w:rsidR="00796CEC">
        <w:rPr>
          <w:rFonts w:asciiTheme="majorHAnsi" w:hAnsiTheme="majorHAnsi" w:cstheme="majorHAnsi"/>
          <w:sz w:val="20"/>
          <w:szCs w:val="20"/>
        </w:rPr>
        <w:t>-364.</w:t>
      </w:r>
      <w:r w:rsidRPr="00532764">
        <w:rPr>
          <w:rFonts w:asciiTheme="majorHAnsi" w:hAnsiTheme="majorHAnsi" w:cstheme="majorHAnsi"/>
          <w:sz w:val="20"/>
          <w:szCs w:val="20"/>
        </w:rPr>
        <w:t xml:space="preserve"> </w:t>
      </w:r>
    </w:p>
    <w:p w14:paraId="2F4F212D" w14:textId="27E87117" w:rsidR="00532764" w:rsidRPr="00532764" w:rsidRDefault="00532764" w:rsidP="00F877CC">
      <w:pPr>
        <w:pStyle w:val="NormalWeb"/>
        <w:ind w:left="450" w:hanging="450"/>
        <w:rPr>
          <w:rFonts w:asciiTheme="majorHAnsi" w:hAnsiTheme="majorHAnsi" w:cstheme="majorHAnsi"/>
          <w:sz w:val="20"/>
          <w:szCs w:val="20"/>
        </w:rPr>
      </w:pPr>
      <w:proofErr w:type="spellStart"/>
      <w:r w:rsidRPr="00532764">
        <w:rPr>
          <w:rFonts w:asciiTheme="majorHAnsi" w:hAnsiTheme="majorHAnsi" w:cstheme="majorHAnsi"/>
          <w:sz w:val="20"/>
          <w:szCs w:val="20"/>
        </w:rPr>
        <w:t>Har</w:t>
      </w:r>
      <w:r w:rsidR="00796CEC">
        <w:rPr>
          <w:rFonts w:asciiTheme="majorHAnsi" w:hAnsiTheme="majorHAnsi" w:cstheme="majorHAnsi"/>
          <w:sz w:val="20"/>
          <w:szCs w:val="20"/>
        </w:rPr>
        <w:t>nad</w:t>
      </w:r>
      <w:proofErr w:type="spellEnd"/>
      <w:r w:rsidR="00796CEC">
        <w:rPr>
          <w:rFonts w:asciiTheme="majorHAnsi" w:hAnsiTheme="majorHAnsi" w:cstheme="majorHAnsi"/>
          <w:sz w:val="20"/>
          <w:szCs w:val="20"/>
        </w:rPr>
        <w:t xml:space="preserve">, </w:t>
      </w:r>
      <w:proofErr w:type="spellStart"/>
      <w:r w:rsidR="00796CEC">
        <w:rPr>
          <w:rFonts w:asciiTheme="majorHAnsi" w:hAnsiTheme="majorHAnsi" w:cstheme="majorHAnsi"/>
          <w:sz w:val="20"/>
          <w:szCs w:val="20"/>
        </w:rPr>
        <w:t>Stevan</w:t>
      </w:r>
      <w:proofErr w:type="spellEnd"/>
      <w:r w:rsidR="00796CEC">
        <w:rPr>
          <w:rFonts w:asciiTheme="majorHAnsi" w:hAnsiTheme="majorHAnsi" w:cstheme="majorHAnsi"/>
          <w:sz w:val="20"/>
          <w:szCs w:val="20"/>
        </w:rPr>
        <w:t>, and Tim Brody</w:t>
      </w:r>
      <w:r w:rsidRPr="00532764">
        <w:rPr>
          <w:rFonts w:asciiTheme="majorHAnsi" w:hAnsiTheme="majorHAnsi" w:cstheme="majorHAnsi"/>
          <w:sz w:val="20"/>
          <w:szCs w:val="20"/>
        </w:rPr>
        <w:t xml:space="preserve">. </w:t>
      </w:r>
      <w:r w:rsidRPr="002F2A65">
        <w:rPr>
          <w:rFonts w:asciiTheme="majorHAnsi" w:hAnsiTheme="majorHAnsi" w:cstheme="majorHAnsi"/>
          <w:bCs/>
          <w:sz w:val="20"/>
          <w:szCs w:val="20"/>
        </w:rPr>
        <w:t>Comparing the impact of open access (OA) vs. non-OA articles in the same journals</w:t>
      </w:r>
      <w:r w:rsidRPr="002F2A65">
        <w:rPr>
          <w:rFonts w:asciiTheme="majorHAnsi" w:hAnsiTheme="majorHAnsi" w:cstheme="majorHAnsi"/>
          <w:sz w:val="20"/>
          <w:szCs w:val="20"/>
        </w:rPr>
        <w:t xml:space="preserve"> </w:t>
      </w:r>
      <w:r w:rsidRPr="00532764">
        <w:rPr>
          <w:rFonts w:asciiTheme="majorHAnsi" w:hAnsiTheme="majorHAnsi" w:cstheme="majorHAnsi"/>
          <w:i/>
          <w:iCs/>
          <w:sz w:val="20"/>
          <w:szCs w:val="20"/>
        </w:rPr>
        <w:t>D-Lib Magazine</w:t>
      </w:r>
      <w:r w:rsidR="00796CEC">
        <w:rPr>
          <w:rFonts w:asciiTheme="majorHAnsi" w:hAnsiTheme="majorHAnsi" w:cstheme="majorHAnsi"/>
          <w:sz w:val="20"/>
          <w:szCs w:val="20"/>
        </w:rPr>
        <w:t xml:space="preserve"> 10.6 (2004)</w:t>
      </w:r>
      <w:r w:rsidR="009F4611">
        <w:rPr>
          <w:rFonts w:asciiTheme="majorHAnsi" w:hAnsiTheme="majorHAnsi" w:cstheme="majorHAnsi"/>
          <w:sz w:val="20"/>
          <w:szCs w:val="20"/>
        </w:rPr>
        <w:t xml:space="preserve"> </w:t>
      </w:r>
      <w:r w:rsidR="009F4611" w:rsidRPr="009F4611">
        <w:rPr>
          <w:rFonts w:asciiTheme="majorHAnsi" w:hAnsiTheme="majorHAnsi" w:cstheme="majorHAnsi"/>
          <w:sz w:val="20"/>
          <w:szCs w:val="20"/>
        </w:rPr>
        <w:t>http://www.dlib.org/dlib/june04/harnad/06harnad.html</w:t>
      </w:r>
    </w:p>
    <w:p w14:paraId="69AF8992" w14:textId="3633BD7C" w:rsidR="00E75690" w:rsidRDefault="00796CEC"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t xml:space="preserve">Kim, </w:t>
      </w:r>
      <w:proofErr w:type="spellStart"/>
      <w:r>
        <w:rPr>
          <w:rFonts w:asciiTheme="majorHAnsi" w:hAnsiTheme="majorHAnsi" w:cstheme="majorHAnsi"/>
          <w:sz w:val="20"/>
          <w:szCs w:val="20"/>
        </w:rPr>
        <w:t>Jihyun</w:t>
      </w:r>
      <w:proofErr w:type="spellEnd"/>
      <w:r>
        <w:rPr>
          <w:rFonts w:asciiTheme="majorHAnsi" w:hAnsiTheme="majorHAnsi" w:cstheme="majorHAnsi"/>
          <w:sz w:val="20"/>
          <w:szCs w:val="20"/>
        </w:rPr>
        <w:t xml:space="preserve">. </w:t>
      </w:r>
      <w:r w:rsidR="00532764" w:rsidRPr="00532764">
        <w:rPr>
          <w:rFonts w:asciiTheme="majorHAnsi" w:hAnsiTheme="majorHAnsi" w:cstheme="majorHAnsi"/>
          <w:sz w:val="20"/>
          <w:szCs w:val="20"/>
        </w:rPr>
        <w:t xml:space="preserve"> Faculty self-archiving: Motivations and barriers. </w:t>
      </w:r>
      <w:r w:rsidR="00532764" w:rsidRPr="00532764">
        <w:rPr>
          <w:rFonts w:asciiTheme="majorHAnsi" w:hAnsiTheme="majorHAnsi" w:cstheme="majorHAnsi"/>
          <w:i/>
          <w:iCs/>
          <w:sz w:val="20"/>
          <w:szCs w:val="20"/>
        </w:rPr>
        <w:t>Journal of the American Society for Information Science &amp; Technology</w:t>
      </w:r>
      <w:r>
        <w:rPr>
          <w:rFonts w:asciiTheme="majorHAnsi" w:hAnsiTheme="majorHAnsi" w:cstheme="majorHAnsi"/>
          <w:sz w:val="20"/>
          <w:szCs w:val="20"/>
        </w:rPr>
        <w:t xml:space="preserve"> 61.9</w:t>
      </w:r>
      <w:r w:rsidR="00532764" w:rsidRPr="00532764">
        <w:rPr>
          <w:rFonts w:asciiTheme="majorHAnsi" w:hAnsiTheme="majorHAnsi" w:cstheme="majorHAnsi"/>
          <w:sz w:val="20"/>
          <w:szCs w:val="20"/>
        </w:rPr>
        <w:t xml:space="preserve"> (</w:t>
      </w:r>
      <w:r>
        <w:rPr>
          <w:rFonts w:asciiTheme="majorHAnsi" w:hAnsiTheme="majorHAnsi" w:cstheme="majorHAnsi"/>
          <w:sz w:val="20"/>
          <w:szCs w:val="20"/>
        </w:rPr>
        <w:t>2010</w:t>
      </w:r>
      <w:r w:rsidR="00532764" w:rsidRPr="00532764">
        <w:rPr>
          <w:rFonts w:asciiTheme="majorHAnsi" w:hAnsiTheme="majorHAnsi" w:cstheme="majorHAnsi"/>
          <w:sz w:val="20"/>
          <w:szCs w:val="20"/>
        </w:rPr>
        <w:t>): 1909-</w:t>
      </w:r>
      <w:r w:rsidR="009F4611">
        <w:rPr>
          <w:rFonts w:asciiTheme="majorHAnsi" w:hAnsiTheme="majorHAnsi" w:cstheme="majorHAnsi"/>
          <w:sz w:val="20"/>
          <w:szCs w:val="20"/>
        </w:rPr>
        <w:t>19</w:t>
      </w:r>
      <w:r w:rsidR="00532764" w:rsidRPr="00532764">
        <w:rPr>
          <w:rFonts w:asciiTheme="majorHAnsi" w:hAnsiTheme="majorHAnsi" w:cstheme="majorHAnsi"/>
          <w:sz w:val="20"/>
          <w:szCs w:val="20"/>
        </w:rPr>
        <w:t>22</w:t>
      </w:r>
      <w:r w:rsidR="003107EE">
        <w:rPr>
          <w:rFonts w:asciiTheme="majorHAnsi" w:hAnsiTheme="majorHAnsi" w:cstheme="majorHAnsi"/>
          <w:sz w:val="20"/>
          <w:szCs w:val="20"/>
        </w:rPr>
        <w:t>.</w:t>
      </w:r>
      <w:r w:rsidR="00532764" w:rsidRPr="00532764">
        <w:rPr>
          <w:rFonts w:asciiTheme="majorHAnsi" w:hAnsiTheme="majorHAnsi" w:cstheme="majorHAnsi"/>
          <w:sz w:val="20"/>
          <w:szCs w:val="20"/>
        </w:rPr>
        <w:t xml:space="preserve"> </w:t>
      </w:r>
    </w:p>
    <w:p w14:paraId="09B89797" w14:textId="3B5C1613" w:rsidR="00532764" w:rsidRPr="00532764" w:rsidRDefault="00796CEC"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t>Morgan, Cliff</w:t>
      </w:r>
      <w:r w:rsidR="00E75690" w:rsidRPr="00E75690">
        <w:rPr>
          <w:rFonts w:asciiTheme="majorHAnsi" w:hAnsiTheme="majorHAnsi" w:cstheme="majorHAnsi"/>
          <w:sz w:val="20"/>
          <w:szCs w:val="20"/>
        </w:rPr>
        <w:t xml:space="preserve">, </w:t>
      </w:r>
      <w:r>
        <w:rPr>
          <w:rFonts w:asciiTheme="majorHAnsi" w:hAnsiTheme="majorHAnsi" w:cstheme="majorHAnsi"/>
          <w:sz w:val="20"/>
          <w:szCs w:val="20"/>
        </w:rPr>
        <w:t>Bob</w:t>
      </w:r>
      <w:r w:rsidRPr="00796CEC">
        <w:rPr>
          <w:rFonts w:asciiTheme="majorHAnsi" w:hAnsiTheme="majorHAnsi" w:cstheme="majorHAnsi"/>
          <w:sz w:val="20"/>
          <w:szCs w:val="20"/>
        </w:rPr>
        <w:t xml:space="preserve"> </w:t>
      </w:r>
      <w:r w:rsidRPr="00E75690">
        <w:rPr>
          <w:rFonts w:asciiTheme="majorHAnsi" w:hAnsiTheme="majorHAnsi" w:cstheme="majorHAnsi"/>
          <w:sz w:val="20"/>
          <w:szCs w:val="20"/>
        </w:rPr>
        <w:t>C</w:t>
      </w:r>
      <w:r>
        <w:rPr>
          <w:rFonts w:asciiTheme="majorHAnsi" w:hAnsiTheme="majorHAnsi" w:cstheme="majorHAnsi"/>
          <w:sz w:val="20"/>
          <w:szCs w:val="20"/>
        </w:rPr>
        <w:t xml:space="preserve">ampbell, and Terri </w:t>
      </w:r>
      <w:proofErr w:type="spellStart"/>
      <w:r>
        <w:rPr>
          <w:rFonts w:asciiTheme="majorHAnsi" w:hAnsiTheme="majorHAnsi" w:cstheme="majorHAnsi"/>
          <w:sz w:val="20"/>
          <w:szCs w:val="20"/>
        </w:rPr>
        <w:t>Teleen</w:t>
      </w:r>
      <w:proofErr w:type="spellEnd"/>
      <w:r w:rsidR="00E75690" w:rsidRPr="00E75690">
        <w:rPr>
          <w:rFonts w:asciiTheme="majorHAnsi" w:hAnsiTheme="majorHAnsi" w:cstheme="majorHAnsi"/>
          <w:sz w:val="20"/>
          <w:szCs w:val="20"/>
        </w:rPr>
        <w:t>. The Role of the Academic Journal Publisher and Open Access Publishing Models. </w:t>
      </w:r>
      <w:r w:rsidR="00E75690" w:rsidRPr="00E75690">
        <w:rPr>
          <w:rFonts w:asciiTheme="majorHAnsi" w:hAnsiTheme="majorHAnsi" w:cstheme="majorHAnsi"/>
          <w:i/>
          <w:iCs/>
          <w:sz w:val="20"/>
          <w:szCs w:val="20"/>
        </w:rPr>
        <w:t>International Studies Perspectives</w:t>
      </w:r>
      <w:r w:rsidRPr="00796CEC">
        <w:rPr>
          <w:rFonts w:asciiTheme="majorHAnsi" w:hAnsiTheme="majorHAnsi" w:cstheme="majorHAnsi"/>
          <w:sz w:val="20"/>
          <w:szCs w:val="20"/>
        </w:rPr>
        <w:t xml:space="preserve"> </w:t>
      </w:r>
      <w:r w:rsidR="00E75690" w:rsidRPr="00796CEC">
        <w:rPr>
          <w:rFonts w:asciiTheme="majorHAnsi" w:hAnsiTheme="majorHAnsi" w:cstheme="majorHAnsi"/>
          <w:iCs/>
          <w:sz w:val="20"/>
          <w:szCs w:val="20"/>
        </w:rPr>
        <w:t>13</w:t>
      </w:r>
      <w:r>
        <w:rPr>
          <w:rFonts w:asciiTheme="majorHAnsi" w:hAnsiTheme="majorHAnsi" w:cstheme="majorHAnsi"/>
          <w:sz w:val="20"/>
          <w:szCs w:val="20"/>
        </w:rPr>
        <w:t>.3 (2012):</w:t>
      </w:r>
      <w:r w:rsidR="00E75690" w:rsidRPr="00E75690">
        <w:rPr>
          <w:rFonts w:asciiTheme="majorHAnsi" w:hAnsiTheme="majorHAnsi" w:cstheme="majorHAnsi"/>
          <w:sz w:val="20"/>
          <w:szCs w:val="20"/>
        </w:rPr>
        <w:t xml:space="preserve"> 228-234</w:t>
      </w:r>
    </w:p>
    <w:p w14:paraId="099C1FF9" w14:textId="0C8D9856" w:rsidR="00532764" w:rsidRPr="00532764" w:rsidRDefault="00532764" w:rsidP="00F877CC">
      <w:pPr>
        <w:pStyle w:val="NormalWeb"/>
        <w:ind w:left="450" w:hanging="450"/>
        <w:rPr>
          <w:rFonts w:asciiTheme="majorHAnsi" w:hAnsiTheme="majorHAnsi" w:cstheme="majorHAnsi"/>
          <w:sz w:val="20"/>
          <w:szCs w:val="20"/>
        </w:rPr>
      </w:pPr>
      <w:r w:rsidRPr="00532764">
        <w:rPr>
          <w:rFonts w:asciiTheme="majorHAnsi" w:hAnsiTheme="majorHAnsi" w:cstheme="majorHAnsi"/>
          <w:sz w:val="20"/>
          <w:szCs w:val="20"/>
        </w:rPr>
        <w:t>Nicholas, David, Paul Hunti</w:t>
      </w:r>
      <w:r w:rsidR="00796CEC">
        <w:rPr>
          <w:rFonts w:asciiTheme="majorHAnsi" w:hAnsiTheme="majorHAnsi" w:cstheme="majorHAnsi"/>
          <w:sz w:val="20"/>
          <w:szCs w:val="20"/>
        </w:rPr>
        <w:t xml:space="preserve">ngton, and Hamid R. </w:t>
      </w:r>
      <w:proofErr w:type="spellStart"/>
      <w:r w:rsidR="00796CEC">
        <w:rPr>
          <w:rFonts w:asciiTheme="majorHAnsi" w:hAnsiTheme="majorHAnsi" w:cstheme="majorHAnsi"/>
          <w:sz w:val="20"/>
          <w:szCs w:val="20"/>
        </w:rPr>
        <w:t>Jamali</w:t>
      </w:r>
      <w:proofErr w:type="spellEnd"/>
      <w:r w:rsidRPr="00532764">
        <w:rPr>
          <w:rFonts w:asciiTheme="majorHAnsi" w:hAnsiTheme="majorHAnsi" w:cstheme="majorHAnsi"/>
          <w:sz w:val="20"/>
          <w:szCs w:val="20"/>
        </w:rPr>
        <w:t xml:space="preserve">. Open access in context: A user study. </w:t>
      </w:r>
      <w:r w:rsidRPr="00532764">
        <w:rPr>
          <w:rFonts w:asciiTheme="majorHAnsi" w:hAnsiTheme="majorHAnsi" w:cstheme="majorHAnsi"/>
          <w:i/>
          <w:iCs/>
          <w:sz w:val="20"/>
          <w:szCs w:val="20"/>
        </w:rPr>
        <w:t>Journal of Documentation</w:t>
      </w:r>
      <w:r w:rsidR="00796CEC">
        <w:rPr>
          <w:rFonts w:asciiTheme="majorHAnsi" w:hAnsiTheme="majorHAnsi" w:cstheme="majorHAnsi"/>
          <w:sz w:val="20"/>
          <w:szCs w:val="20"/>
        </w:rPr>
        <w:t xml:space="preserve"> 63. 6 (2007)</w:t>
      </w:r>
      <w:r w:rsidR="009F4611">
        <w:rPr>
          <w:rFonts w:asciiTheme="majorHAnsi" w:hAnsiTheme="majorHAnsi" w:cstheme="majorHAnsi"/>
          <w:sz w:val="20"/>
          <w:szCs w:val="20"/>
        </w:rPr>
        <w:t>: 853-878.</w:t>
      </w:r>
    </w:p>
    <w:p w14:paraId="45835C10" w14:textId="2B604569" w:rsidR="00532764" w:rsidRPr="00532764" w:rsidRDefault="00532764" w:rsidP="00F877CC">
      <w:pPr>
        <w:pStyle w:val="NormalWeb"/>
        <w:ind w:left="450" w:hanging="450"/>
        <w:rPr>
          <w:rFonts w:asciiTheme="majorHAnsi" w:hAnsiTheme="majorHAnsi" w:cstheme="majorHAnsi"/>
          <w:sz w:val="20"/>
          <w:szCs w:val="20"/>
        </w:rPr>
      </w:pPr>
      <w:r w:rsidRPr="00532764">
        <w:rPr>
          <w:rFonts w:asciiTheme="majorHAnsi" w:hAnsiTheme="majorHAnsi" w:cstheme="majorHAnsi"/>
          <w:sz w:val="20"/>
          <w:szCs w:val="20"/>
        </w:rPr>
        <w:t>Nicholas</w:t>
      </w:r>
      <w:r w:rsidR="00796CEC">
        <w:rPr>
          <w:rFonts w:asciiTheme="majorHAnsi" w:hAnsiTheme="majorHAnsi" w:cstheme="majorHAnsi"/>
          <w:sz w:val="20"/>
          <w:szCs w:val="20"/>
        </w:rPr>
        <w:t xml:space="preserve">, David, and Ian Rowlands. </w:t>
      </w:r>
      <w:r w:rsidRPr="00532764">
        <w:rPr>
          <w:rFonts w:asciiTheme="majorHAnsi" w:hAnsiTheme="majorHAnsi" w:cstheme="majorHAnsi"/>
          <w:sz w:val="20"/>
          <w:szCs w:val="20"/>
        </w:rPr>
        <w:t xml:space="preserve"> Open access publishing: The evidence from the authors. </w:t>
      </w:r>
      <w:r w:rsidRPr="00532764">
        <w:rPr>
          <w:rFonts w:asciiTheme="majorHAnsi" w:hAnsiTheme="majorHAnsi" w:cstheme="majorHAnsi"/>
          <w:i/>
          <w:iCs/>
          <w:sz w:val="20"/>
          <w:szCs w:val="20"/>
        </w:rPr>
        <w:t>Journal of Academic Librarianship</w:t>
      </w:r>
      <w:r w:rsidR="00796CEC">
        <w:rPr>
          <w:rFonts w:asciiTheme="majorHAnsi" w:hAnsiTheme="majorHAnsi" w:cstheme="majorHAnsi"/>
          <w:sz w:val="20"/>
          <w:szCs w:val="20"/>
        </w:rPr>
        <w:t xml:space="preserve"> 31. 3</w:t>
      </w:r>
      <w:r w:rsidRPr="00532764">
        <w:rPr>
          <w:rFonts w:asciiTheme="majorHAnsi" w:hAnsiTheme="majorHAnsi" w:cstheme="majorHAnsi"/>
          <w:sz w:val="20"/>
          <w:szCs w:val="20"/>
        </w:rPr>
        <w:t>(</w:t>
      </w:r>
      <w:r w:rsidR="00796CEC">
        <w:rPr>
          <w:rFonts w:asciiTheme="majorHAnsi" w:hAnsiTheme="majorHAnsi" w:cstheme="majorHAnsi"/>
          <w:sz w:val="20"/>
          <w:szCs w:val="20"/>
        </w:rPr>
        <w:t>20</w:t>
      </w:r>
      <w:r w:rsidRPr="00532764">
        <w:rPr>
          <w:rFonts w:asciiTheme="majorHAnsi" w:hAnsiTheme="majorHAnsi" w:cstheme="majorHAnsi"/>
          <w:sz w:val="20"/>
          <w:szCs w:val="20"/>
        </w:rPr>
        <w:t xml:space="preserve">05): 179-81. </w:t>
      </w:r>
    </w:p>
    <w:p w14:paraId="75EA5334" w14:textId="6AF9862C" w:rsidR="00CA4E9F" w:rsidRDefault="00CA4E9F"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t xml:space="preserve">Rodgers, Everett. </w:t>
      </w:r>
      <w:r w:rsidRPr="00B262C5">
        <w:rPr>
          <w:rFonts w:asciiTheme="majorHAnsi" w:hAnsiTheme="majorHAnsi" w:cstheme="majorHAnsi"/>
          <w:i/>
          <w:sz w:val="20"/>
          <w:szCs w:val="20"/>
        </w:rPr>
        <w:t>Diffusion of Innovations</w:t>
      </w:r>
      <w:r>
        <w:rPr>
          <w:rFonts w:asciiTheme="majorHAnsi" w:hAnsiTheme="majorHAnsi" w:cstheme="majorHAnsi"/>
          <w:sz w:val="20"/>
          <w:szCs w:val="20"/>
        </w:rPr>
        <w:t>, 5</w:t>
      </w:r>
      <w:r w:rsidRPr="00CA4E9F">
        <w:rPr>
          <w:rFonts w:asciiTheme="majorHAnsi" w:hAnsiTheme="majorHAnsi" w:cstheme="majorHAnsi"/>
          <w:sz w:val="20"/>
          <w:szCs w:val="20"/>
          <w:vertAlign w:val="superscript"/>
        </w:rPr>
        <w:t>th</w:t>
      </w:r>
      <w:r>
        <w:rPr>
          <w:rFonts w:asciiTheme="majorHAnsi" w:hAnsiTheme="majorHAnsi" w:cstheme="majorHAnsi"/>
          <w:sz w:val="20"/>
          <w:szCs w:val="20"/>
        </w:rPr>
        <w:t xml:space="preserve"> Edition. </w:t>
      </w:r>
      <w:r w:rsidR="00B262C5">
        <w:rPr>
          <w:rFonts w:asciiTheme="majorHAnsi" w:hAnsiTheme="majorHAnsi" w:cstheme="majorHAnsi"/>
          <w:sz w:val="20"/>
          <w:szCs w:val="20"/>
        </w:rPr>
        <w:t>Free Press, 2003.</w:t>
      </w:r>
    </w:p>
    <w:p w14:paraId="58F302BC" w14:textId="2F19DF6E" w:rsidR="00983D35" w:rsidRDefault="00796CEC"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t>Shen, Lisa.</w:t>
      </w:r>
      <w:r w:rsidR="00532764" w:rsidRPr="00532764">
        <w:rPr>
          <w:rFonts w:asciiTheme="majorHAnsi" w:hAnsiTheme="majorHAnsi" w:cstheme="majorHAnsi"/>
          <w:sz w:val="20"/>
          <w:szCs w:val="20"/>
        </w:rPr>
        <w:t xml:space="preserve"> There are discipline-based differences in authors' perceptions towards open access publishing. </w:t>
      </w:r>
      <w:r w:rsidR="00532764" w:rsidRPr="00532764">
        <w:rPr>
          <w:rFonts w:asciiTheme="majorHAnsi" w:hAnsiTheme="majorHAnsi" w:cstheme="majorHAnsi"/>
          <w:i/>
          <w:iCs/>
          <w:sz w:val="20"/>
          <w:szCs w:val="20"/>
        </w:rPr>
        <w:t>Evidence Based Library &amp; Information Practice</w:t>
      </w:r>
      <w:r>
        <w:rPr>
          <w:rFonts w:asciiTheme="majorHAnsi" w:hAnsiTheme="majorHAnsi" w:cstheme="majorHAnsi"/>
          <w:sz w:val="20"/>
          <w:szCs w:val="20"/>
        </w:rPr>
        <w:t xml:space="preserve"> 6.3 (2011</w:t>
      </w:r>
      <w:r w:rsidR="00532764" w:rsidRPr="00532764">
        <w:rPr>
          <w:rFonts w:asciiTheme="majorHAnsi" w:hAnsiTheme="majorHAnsi" w:cstheme="majorHAnsi"/>
          <w:sz w:val="20"/>
          <w:szCs w:val="20"/>
        </w:rPr>
        <w:t>): 71-</w:t>
      </w:r>
      <w:r w:rsidR="009F4611">
        <w:rPr>
          <w:rFonts w:asciiTheme="majorHAnsi" w:hAnsiTheme="majorHAnsi" w:cstheme="majorHAnsi"/>
          <w:sz w:val="20"/>
          <w:szCs w:val="20"/>
        </w:rPr>
        <w:t>7</w:t>
      </w:r>
      <w:r w:rsidR="00532764" w:rsidRPr="00532764">
        <w:rPr>
          <w:rFonts w:asciiTheme="majorHAnsi" w:hAnsiTheme="majorHAnsi" w:cstheme="majorHAnsi"/>
          <w:sz w:val="20"/>
          <w:szCs w:val="20"/>
        </w:rPr>
        <w:t xml:space="preserve">3. </w:t>
      </w:r>
    </w:p>
    <w:p w14:paraId="33A90A32" w14:textId="07313EF7" w:rsidR="00983D35" w:rsidRDefault="009F4611" w:rsidP="009F4611">
      <w:pPr>
        <w:pStyle w:val="NormalWeb"/>
        <w:spacing w:after="0"/>
        <w:rPr>
          <w:rFonts w:asciiTheme="majorHAnsi" w:hAnsiTheme="majorHAnsi" w:cstheme="majorHAnsi"/>
          <w:sz w:val="20"/>
          <w:szCs w:val="20"/>
        </w:rPr>
      </w:pPr>
      <w:r>
        <w:rPr>
          <w:rFonts w:asciiTheme="majorHAnsi" w:hAnsiTheme="majorHAnsi" w:cstheme="majorHAnsi"/>
          <w:sz w:val="20"/>
          <w:szCs w:val="20"/>
        </w:rPr>
        <w:t>SPARC</w:t>
      </w:r>
      <w:r w:rsidR="00983D35" w:rsidRPr="00983D35">
        <w:rPr>
          <w:rFonts w:asciiTheme="majorHAnsi" w:hAnsiTheme="majorHAnsi" w:cstheme="majorHAnsi"/>
          <w:sz w:val="20"/>
          <w:szCs w:val="20"/>
        </w:rPr>
        <w:t xml:space="preserve">. </w:t>
      </w:r>
      <w:r w:rsidR="00983D35" w:rsidRPr="00983D35">
        <w:rPr>
          <w:rFonts w:asciiTheme="majorHAnsi" w:hAnsiTheme="majorHAnsi" w:cstheme="majorHAnsi"/>
          <w:i/>
          <w:iCs/>
          <w:sz w:val="20"/>
          <w:szCs w:val="20"/>
        </w:rPr>
        <w:t>About SPARC</w:t>
      </w:r>
      <w:r w:rsidR="00983D35" w:rsidRPr="00983D35">
        <w:rPr>
          <w:rFonts w:asciiTheme="majorHAnsi" w:hAnsiTheme="majorHAnsi" w:cstheme="majorHAnsi"/>
          <w:sz w:val="20"/>
          <w:szCs w:val="20"/>
        </w:rPr>
        <w:t xml:space="preserve">. </w:t>
      </w:r>
      <w:hyperlink r:id="rId11" w:history="1">
        <w:r w:rsidR="00983D35" w:rsidRPr="00B57AAB">
          <w:rPr>
            <w:rStyle w:val="Hyperlink"/>
            <w:rFonts w:asciiTheme="majorHAnsi" w:hAnsiTheme="majorHAnsi" w:cstheme="majorHAnsi"/>
            <w:sz w:val="20"/>
            <w:szCs w:val="20"/>
          </w:rPr>
          <w:t>http://www.arl.org/sparc/about/index.html</w:t>
        </w:r>
      </w:hyperlink>
      <w:r w:rsidR="00983D35" w:rsidRPr="00983D35">
        <w:rPr>
          <w:rFonts w:asciiTheme="majorHAnsi" w:hAnsiTheme="majorHAnsi" w:cstheme="majorHAnsi"/>
          <w:sz w:val="20"/>
          <w:szCs w:val="20"/>
        </w:rPr>
        <w:t>.</w:t>
      </w:r>
      <w:r w:rsidR="00983D35">
        <w:rPr>
          <w:rFonts w:asciiTheme="majorHAnsi" w:hAnsiTheme="majorHAnsi" w:cstheme="majorHAnsi"/>
          <w:sz w:val="20"/>
          <w:szCs w:val="20"/>
        </w:rPr>
        <w:t xml:space="preserve"> </w:t>
      </w:r>
      <w:r>
        <w:rPr>
          <w:rFonts w:asciiTheme="majorHAnsi" w:hAnsiTheme="majorHAnsi" w:cstheme="majorHAnsi"/>
          <w:sz w:val="20"/>
          <w:szCs w:val="20"/>
        </w:rPr>
        <w:t>(2006)</w:t>
      </w:r>
    </w:p>
    <w:p w14:paraId="4603C7E9" w14:textId="77777777" w:rsidR="00983D35" w:rsidRDefault="00983D35" w:rsidP="00F877CC">
      <w:pPr>
        <w:pStyle w:val="NormalWeb"/>
        <w:spacing w:after="0"/>
        <w:rPr>
          <w:rFonts w:asciiTheme="majorHAnsi" w:hAnsiTheme="majorHAnsi" w:cstheme="majorHAnsi"/>
          <w:sz w:val="20"/>
          <w:szCs w:val="20"/>
        </w:rPr>
      </w:pPr>
    </w:p>
    <w:p w14:paraId="503B4382" w14:textId="5FEA84DD" w:rsidR="00EF23E0" w:rsidRDefault="009F4611" w:rsidP="009F4611">
      <w:pPr>
        <w:pStyle w:val="NormalWeb"/>
        <w:spacing w:after="0"/>
        <w:rPr>
          <w:rFonts w:eastAsia="Times New Roman"/>
          <w:color w:val="000000"/>
          <w:sz w:val="20"/>
          <w:szCs w:val="20"/>
        </w:rPr>
      </w:pPr>
      <w:r>
        <w:rPr>
          <w:rFonts w:eastAsia="Times New Roman"/>
          <w:color w:val="000000"/>
          <w:sz w:val="20"/>
          <w:szCs w:val="20"/>
        </w:rPr>
        <w:t xml:space="preserve">SPARC. </w:t>
      </w:r>
      <w:r w:rsidR="00983D35" w:rsidRPr="00796CEC">
        <w:rPr>
          <w:rFonts w:eastAsia="Times New Roman"/>
          <w:color w:val="000000"/>
          <w:sz w:val="20"/>
          <w:szCs w:val="20"/>
        </w:rPr>
        <w:t xml:space="preserve"> </w:t>
      </w:r>
      <w:r w:rsidR="00983D35" w:rsidRPr="00796CEC">
        <w:rPr>
          <w:rFonts w:eastAsia="Times New Roman"/>
          <w:i/>
          <w:iCs/>
          <w:color w:val="000000"/>
          <w:sz w:val="20"/>
          <w:szCs w:val="20"/>
        </w:rPr>
        <w:t>About SPARC</w:t>
      </w:r>
      <w:r w:rsidR="00983D35" w:rsidRPr="00796CEC">
        <w:rPr>
          <w:rFonts w:eastAsia="Times New Roman"/>
          <w:color w:val="000000"/>
          <w:sz w:val="20"/>
          <w:szCs w:val="20"/>
        </w:rPr>
        <w:t xml:space="preserve">. </w:t>
      </w:r>
      <w:hyperlink r:id="rId12" w:history="1">
        <w:r w:rsidRPr="00B57AAB">
          <w:rPr>
            <w:rStyle w:val="Hyperlink"/>
            <w:rFonts w:eastAsia="Times New Roman"/>
            <w:sz w:val="20"/>
            <w:szCs w:val="20"/>
          </w:rPr>
          <w:t>http://www.arl.org/sparc/about/index.html</w:t>
        </w:r>
      </w:hyperlink>
      <w:r w:rsidR="00983D35" w:rsidRPr="00796CEC">
        <w:rPr>
          <w:rFonts w:eastAsia="Times New Roman"/>
          <w:color w:val="000000"/>
          <w:sz w:val="20"/>
          <w:szCs w:val="20"/>
        </w:rPr>
        <w:t>.</w:t>
      </w:r>
      <w:r w:rsidRPr="009F4611">
        <w:rPr>
          <w:rFonts w:eastAsia="Times New Roman"/>
          <w:color w:val="000000"/>
          <w:sz w:val="20"/>
          <w:szCs w:val="20"/>
        </w:rPr>
        <w:t xml:space="preserve"> </w:t>
      </w:r>
      <w:r>
        <w:rPr>
          <w:rFonts w:eastAsia="Times New Roman"/>
          <w:color w:val="000000"/>
          <w:sz w:val="20"/>
          <w:szCs w:val="20"/>
        </w:rPr>
        <w:t>(2014)</w:t>
      </w:r>
    </w:p>
    <w:p w14:paraId="55BE2624" w14:textId="77777777" w:rsidR="009F4611" w:rsidRPr="00796CEC" w:rsidRDefault="009F4611" w:rsidP="009F4611">
      <w:pPr>
        <w:pStyle w:val="NormalWeb"/>
        <w:spacing w:after="0"/>
        <w:rPr>
          <w:rFonts w:asciiTheme="majorHAnsi" w:hAnsiTheme="majorHAnsi" w:cstheme="majorHAnsi"/>
          <w:sz w:val="20"/>
          <w:szCs w:val="20"/>
        </w:rPr>
      </w:pPr>
    </w:p>
    <w:p w14:paraId="435CD4B8" w14:textId="2FADB634" w:rsidR="00852C93" w:rsidRPr="003107EE" w:rsidRDefault="00852C93" w:rsidP="003107EE">
      <w:pPr>
        <w:pStyle w:val="NormalWeb"/>
        <w:ind w:left="450" w:hanging="450"/>
        <w:rPr>
          <w:rStyle w:val="medium-normal"/>
          <w:rFonts w:asciiTheme="majorHAnsi" w:hAnsiTheme="majorHAnsi" w:cstheme="majorHAnsi"/>
          <w:sz w:val="20"/>
          <w:szCs w:val="20"/>
        </w:rPr>
      </w:pPr>
      <w:proofErr w:type="spellStart"/>
      <w:r w:rsidRPr="00796CEC">
        <w:rPr>
          <w:rStyle w:val="medium-normal"/>
          <w:sz w:val="20"/>
          <w:szCs w:val="20"/>
        </w:rPr>
        <w:t>Starkweather</w:t>
      </w:r>
      <w:proofErr w:type="spellEnd"/>
      <w:r w:rsidRPr="00796CEC">
        <w:rPr>
          <w:rStyle w:val="medium-normal"/>
          <w:sz w:val="20"/>
          <w:szCs w:val="20"/>
        </w:rPr>
        <w:t>, W</w:t>
      </w:r>
      <w:r w:rsidR="003107EE" w:rsidRPr="00796CEC">
        <w:rPr>
          <w:rStyle w:val="medium-normal"/>
          <w:sz w:val="20"/>
          <w:szCs w:val="20"/>
        </w:rPr>
        <w:t>endy</w:t>
      </w:r>
      <w:r w:rsidR="00796CEC" w:rsidRPr="00796CEC">
        <w:rPr>
          <w:rStyle w:val="medium-normal"/>
          <w:sz w:val="20"/>
          <w:szCs w:val="20"/>
        </w:rPr>
        <w:t xml:space="preserve"> and </w:t>
      </w:r>
      <w:r w:rsidR="003107EE" w:rsidRPr="00796CEC">
        <w:rPr>
          <w:rStyle w:val="medium-normal"/>
          <w:sz w:val="20"/>
          <w:szCs w:val="20"/>
        </w:rPr>
        <w:t>Camille</w:t>
      </w:r>
      <w:r w:rsidR="00796CEC" w:rsidRPr="00796CEC">
        <w:rPr>
          <w:rStyle w:val="medium-normal"/>
          <w:sz w:val="20"/>
          <w:szCs w:val="20"/>
        </w:rPr>
        <w:t xml:space="preserve"> </w:t>
      </w:r>
      <w:proofErr w:type="spellStart"/>
      <w:r w:rsidR="00796CEC" w:rsidRPr="00796CEC">
        <w:rPr>
          <w:rStyle w:val="medium-normal"/>
          <w:sz w:val="20"/>
          <w:szCs w:val="20"/>
        </w:rPr>
        <w:t>Wallin</w:t>
      </w:r>
      <w:proofErr w:type="spellEnd"/>
      <w:r w:rsidRPr="00796CEC">
        <w:rPr>
          <w:rStyle w:val="medium-normal"/>
          <w:sz w:val="20"/>
          <w:szCs w:val="20"/>
        </w:rPr>
        <w:t>. Faculty Response to Library Technology:</w:t>
      </w:r>
      <w:r w:rsidRPr="00FA73B6">
        <w:rPr>
          <w:rStyle w:val="medium-normal"/>
        </w:rPr>
        <w:t xml:space="preserve"> Insights on Attitudes. </w:t>
      </w:r>
      <w:r w:rsidRPr="00FA73B6">
        <w:rPr>
          <w:rStyle w:val="medium-normal"/>
          <w:i/>
          <w:iCs/>
        </w:rPr>
        <w:t>Library Trends</w:t>
      </w:r>
      <w:r w:rsidRPr="00FA73B6">
        <w:rPr>
          <w:rStyle w:val="medium-normal"/>
        </w:rPr>
        <w:t xml:space="preserve">, </w:t>
      </w:r>
      <w:r w:rsidRPr="003107EE">
        <w:rPr>
          <w:rStyle w:val="medium-normal"/>
          <w:iCs/>
        </w:rPr>
        <w:t>47</w:t>
      </w:r>
      <w:r w:rsidR="003107EE">
        <w:rPr>
          <w:rStyle w:val="medium-normal"/>
        </w:rPr>
        <w:t>.</w:t>
      </w:r>
      <w:r w:rsidRPr="00FA73B6">
        <w:rPr>
          <w:rStyle w:val="medium-normal"/>
        </w:rPr>
        <w:t>4</w:t>
      </w:r>
      <w:r w:rsidR="003107EE">
        <w:rPr>
          <w:rStyle w:val="medium-normal"/>
        </w:rPr>
        <w:t>(1999</w:t>
      </w:r>
      <w:r w:rsidRPr="00FA73B6">
        <w:rPr>
          <w:rStyle w:val="medium-normal"/>
        </w:rPr>
        <w:t>), 640</w:t>
      </w:r>
      <w:r w:rsidR="009F4611">
        <w:rPr>
          <w:rFonts w:asciiTheme="majorHAnsi" w:hAnsiTheme="majorHAnsi" w:cstheme="majorHAnsi"/>
          <w:sz w:val="20"/>
          <w:szCs w:val="20"/>
        </w:rPr>
        <w:t>-668.</w:t>
      </w:r>
    </w:p>
    <w:p w14:paraId="662756B1" w14:textId="4C7A91F7" w:rsidR="00532764" w:rsidRPr="00532764" w:rsidRDefault="003107EE" w:rsidP="00F877CC">
      <w:pPr>
        <w:pStyle w:val="NormalWeb"/>
        <w:ind w:left="450" w:hanging="450"/>
        <w:rPr>
          <w:rFonts w:asciiTheme="majorHAnsi" w:hAnsiTheme="majorHAnsi" w:cstheme="majorHAnsi"/>
          <w:sz w:val="20"/>
          <w:szCs w:val="20"/>
        </w:rPr>
      </w:pPr>
      <w:proofErr w:type="spellStart"/>
      <w:r>
        <w:rPr>
          <w:rFonts w:asciiTheme="majorHAnsi" w:hAnsiTheme="majorHAnsi" w:cstheme="majorHAnsi"/>
          <w:sz w:val="20"/>
          <w:szCs w:val="20"/>
        </w:rPr>
        <w:t>Suber</w:t>
      </w:r>
      <w:proofErr w:type="spellEnd"/>
      <w:r>
        <w:rPr>
          <w:rFonts w:asciiTheme="majorHAnsi" w:hAnsiTheme="majorHAnsi" w:cstheme="majorHAnsi"/>
          <w:sz w:val="20"/>
          <w:szCs w:val="20"/>
        </w:rPr>
        <w:t>, Peter.</w:t>
      </w:r>
      <w:r w:rsidR="00532764" w:rsidRPr="00532764">
        <w:rPr>
          <w:rFonts w:asciiTheme="majorHAnsi" w:hAnsiTheme="majorHAnsi" w:cstheme="majorHAnsi"/>
          <w:sz w:val="20"/>
          <w:szCs w:val="20"/>
        </w:rPr>
        <w:t xml:space="preserve"> Open access, impact, and demand. </w:t>
      </w:r>
      <w:r w:rsidR="00532764" w:rsidRPr="00532764">
        <w:rPr>
          <w:rFonts w:asciiTheme="majorHAnsi" w:hAnsiTheme="majorHAnsi" w:cstheme="majorHAnsi"/>
          <w:i/>
          <w:iCs/>
          <w:sz w:val="20"/>
          <w:szCs w:val="20"/>
        </w:rPr>
        <w:t>BMJ: British Medical Journal (International Edition)</w:t>
      </w:r>
      <w:r>
        <w:rPr>
          <w:rFonts w:asciiTheme="majorHAnsi" w:hAnsiTheme="majorHAnsi" w:cstheme="majorHAnsi"/>
          <w:sz w:val="20"/>
          <w:szCs w:val="20"/>
        </w:rPr>
        <w:t xml:space="preserve"> 330 (2005</w:t>
      </w:r>
      <w:r w:rsidR="00532764" w:rsidRPr="00532764">
        <w:rPr>
          <w:rFonts w:asciiTheme="majorHAnsi" w:hAnsiTheme="majorHAnsi" w:cstheme="majorHAnsi"/>
          <w:sz w:val="20"/>
          <w:szCs w:val="20"/>
        </w:rPr>
        <w:t xml:space="preserve">): 1097-8. </w:t>
      </w:r>
    </w:p>
    <w:p w14:paraId="0E35AF74" w14:textId="0CAC2450" w:rsidR="00532764" w:rsidRPr="00532764" w:rsidRDefault="003107EE" w:rsidP="00F877CC">
      <w:pPr>
        <w:pStyle w:val="NormalWeb"/>
        <w:ind w:left="450" w:hanging="450"/>
        <w:rPr>
          <w:rFonts w:asciiTheme="majorHAnsi" w:hAnsiTheme="majorHAnsi" w:cstheme="majorHAnsi"/>
          <w:sz w:val="20"/>
          <w:szCs w:val="20"/>
        </w:rPr>
      </w:pPr>
      <w:r>
        <w:rPr>
          <w:rFonts w:asciiTheme="majorHAnsi" w:hAnsiTheme="majorHAnsi" w:cstheme="majorHAnsi"/>
          <w:sz w:val="20"/>
          <w:szCs w:val="20"/>
        </w:rPr>
        <w:lastRenderedPageBreak/>
        <w:t>Thomas, Gwenda</w:t>
      </w:r>
      <w:r w:rsidR="00532764" w:rsidRPr="00532764">
        <w:rPr>
          <w:rFonts w:asciiTheme="majorHAnsi" w:hAnsiTheme="majorHAnsi" w:cstheme="majorHAnsi"/>
          <w:sz w:val="20"/>
          <w:szCs w:val="20"/>
        </w:rPr>
        <w:t xml:space="preserve">. Evaluating the impact of the institutional repository, or positioning innovation between a rock and a hard place. </w:t>
      </w:r>
      <w:r w:rsidR="00532764" w:rsidRPr="00532764">
        <w:rPr>
          <w:rFonts w:asciiTheme="majorHAnsi" w:hAnsiTheme="majorHAnsi" w:cstheme="majorHAnsi"/>
          <w:i/>
          <w:iCs/>
          <w:sz w:val="20"/>
          <w:szCs w:val="20"/>
        </w:rPr>
        <w:t>New Review of Information Networking</w:t>
      </w:r>
      <w:r>
        <w:rPr>
          <w:rFonts w:asciiTheme="majorHAnsi" w:hAnsiTheme="majorHAnsi" w:cstheme="majorHAnsi"/>
          <w:sz w:val="20"/>
          <w:szCs w:val="20"/>
        </w:rPr>
        <w:t xml:space="preserve"> 13</w:t>
      </w:r>
      <w:r w:rsidR="00796CEC">
        <w:rPr>
          <w:rFonts w:asciiTheme="majorHAnsi" w:hAnsiTheme="majorHAnsi" w:cstheme="majorHAnsi"/>
          <w:sz w:val="20"/>
          <w:szCs w:val="20"/>
        </w:rPr>
        <w:t>.2</w:t>
      </w:r>
      <w:r>
        <w:rPr>
          <w:rFonts w:asciiTheme="majorHAnsi" w:hAnsiTheme="majorHAnsi" w:cstheme="majorHAnsi"/>
          <w:sz w:val="20"/>
          <w:szCs w:val="20"/>
        </w:rPr>
        <w:t xml:space="preserve"> (2007): 133-46.</w:t>
      </w:r>
      <w:r w:rsidR="00532764" w:rsidRPr="00532764">
        <w:rPr>
          <w:rFonts w:asciiTheme="majorHAnsi" w:hAnsiTheme="majorHAnsi" w:cstheme="majorHAnsi"/>
          <w:sz w:val="20"/>
          <w:szCs w:val="20"/>
        </w:rPr>
        <w:t xml:space="preserve"> </w:t>
      </w:r>
    </w:p>
    <w:p w14:paraId="3C989EE0" w14:textId="213DCADC" w:rsidR="00532764" w:rsidRPr="00532764" w:rsidRDefault="00532764" w:rsidP="00F877CC">
      <w:pPr>
        <w:pStyle w:val="NormalWeb"/>
        <w:ind w:left="450" w:hanging="450"/>
        <w:rPr>
          <w:rFonts w:asciiTheme="majorHAnsi" w:hAnsiTheme="majorHAnsi" w:cstheme="majorHAnsi"/>
          <w:sz w:val="20"/>
          <w:szCs w:val="20"/>
        </w:rPr>
      </w:pPr>
      <w:r w:rsidRPr="00532764">
        <w:rPr>
          <w:rFonts w:asciiTheme="majorHAnsi" w:hAnsiTheme="majorHAnsi" w:cstheme="majorHAnsi"/>
          <w:sz w:val="20"/>
          <w:szCs w:val="20"/>
        </w:rPr>
        <w:t xml:space="preserve">Xia, Jingfeng. Assessment of self-archiving in institutional repositories: Across disciplines. </w:t>
      </w:r>
      <w:r w:rsidRPr="00532764">
        <w:rPr>
          <w:rFonts w:asciiTheme="majorHAnsi" w:hAnsiTheme="majorHAnsi" w:cstheme="majorHAnsi"/>
          <w:i/>
          <w:iCs/>
          <w:sz w:val="20"/>
          <w:szCs w:val="20"/>
        </w:rPr>
        <w:t>The Journal of Academic Librarianship</w:t>
      </w:r>
      <w:r w:rsidR="003107EE">
        <w:rPr>
          <w:rFonts w:asciiTheme="majorHAnsi" w:hAnsiTheme="majorHAnsi" w:cstheme="majorHAnsi"/>
          <w:sz w:val="20"/>
          <w:szCs w:val="20"/>
        </w:rPr>
        <w:t xml:space="preserve"> 33.6 (</w:t>
      </w:r>
      <w:r w:rsidR="003107EE" w:rsidRPr="00532764">
        <w:rPr>
          <w:rFonts w:asciiTheme="majorHAnsi" w:hAnsiTheme="majorHAnsi" w:cstheme="majorHAnsi"/>
          <w:sz w:val="20"/>
          <w:szCs w:val="20"/>
        </w:rPr>
        <w:t>2007</w:t>
      </w:r>
      <w:r w:rsidRPr="00532764">
        <w:rPr>
          <w:rFonts w:asciiTheme="majorHAnsi" w:hAnsiTheme="majorHAnsi" w:cstheme="majorHAnsi"/>
          <w:sz w:val="20"/>
          <w:szCs w:val="20"/>
        </w:rPr>
        <w:t xml:space="preserve">): 647-54. </w:t>
      </w:r>
    </w:p>
    <w:p w14:paraId="4CD304B4" w14:textId="4FC35327" w:rsidR="00F877CC" w:rsidRPr="003107EE" w:rsidRDefault="00393E3A" w:rsidP="003107EE">
      <w:pPr>
        <w:keepNext/>
        <w:spacing w:after="0"/>
        <w:ind w:left="450" w:hanging="450"/>
        <w:rPr>
          <w:rFonts w:asciiTheme="majorHAnsi" w:hAnsiTheme="majorHAnsi" w:cstheme="majorHAnsi"/>
          <w:sz w:val="20"/>
          <w:szCs w:val="20"/>
        </w:rPr>
      </w:pPr>
      <w:r w:rsidRPr="00532764">
        <w:rPr>
          <w:rFonts w:asciiTheme="majorHAnsi" w:hAnsiTheme="majorHAnsi" w:cstheme="majorHAnsi"/>
          <w:sz w:val="20"/>
          <w:szCs w:val="20"/>
        </w:rPr>
        <w:t xml:space="preserve">University System of Georgia. (2009). Instructional Faculty by Rank Fall 2008. </w:t>
      </w:r>
      <w:r w:rsidR="00532764" w:rsidRPr="00532764">
        <w:rPr>
          <w:rFonts w:asciiTheme="majorHAnsi" w:hAnsiTheme="majorHAnsi" w:cstheme="majorHAnsi"/>
          <w:sz w:val="20"/>
          <w:szCs w:val="20"/>
        </w:rPr>
        <w:t xml:space="preserve">  </w:t>
      </w:r>
      <w:hyperlink r:id="rId13" w:history="1">
        <w:r w:rsidRPr="00532764">
          <w:rPr>
            <w:rStyle w:val="Hyperlink"/>
            <w:rFonts w:asciiTheme="majorHAnsi" w:hAnsiTheme="majorHAnsi" w:cstheme="majorHAnsi"/>
            <w:sz w:val="20"/>
            <w:szCs w:val="20"/>
          </w:rPr>
          <w:t>http://www.usg.edu/research/documents/faculty/instr-fac-rank08.pdf</w:t>
        </w:r>
      </w:hyperlink>
      <w:r w:rsidR="00F877CC" w:rsidRPr="00F877CC">
        <w:rPr>
          <w:rFonts w:ascii="Times" w:hAnsi="Times" w:cs="Helvetica"/>
          <w:color w:val="000000"/>
        </w:rPr>
        <w:t xml:space="preserve"> </w:t>
      </w:r>
    </w:p>
    <w:p w14:paraId="4DCE3073" w14:textId="7A25889C" w:rsidR="00F877CC" w:rsidRPr="00F877CC" w:rsidRDefault="00F877CC" w:rsidP="00F877CC">
      <w:pPr>
        <w:keepNext/>
        <w:spacing w:after="0"/>
        <w:ind w:firstLine="720"/>
        <w:rPr>
          <w:rFonts w:asciiTheme="majorHAnsi" w:hAnsiTheme="majorHAnsi" w:cstheme="majorHAnsi"/>
          <w:color w:val="0000FF" w:themeColor="hyperlink"/>
          <w:sz w:val="20"/>
          <w:szCs w:val="20"/>
          <w:u w:val="single"/>
        </w:rPr>
      </w:pPr>
      <w:bookmarkStart w:id="2" w:name="_GoBack"/>
      <w:bookmarkEnd w:id="2"/>
    </w:p>
    <w:sectPr w:rsidR="00F877CC" w:rsidRPr="00F877CC" w:rsidSect="002F2A65">
      <w:footerReference w:type="even" r:id="rId14"/>
      <w:footerReference w:type="default" r:id="rId15"/>
      <w:pgSz w:w="10080" w:h="14400"/>
      <w:pgMar w:top="850" w:right="850" w:bottom="850" w:left="12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A594" w14:textId="77777777" w:rsidR="00A414C1" w:rsidRDefault="00A414C1" w:rsidP="003421B8">
      <w:r>
        <w:separator/>
      </w:r>
    </w:p>
  </w:endnote>
  <w:endnote w:type="continuationSeparator" w:id="0">
    <w:p w14:paraId="05822D81" w14:textId="77777777" w:rsidR="00A414C1" w:rsidRDefault="00A414C1" w:rsidP="0034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0C7C6" w14:textId="77777777" w:rsidR="00852C93" w:rsidRDefault="00852C93">
    <w:pPr>
      <w:pStyle w:val="Footer"/>
    </w:pPr>
  </w:p>
  <w:p w14:paraId="71BCBD6F" w14:textId="77777777" w:rsidR="00852C93" w:rsidRDefault="00852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A30C3" w14:textId="77777777" w:rsidR="00852C93" w:rsidRDefault="00852C93">
    <w:pPr>
      <w:pStyle w:val="Footer"/>
    </w:pPr>
  </w:p>
  <w:p w14:paraId="0D6D6336" w14:textId="77777777" w:rsidR="00852C93" w:rsidRDefault="00852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23638" w14:textId="77777777" w:rsidR="00A414C1" w:rsidRDefault="00A414C1" w:rsidP="003421B8">
      <w:r>
        <w:separator/>
      </w:r>
    </w:p>
  </w:footnote>
  <w:footnote w:type="continuationSeparator" w:id="0">
    <w:p w14:paraId="28BAF77E" w14:textId="77777777" w:rsidR="00A414C1" w:rsidRDefault="00A414C1" w:rsidP="003421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E4D66"/>
    <w:multiLevelType w:val="hybridMultilevel"/>
    <w:tmpl w:val="5D6E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C3021"/>
    <w:multiLevelType w:val="hybridMultilevel"/>
    <w:tmpl w:val="4A889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7A2F9D"/>
    <w:multiLevelType w:val="multilevel"/>
    <w:tmpl w:val="A8E4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6599B"/>
    <w:multiLevelType w:val="hybridMultilevel"/>
    <w:tmpl w:val="CD88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attachedTemplate r:id="rId1"/>
  <w:linkStyl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4D"/>
    <w:rsid w:val="0001438E"/>
    <w:rsid w:val="0003027F"/>
    <w:rsid w:val="00034033"/>
    <w:rsid w:val="00034D47"/>
    <w:rsid w:val="00051F9C"/>
    <w:rsid w:val="00052439"/>
    <w:rsid w:val="000528EF"/>
    <w:rsid w:val="00077FF6"/>
    <w:rsid w:val="000A484C"/>
    <w:rsid w:val="000B4DD2"/>
    <w:rsid w:val="000C11A1"/>
    <w:rsid w:val="000D5B45"/>
    <w:rsid w:val="000F7DD9"/>
    <w:rsid w:val="00115260"/>
    <w:rsid w:val="00124E4D"/>
    <w:rsid w:val="00126390"/>
    <w:rsid w:val="00146740"/>
    <w:rsid w:val="0015394A"/>
    <w:rsid w:val="001544BA"/>
    <w:rsid w:val="001669C1"/>
    <w:rsid w:val="0017126F"/>
    <w:rsid w:val="00180982"/>
    <w:rsid w:val="001924FF"/>
    <w:rsid w:val="001C4DDC"/>
    <w:rsid w:val="001E2583"/>
    <w:rsid w:val="001E7E7C"/>
    <w:rsid w:val="00201A4E"/>
    <w:rsid w:val="00203EF2"/>
    <w:rsid w:val="002059BD"/>
    <w:rsid w:val="00224E43"/>
    <w:rsid w:val="002333D6"/>
    <w:rsid w:val="00282121"/>
    <w:rsid w:val="00297114"/>
    <w:rsid w:val="002A019C"/>
    <w:rsid w:val="002A1943"/>
    <w:rsid w:val="002C125A"/>
    <w:rsid w:val="002C1647"/>
    <w:rsid w:val="002C16C1"/>
    <w:rsid w:val="002D4957"/>
    <w:rsid w:val="002E12CD"/>
    <w:rsid w:val="002E6195"/>
    <w:rsid w:val="002F2A65"/>
    <w:rsid w:val="003075F0"/>
    <w:rsid w:val="00307E8C"/>
    <w:rsid w:val="003107EE"/>
    <w:rsid w:val="003214D9"/>
    <w:rsid w:val="003267AB"/>
    <w:rsid w:val="00336EE3"/>
    <w:rsid w:val="003421B8"/>
    <w:rsid w:val="00352400"/>
    <w:rsid w:val="00355279"/>
    <w:rsid w:val="003654DA"/>
    <w:rsid w:val="00377F25"/>
    <w:rsid w:val="00381FE9"/>
    <w:rsid w:val="00384887"/>
    <w:rsid w:val="00393E3A"/>
    <w:rsid w:val="003D2492"/>
    <w:rsid w:val="003E3C7E"/>
    <w:rsid w:val="004652DE"/>
    <w:rsid w:val="00466C48"/>
    <w:rsid w:val="00467EBD"/>
    <w:rsid w:val="00493675"/>
    <w:rsid w:val="00495A95"/>
    <w:rsid w:val="004C2061"/>
    <w:rsid w:val="004C3883"/>
    <w:rsid w:val="00513935"/>
    <w:rsid w:val="00520185"/>
    <w:rsid w:val="0052378A"/>
    <w:rsid w:val="00532764"/>
    <w:rsid w:val="005630A9"/>
    <w:rsid w:val="00570BC9"/>
    <w:rsid w:val="00572C95"/>
    <w:rsid w:val="00585B37"/>
    <w:rsid w:val="00595358"/>
    <w:rsid w:val="005A3071"/>
    <w:rsid w:val="005A3D6F"/>
    <w:rsid w:val="005E0511"/>
    <w:rsid w:val="005E7F90"/>
    <w:rsid w:val="006033EC"/>
    <w:rsid w:val="00616DD8"/>
    <w:rsid w:val="00655B26"/>
    <w:rsid w:val="00660BBE"/>
    <w:rsid w:val="00682B60"/>
    <w:rsid w:val="00690845"/>
    <w:rsid w:val="006A2924"/>
    <w:rsid w:val="006B22D1"/>
    <w:rsid w:val="006C35EC"/>
    <w:rsid w:val="006E04C3"/>
    <w:rsid w:val="006F5BB1"/>
    <w:rsid w:val="006F7391"/>
    <w:rsid w:val="00707C5A"/>
    <w:rsid w:val="00751A23"/>
    <w:rsid w:val="00754297"/>
    <w:rsid w:val="00775AE4"/>
    <w:rsid w:val="00776839"/>
    <w:rsid w:val="007962E2"/>
    <w:rsid w:val="00796CEC"/>
    <w:rsid w:val="00797B03"/>
    <w:rsid w:val="007A08DC"/>
    <w:rsid w:val="007B1C00"/>
    <w:rsid w:val="007B4E97"/>
    <w:rsid w:val="007E7E32"/>
    <w:rsid w:val="00816848"/>
    <w:rsid w:val="00824646"/>
    <w:rsid w:val="00844C87"/>
    <w:rsid w:val="00847BFF"/>
    <w:rsid w:val="00852C93"/>
    <w:rsid w:val="00853839"/>
    <w:rsid w:val="00864EE6"/>
    <w:rsid w:val="008D77B3"/>
    <w:rsid w:val="008F3094"/>
    <w:rsid w:val="00916B6F"/>
    <w:rsid w:val="00933B12"/>
    <w:rsid w:val="00941C21"/>
    <w:rsid w:val="009422AA"/>
    <w:rsid w:val="0097730E"/>
    <w:rsid w:val="00980D23"/>
    <w:rsid w:val="00983D35"/>
    <w:rsid w:val="009A61C3"/>
    <w:rsid w:val="009A740A"/>
    <w:rsid w:val="009B088C"/>
    <w:rsid w:val="009B5310"/>
    <w:rsid w:val="009D0E46"/>
    <w:rsid w:val="009D765D"/>
    <w:rsid w:val="009E4843"/>
    <w:rsid w:val="009E67F7"/>
    <w:rsid w:val="009F0DD0"/>
    <w:rsid w:val="009F4611"/>
    <w:rsid w:val="00A07226"/>
    <w:rsid w:val="00A15095"/>
    <w:rsid w:val="00A414C1"/>
    <w:rsid w:val="00A44F00"/>
    <w:rsid w:val="00A568DE"/>
    <w:rsid w:val="00A57A90"/>
    <w:rsid w:val="00A6038A"/>
    <w:rsid w:val="00A81B0C"/>
    <w:rsid w:val="00A85878"/>
    <w:rsid w:val="00AB7BD4"/>
    <w:rsid w:val="00AE0FD9"/>
    <w:rsid w:val="00B12AE4"/>
    <w:rsid w:val="00B262C5"/>
    <w:rsid w:val="00B26947"/>
    <w:rsid w:val="00B30F4D"/>
    <w:rsid w:val="00B5329F"/>
    <w:rsid w:val="00B809EA"/>
    <w:rsid w:val="00B925BE"/>
    <w:rsid w:val="00B979F4"/>
    <w:rsid w:val="00BB5F89"/>
    <w:rsid w:val="00BB6D3C"/>
    <w:rsid w:val="00BD188C"/>
    <w:rsid w:val="00BF6E74"/>
    <w:rsid w:val="00C268CF"/>
    <w:rsid w:val="00C26A64"/>
    <w:rsid w:val="00C376E2"/>
    <w:rsid w:val="00C474ED"/>
    <w:rsid w:val="00C47EE5"/>
    <w:rsid w:val="00C714A9"/>
    <w:rsid w:val="00CA089E"/>
    <w:rsid w:val="00CA4E9F"/>
    <w:rsid w:val="00CF14EB"/>
    <w:rsid w:val="00CF3455"/>
    <w:rsid w:val="00CF5CDF"/>
    <w:rsid w:val="00D05E75"/>
    <w:rsid w:val="00D149DC"/>
    <w:rsid w:val="00D42494"/>
    <w:rsid w:val="00D555C6"/>
    <w:rsid w:val="00DA27B5"/>
    <w:rsid w:val="00DC119F"/>
    <w:rsid w:val="00DD00F1"/>
    <w:rsid w:val="00DF16E1"/>
    <w:rsid w:val="00DF20C5"/>
    <w:rsid w:val="00DF2459"/>
    <w:rsid w:val="00E06771"/>
    <w:rsid w:val="00E21F85"/>
    <w:rsid w:val="00E41CE6"/>
    <w:rsid w:val="00E75690"/>
    <w:rsid w:val="00E87267"/>
    <w:rsid w:val="00E9441A"/>
    <w:rsid w:val="00E962DB"/>
    <w:rsid w:val="00E97D3D"/>
    <w:rsid w:val="00EB5495"/>
    <w:rsid w:val="00EE5ED5"/>
    <w:rsid w:val="00EF23E0"/>
    <w:rsid w:val="00EF3EDD"/>
    <w:rsid w:val="00F01778"/>
    <w:rsid w:val="00F56942"/>
    <w:rsid w:val="00F632B5"/>
    <w:rsid w:val="00F744F0"/>
    <w:rsid w:val="00F877CC"/>
    <w:rsid w:val="00F90015"/>
    <w:rsid w:val="00F944C0"/>
    <w:rsid w:val="00FA3EC4"/>
    <w:rsid w:val="00FA47AA"/>
    <w:rsid w:val="00FD0E21"/>
    <w:rsid w:val="00FD3620"/>
    <w:rsid w:val="00FF7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A0580"/>
  <w15:docId w15:val="{FF92F7A4-34B9-4433-88CA-06517A68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9F"/>
  </w:style>
  <w:style w:type="paragraph" w:styleId="Heading1">
    <w:name w:val="heading 1"/>
    <w:basedOn w:val="Normal"/>
    <w:next w:val="Normal"/>
    <w:link w:val="Heading1Char"/>
    <w:uiPriority w:val="9"/>
    <w:rsid w:val="00CA4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Heading">
    <w:name w:val="ArticleTitleHeading"/>
    <w:basedOn w:val="Normal"/>
    <w:link w:val="ArticleTitleHeadingChar"/>
    <w:qFormat/>
    <w:rsid w:val="00CA4E9F"/>
    <w:pPr>
      <w:spacing w:after="0" w:line="240" w:lineRule="auto"/>
      <w:jc w:val="center"/>
    </w:pPr>
    <w:rPr>
      <w:rFonts w:asciiTheme="majorHAnsi" w:eastAsia="Times New Roman" w:hAnsiTheme="majorHAnsi" w:cs="Times New Roman"/>
      <w:b/>
      <w:sz w:val="36"/>
      <w:szCs w:val="36"/>
    </w:rPr>
  </w:style>
  <w:style w:type="paragraph" w:customStyle="1" w:styleId="AffiliationHeading">
    <w:name w:val="AffiliationHeading"/>
    <w:basedOn w:val="Normal"/>
    <w:qFormat/>
    <w:rsid w:val="00CA4E9F"/>
    <w:pPr>
      <w:spacing w:after="0" w:line="240" w:lineRule="auto"/>
      <w:jc w:val="center"/>
    </w:pPr>
    <w:rPr>
      <w:rFonts w:asciiTheme="majorHAnsi" w:eastAsia="Times New Roman" w:hAnsiTheme="majorHAnsi" w:cs="Times New Roman"/>
      <w:sz w:val="20"/>
      <w:szCs w:val="20"/>
    </w:rPr>
  </w:style>
  <w:style w:type="character" w:customStyle="1" w:styleId="ArticleTitleHeadingChar">
    <w:name w:val="ArticleTitleHeading Char"/>
    <w:basedOn w:val="DefaultParagraphFont"/>
    <w:link w:val="ArticleTitleHeading"/>
    <w:rsid w:val="00CA4E9F"/>
    <w:rPr>
      <w:rFonts w:asciiTheme="majorHAnsi" w:eastAsia="Times New Roman" w:hAnsiTheme="majorHAnsi" w:cs="Times New Roman"/>
      <w:b/>
      <w:sz w:val="36"/>
      <w:szCs w:val="36"/>
    </w:rPr>
  </w:style>
  <w:style w:type="paragraph" w:customStyle="1" w:styleId="AbstractStyle">
    <w:name w:val="AbstractStyle"/>
    <w:basedOn w:val="Normal"/>
    <w:link w:val="AbstractStyleChar"/>
    <w:qFormat/>
    <w:rsid w:val="00CA4E9F"/>
    <w:pPr>
      <w:spacing w:after="0" w:line="240" w:lineRule="auto"/>
      <w:jc w:val="both"/>
    </w:pPr>
    <w:rPr>
      <w:i/>
      <w:sz w:val="16"/>
      <w:szCs w:val="20"/>
    </w:rPr>
  </w:style>
  <w:style w:type="paragraph" w:customStyle="1" w:styleId="SectionHeading">
    <w:name w:val="SectionHeading"/>
    <w:basedOn w:val="Normal"/>
    <w:link w:val="SectionHeadingChar"/>
    <w:rsid w:val="00CA4E9F"/>
    <w:rPr>
      <w:b/>
      <w:sz w:val="24"/>
      <w:szCs w:val="20"/>
    </w:rPr>
  </w:style>
  <w:style w:type="character" w:customStyle="1" w:styleId="AbstractStyleChar">
    <w:name w:val="AbstractStyle Char"/>
    <w:basedOn w:val="DefaultParagraphFont"/>
    <w:link w:val="AbstractStyle"/>
    <w:rsid w:val="00CA4E9F"/>
    <w:rPr>
      <w:i/>
      <w:sz w:val="16"/>
      <w:szCs w:val="20"/>
    </w:rPr>
  </w:style>
  <w:style w:type="paragraph" w:customStyle="1" w:styleId="FirstParaOfSectionTextStyle">
    <w:name w:val="FirstParaOfSectionTextStyle"/>
    <w:basedOn w:val="SectionHeading"/>
    <w:link w:val="FirstParaOfSectionTextStyleChar"/>
    <w:rsid w:val="00CA4E9F"/>
    <w:pPr>
      <w:spacing w:line="240" w:lineRule="auto"/>
      <w:jc w:val="both"/>
    </w:pPr>
    <w:rPr>
      <w:b w:val="0"/>
    </w:rPr>
  </w:style>
  <w:style w:type="character" w:customStyle="1" w:styleId="SectionHeadingChar">
    <w:name w:val="SectionHeading Char"/>
    <w:basedOn w:val="DefaultParagraphFont"/>
    <w:link w:val="SectionHeading"/>
    <w:rsid w:val="00CA4E9F"/>
    <w:rPr>
      <w:b/>
      <w:sz w:val="24"/>
      <w:szCs w:val="20"/>
    </w:rPr>
  </w:style>
  <w:style w:type="paragraph" w:customStyle="1" w:styleId="BlockQuote">
    <w:name w:val="BlockQuote"/>
    <w:basedOn w:val="Normal"/>
    <w:link w:val="BlockQuoteChar"/>
    <w:qFormat/>
    <w:rsid w:val="00CA4E9F"/>
    <w:pPr>
      <w:spacing w:before="200" w:line="240" w:lineRule="auto"/>
      <w:ind w:left="720"/>
      <w:jc w:val="both"/>
    </w:pPr>
    <w:rPr>
      <w:sz w:val="20"/>
      <w:szCs w:val="20"/>
    </w:rPr>
  </w:style>
  <w:style w:type="character" w:customStyle="1" w:styleId="FirstParaOfSectionTextStyleChar">
    <w:name w:val="FirstParaOfSectionTextStyle Char"/>
    <w:basedOn w:val="SectionHeadingChar"/>
    <w:link w:val="FirstParaOfSectionTextStyle"/>
    <w:rsid w:val="00CA4E9F"/>
    <w:rPr>
      <w:b w:val="0"/>
      <w:sz w:val="24"/>
      <w:szCs w:val="20"/>
    </w:rPr>
  </w:style>
  <w:style w:type="paragraph" w:customStyle="1" w:styleId="SectionSubheading1">
    <w:name w:val="SectionSubheading1"/>
    <w:basedOn w:val="FirstParaofSectionTextStyle0"/>
    <w:link w:val="SectionSubheading1Char"/>
    <w:qFormat/>
    <w:rsid w:val="00CA4E9F"/>
    <w:pPr>
      <w:spacing w:before="200" w:after="200"/>
    </w:pPr>
    <w:rPr>
      <w:b/>
      <w:i/>
      <w:sz w:val="21"/>
    </w:rPr>
  </w:style>
  <w:style w:type="character" w:customStyle="1" w:styleId="BlockQuoteChar">
    <w:name w:val="BlockQuote Char"/>
    <w:basedOn w:val="DefaultParagraphFont"/>
    <w:link w:val="BlockQuote"/>
    <w:rsid w:val="00CA4E9F"/>
    <w:rPr>
      <w:sz w:val="20"/>
      <w:szCs w:val="20"/>
    </w:rPr>
  </w:style>
  <w:style w:type="paragraph" w:customStyle="1" w:styleId="SectionSubheading2">
    <w:name w:val="SectionSubheading2"/>
    <w:basedOn w:val="SectionSubheading1"/>
    <w:link w:val="SectionSubheading2Char"/>
    <w:qFormat/>
    <w:rsid w:val="00CA4E9F"/>
    <w:rPr>
      <w:i w:val="0"/>
    </w:rPr>
  </w:style>
  <w:style w:type="character" w:customStyle="1" w:styleId="SectionSubheading1Char">
    <w:name w:val="SectionSubheading1 Char"/>
    <w:basedOn w:val="FirstParaofSectionTextStyleChar0"/>
    <w:link w:val="SectionSubheading1"/>
    <w:rsid w:val="00CA4E9F"/>
    <w:rPr>
      <w:b/>
      <w:i/>
      <w:sz w:val="21"/>
      <w:szCs w:val="20"/>
    </w:rPr>
  </w:style>
  <w:style w:type="paragraph" w:customStyle="1" w:styleId="ReferencesHeading">
    <w:name w:val="ReferencesHeading"/>
    <w:basedOn w:val="SectionSubheading2"/>
    <w:link w:val="ReferencesHeadingChar"/>
    <w:qFormat/>
    <w:rsid w:val="00CA4E9F"/>
    <w:pPr>
      <w:jc w:val="center"/>
    </w:pPr>
    <w:rPr>
      <w:sz w:val="24"/>
      <w:szCs w:val="24"/>
    </w:rPr>
  </w:style>
  <w:style w:type="character" w:customStyle="1" w:styleId="SectionSubheading2Char">
    <w:name w:val="SectionSubheading2 Char"/>
    <w:basedOn w:val="SectionSubheading1Char"/>
    <w:link w:val="SectionSubheading2"/>
    <w:rsid w:val="00CA4E9F"/>
    <w:rPr>
      <w:b/>
      <w:i w:val="0"/>
      <w:sz w:val="21"/>
      <w:szCs w:val="20"/>
    </w:rPr>
  </w:style>
  <w:style w:type="paragraph" w:customStyle="1" w:styleId="ReferncesText">
    <w:name w:val="ReferncesText"/>
    <w:link w:val="ReferncesTextChar"/>
    <w:qFormat/>
    <w:rsid w:val="00CA4E9F"/>
    <w:pPr>
      <w:spacing w:after="0" w:line="240" w:lineRule="auto"/>
      <w:ind w:left="720" w:hanging="720"/>
      <w:jc w:val="both"/>
    </w:pPr>
    <w:rPr>
      <w:sz w:val="20"/>
      <w:szCs w:val="24"/>
    </w:rPr>
  </w:style>
  <w:style w:type="character" w:customStyle="1" w:styleId="ReferencesHeadingChar">
    <w:name w:val="ReferencesHeading Char"/>
    <w:basedOn w:val="SectionSubheading2Char"/>
    <w:link w:val="ReferencesHeading"/>
    <w:rsid w:val="00CA4E9F"/>
    <w:rPr>
      <w:b/>
      <w:i w:val="0"/>
      <w:sz w:val="24"/>
      <w:szCs w:val="24"/>
    </w:rPr>
  </w:style>
  <w:style w:type="character" w:styleId="Hyperlink">
    <w:name w:val="Hyperlink"/>
    <w:basedOn w:val="DefaultParagraphFont"/>
    <w:uiPriority w:val="99"/>
    <w:unhideWhenUsed/>
    <w:rsid w:val="00CA4E9F"/>
    <w:rPr>
      <w:color w:val="0000FF" w:themeColor="hyperlink"/>
      <w:u w:val="single"/>
    </w:rPr>
  </w:style>
  <w:style w:type="character" w:customStyle="1" w:styleId="ReferncesTextChar">
    <w:name w:val="ReferncesText Char"/>
    <w:basedOn w:val="ReferencesHeadingChar"/>
    <w:link w:val="ReferncesText"/>
    <w:rsid w:val="00CA4E9F"/>
    <w:rPr>
      <w:b w:val="0"/>
      <w:i w:val="0"/>
      <w:sz w:val="20"/>
      <w:szCs w:val="24"/>
    </w:rPr>
  </w:style>
  <w:style w:type="paragraph" w:customStyle="1" w:styleId="AboutTheAuthorsHeading">
    <w:name w:val="AboutTheAuthorsHeading"/>
    <w:basedOn w:val="ReferncesText"/>
    <w:link w:val="AboutTheAuthorsHeadingChar"/>
    <w:qFormat/>
    <w:rsid w:val="00CA4E9F"/>
    <w:pPr>
      <w:spacing w:after="240"/>
      <w:jc w:val="center"/>
    </w:pPr>
    <w:rPr>
      <w:b/>
      <w:sz w:val="24"/>
    </w:rPr>
  </w:style>
  <w:style w:type="paragraph" w:customStyle="1" w:styleId="AuthorNameHeading">
    <w:name w:val="AuthorNameHeading"/>
    <w:basedOn w:val="AboutTheAuthorsHeading"/>
    <w:next w:val="NoSpacing"/>
    <w:link w:val="AuthorNameHeadingChar"/>
    <w:qFormat/>
    <w:rsid w:val="00CA4E9F"/>
    <w:pPr>
      <w:jc w:val="left"/>
    </w:pPr>
    <w:rPr>
      <w:i/>
      <w:sz w:val="20"/>
    </w:rPr>
  </w:style>
  <w:style w:type="character" w:customStyle="1" w:styleId="AboutTheAuthorsHeadingChar">
    <w:name w:val="AboutTheAuthorsHeading Char"/>
    <w:basedOn w:val="ReferncesTextChar"/>
    <w:link w:val="AboutTheAuthorsHeading"/>
    <w:rsid w:val="00CA4E9F"/>
    <w:rPr>
      <w:b/>
      <w:i w:val="0"/>
      <w:sz w:val="24"/>
      <w:szCs w:val="24"/>
    </w:rPr>
  </w:style>
  <w:style w:type="paragraph" w:customStyle="1" w:styleId="AuthorBioText">
    <w:name w:val="AuthorBioText"/>
    <w:link w:val="AuthorBioTextChar"/>
    <w:rsid w:val="00CA4E9F"/>
    <w:rPr>
      <w:sz w:val="20"/>
      <w:szCs w:val="20"/>
    </w:rPr>
  </w:style>
  <w:style w:type="character" w:customStyle="1" w:styleId="AuthorNameHeadingChar">
    <w:name w:val="AuthorNameHeading Char"/>
    <w:basedOn w:val="AboutTheAuthorsHeadingChar"/>
    <w:link w:val="AuthorNameHeading"/>
    <w:rsid w:val="00CA4E9F"/>
    <w:rPr>
      <w:b/>
      <w:i/>
      <w:sz w:val="20"/>
      <w:szCs w:val="24"/>
    </w:rPr>
  </w:style>
  <w:style w:type="paragraph" w:customStyle="1" w:styleId="AuthorBiographyText">
    <w:name w:val="AuthorBiographyText"/>
    <w:basedOn w:val="AuthorBioText"/>
    <w:next w:val="AuthorNameHeading"/>
    <w:link w:val="AuthorBiographyTextChar"/>
    <w:qFormat/>
    <w:rsid w:val="00CA4E9F"/>
    <w:pPr>
      <w:spacing w:line="240" w:lineRule="auto"/>
      <w:jc w:val="both"/>
    </w:pPr>
    <w:rPr>
      <w:szCs w:val="24"/>
    </w:rPr>
  </w:style>
  <w:style w:type="character" w:customStyle="1" w:styleId="AuthorBioTextChar">
    <w:name w:val="AuthorBioText Char"/>
    <w:basedOn w:val="AuthorNameHeadingChar"/>
    <w:link w:val="AuthorBioText"/>
    <w:rsid w:val="00CA4E9F"/>
    <w:rPr>
      <w:b w:val="0"/>
      <w:i w:val="0"/>
      <w:sz w:val="20"/>
      <w:szCs w:val="20"/>
    </w:rPr>
  </w:style>
  <w:style w:type="paragraph" w:styleId="Header">
    <w:name w:val="header"/>
    <w:basedOn w:val="Normal"/>
    <w:link w:val="HeaderChar"/>
    <w:uiPriority w:val="99"/>
    <w:unhideWhenUsed/>
    <w:rsid w:val="00CA4E9F"/>
    <w:pPr>
      <w:tabs>
        <w:tab w:val="center" w:pos="4680"/>
        <w:tab w:val="right" w:pos="9360"/>
      </w:tabs>
      <w:spacing w:after="0" w:line="240" w:lineRule="auto"/>
    </w:pPr>
  </w:style>
  <w:style w:type="character" w:customStyle="1" w:styleId="AuthorBiographyTextChar">
    <w:name w:val="AuthorBiographyText Char"/>
    <w:basedOn w:val="DefaultParagraphFont"/>
    <w:link w:val="AuthorBiographyText"/>
    <w:rsid w:val="00CA4E9F"/>
    <w:rPr>
      <w:sz w:val="20"/>
      <w:szCs w:val="24"/>
    </w:rPr>
  </w:style>
  <w:style w:type="paragraph" w:styleId="NoSpacing">
    <w:name w:val="No Spacing"/>
    <w:uiPriority w:val="1"/>
    <w:qFormat/>
    <w:rsid w:val="00CA4E9F"/>
    <w:pPr>
      <w:spacing w:after="0" w:line="240" w:lineRule="auto"/>
    </w:pPr>
  </w:style>
  <w:style w:type="character" w:customStyle="1" w:styleId="HeaderChar">
    <w:name w:val="Header Char"/>
    <w:basedOn w:val="DefaultParagraphFont"/>
    <w:link w:val="Header"/>
    <w:uiPriority w:val="99"/>
    <w:rsid w:val="00CA4E9F"/>
  </w:style>
  <w:style w:type="paragraph" w:styleId="Footer">
    <w:name w:val="footer"/>
    <w:basedOn w:val="Normal"/>
    <w:link w:val="FooterChar"/>
    <w:uiPriority w:val="99"/>
    <w:unhideWhenUsed/>
    <w:rsid w:val="00CA4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E9F"/>
  </w:style>
  <w:style w:type="paragraph" w:customStyle="1" w:styleId="EvenPageHeaderStyle">
    <w:name w:val="EvenPageHeaderStyle"/>
    <w:basedOn w:val="Header"/>
    <w:link w:val="EvenPageHeaderStyleChar"/>
    <w:qFormat/>
    <w:rsid w:val="00CA4E9F"/>
    <w:pPr>
      <w:spacing w:after="360"/>
    </w:pPr>
    <w:rPr>
      <w:b/>
      <w:sz w:val="16"/>
      <w:szCs w:val="20"/>
    </w:rPr>
  </w:style>
  <w:style w:type="paragraph" w:customStyle="1" w:styleId="OddPageHeaderStyle">
    <w:name w:val="OddPageHeaderStyle"/>
    <w:basedOn w:val="Header"/>
    <w:link w:val="OddPageHeaderStyleChar"/>
    <w:qFormat/>
    <w:rsid w:val="00CA4E9F"/>
    <w:pPr>
      <w:spacing w:after="360"/>
      <w:jc w:val="right"/>
    </w:pPr>
    <w:rPr>
      <w:b/>
      <w:sz w:val="16"/>
      <w:szCs w:val="20"/>
    </w:rPr>
  </w:style>
  <w:style w:type="character" w:customStyle="1" w:styleId="EvenPageHeaderStyleChar">
    <w:name w:val="EvenPageHeaderStyle Char"/>
    <w:basedOn w:val="HeaderChar"/>
    <w:link w:val="EvenPageHeaderStyle"/>
    <w:rsid w:val="00CA4E9F"/>
    <w:rPr>
      <w:b/>
      <w:sz w:val="16"/>
      <w:szCs w:val="20"/>
    </w:rPr>
  </w:style>
  <w:style w:type="character" w:customStyle="1" w:styleId="OddPageHeaderStyleChar">
    <w:name w:val="OddPageHeaderStyle Char"/>
    <w:basedOn w:val="HeaderChar"/>
    <w:link w:val="OddPageHeaderStyle"/>
    <w:rsid w:val="00CA4E9F"/>
    <w:rPr>
      <w:b/>
      <w:sz w:val="16"/>
      <w:szCs w:val="20"/>
    </w:rPr>
  </w:style>
  <w:style w:type="paragraph" w:customStyle="1" w:styleId="SubsequentParagraphsTextStyle">
    <w:name w:val="SubsequentParagraphsTextStyle"/>
    <w:basedOn w:val="FirstParaofSectionTextStyle0"/>
    <w:link w:val="SubsequentParagraphsTextStyleChar"/>
    <w:qFormat/>
    <w:rsid w:val="00CA4E9F"/>
    <w:pPr>
      <w:ind w:firstLine="360"/>
    </w:pPr>
  </w:style>
  <w:style w:type="character" w:customStyle="1" w:styleId="apple-converted-space">
    <w:name w:val="apple-converted-space"/>
    <w:basedOn w:val="DefaultParagraphFont"/>
    <w:rsid w:val="00CA4E9F"/>
  </w:style>
  <w:style w:type="character" w:customStyle="1" w:styleId="SubsequentParagraphsTextStyleChar">
    <w:name w:val="SubsequentParagraphsTextStyle Char"/>
    <w:basedOn w:val="FirstParaofSectionTextStyleChar0"/>
    <w:link w:val="SubsequentParagraphsTextStyle"/>
    <w:rsid w:val="00CA4E9F"/>
    <w:rPr>
      <w:b w:val="0"/>
      <w:sz w:val="20"/>
      <w:szCs w:val="20"/>
    </w:rPr>
  </w:style>
  <w:style w:type="character" w:styleId="Emphasis">
    <w:name w:val="Emphasis"/>
    <w:basedOn w:val="DefaultParagraphFont"/>
    <w:uiPriority w:val="20"/>
    <w:qFormat/>
    <w:rsid w:val="00CA4E9F"/>
    <w:rPr>
      <w:i/>
      <w:iCs/>
    </w:rPr>
  </w:style>
  <w:style w:type="table" w:styleId="TableGrid">
    <w:name w:val="Table Grid"/>
    <w:basedOn w:val="TableNormal"/>
    <w:uiPriority w:val="59"/>
    <w:rsid w:val="00CA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gureHeader">
    <w:name w:val="Table&amp;FigureHeader"/>
    <w:basedOn w:val="FirstParaofSectionTextStyle0"/>
    <w:link w:val="TableFigureHeaderChar"/>
    <w:qFormat/>
    <w:rsid w:val="00CA4E9F"/>
    <w:pPr>
      <w:spacing w:before="200" w:after="200"/>
      <w:jc w:val="center"/>
    </w:pPr>
  </w:style>
  <w:style w:type="paragraph" w:customStyle="1" w:styleId="SourceLineforTablesFigures">
    <w:name w:val="SourceLineforTables&amp;Figures"/>
    <w:basedOn w:val="FirstParaofSectionTextStyle0"/>
    <w:link w:val="SourceLineforTablesFiguresChar"/>
    <w:qFormat/>
    <w:rsid w:val="00CA4E9F"/>
    <w:pPr>
      <w:jc w:val="center"/>
    </w:pPr>
    <w:rPr>
      <w:i/>
    </w:rPr>
  </w:style>
  <w:style w:type="character" w:customStyle="1" w:styleId="TableFigureHeaderChar">
    <w:name w:val="Table&amp;FigureHeader Char"/>
    <w:basedOn w:val="FirstParaofSectionTextStyleChar0"/>
    <w:link w:val="TableFigureHeader"/>
    <w:rsid w:val="00CA4E9F"/>
    <w:rPr>
      <w:b w:val="0"/>
      <w:sz w:val="20"/>
      <w:szCs w:val="20"/>
    </w:rPr>
  </w:style>
  <w:style w:type="paragraph" w:styleId="BalloonText">
    <w:name w:val="Balloon Text"/>
    <w:basedOn w:val="Normal"/>
    <w:link w:val="BalloonTextChar"/>
    <w:uiPriority w:val="99"/>
    <w:semiHidden/>
    <w:unhideWhenUsed/>
    <w:rsid w:val="00CA4E9F"/>
    <w:pPr>
      <w:spacing w:after="0" w:line="240" w:lineRule="auto"/>
    </w:pPr>
    <w:rPr>
      <w:rFonts w:ascii="Tahoma" w:hAnsi="Tahoma" w:cs="Tahoma"/>
      <w:sz w:val="16"/>
      <w:szCs w:val="16"/>
    </w:rPr>
  </w:style>
  <w:style w:type="character" w:customStyle="1" w:styleId="SourceLineforTablesFiguresChar">
    <w:name w:val="SourceLineforTables&amp;Figures Char"/>
    <w:basedOn w:val="FirstParaofSectionTextStyleChar0"/>
    <w:link w:val="SourceLineforTablesFigures"/>
    <w:rsid w:val="00CA4E9F"/>
    <w:rPr>
      <w:b w:val="0"/>
      <w:i/>
      <w:sz w:val="20"/>
      <w:szCs w:val="20"/>
    </w:rPr>
  </w:style>
  <w:style w:type="character" w:customStyle="1" w:styleId="BalloonTextChar">
    <w:name w:val="Balloon Text Char"/>
    <w:basedOn w:val="DefaultParagraphFont"/>
    <w:link w:val="BalloonText"/>
    <w:uiPriority w:val="99"/>
    <w:semiHidden/>
    <w:rsid w:val="00CA4E9F"/>
    <w:rPr>
      <w:rFonts w:ascii="Tahoma" w:hAnsi="Tahoma" w:cs="Tahoma"/>
      <w:sz w:val="16"/>
      <w:szCs w:val="16"/>
    </w:rPr>
  </w:style>
  <w:style w:type="paragraph" w:customStyle="1" w:styleId="KeywordsStyle">
    <w:name w:val="KeywordsStyle"/>
    <w:basedOn w:val="Normal"/>
    <w:link w:val="KeywordsStyleChar"/>
    <w:rsid w:val="00CA4E9F"/>
    <w:pPr>
      <w:jc w:val="center"/>
    </w:pPr>
    <w:rPr>
      <w:i/>
      <w:sz w:val="20"/>
      <w:szCs w:val="20"/>
    </w:rPr>
  </w:style>
  <w:style w:type="paragraph" w:customStyle="1" w:styleId="DroppedCaseLetter">
    <w:name w:val="DroppedCaseLetter"/>
    <w:basedOn w:val="FirstParaOfSectionTextStyle"/>
    <w:link w:val="DroppedCaseLetterChar"/>
    <w:rsid w:val="00CA4E9F"/>
    <w:pPr>
      <w:keepNext/>
      <w:framePr w:wrap="around" w:vAnchor="text" w:hAnchor="text"/>
      <w:spacing w:after="0" w:line="1427" w:lineRule="exact"/>
      <w:textAlignment w:val="baseline"/>
    </w:pPr>
    <w:rPr>
      <w:rFonts w:cstheme="minorHAnsi"/>
      <w:position w:val="-3"/>
      <w:sz w:val="172"/>
    </w:rPr>
  </w:style>
  <w:style w:type="character" w:customStyle="1" w:styleId="KeywordsStyleChar">
    <w:name w:val="KeywordsStyle Char"/>
    <w:basedOn w:val="DefaultParagraphFont"/>
    <w:link w:val="KeywordsStyle"/>
    <w:rsid w:val="00CA4E9F"/>
    <w:rPr>
      <w:i/>
      <w:sz w:val="20"/>
      <w:szCs w:val="20"/>
    </w:rPr>
  </w:style>
  <w:style w:type="paragraph" w:customStyle="1" w:styleId="DropCaseLetter">
    <w:name w:val="DropCaseLetter"/>
    <w:basedOn w:val="FirstParaOfSectionTextStyle"/>
    <w:link w:val="DropCaseLetterChar"/>
    <w:rsid w:val="00CA4E9F"/>
    <w:pPr>
      <w:keepNext/>
      <w:framePr w:wrap="around" w:vAnchor="text" w:hAnchor="text"/>
      <w:spacing w:after="0" w:line="827" w:lineRule="exact"/>
      <w:textAlignment w:val="baseline"/>
    </w:pPr>
    <w:rPr>
      <w:rFonts w:cstheme="minorHAnsi"/>
      <w:position w:val="-11"/>
      <w:sz w:val="112"/>
    </w:rPr>
  </w:style>
  <w:style w:type="character" w:customStyle="1" w:styleId="DroppedCaseLetterChar">
    <w:name w:val="DroppedCaseLetter Char"/>
    <w:basedOn w:val="FirstParaOfSectionTextStyleChar"/>
    <w:link w:val="DroppedCaseLetter"/>
    <w:rsid w:val="00CA4E9F"/>
    <w:rPr>
      <w:rFonts w:cstheme="minorHAnsi"/>
      <w:b w:val="0"/>
      <w:position w:val="-3"/>
      <w:sz w:val="172"/>
      <w:szCs w:val="20"/>
    </w:rPr>
  </w:style>
  <w:style w:type="character" w:customStyle="1" w:styleId="DropCaseLetterChar">
    <w:name w:val="DropCaseLetter Char"/>
    <w:basedOn w:val="FirstParaOfSectionTextStyleChar"/>
    <w:link w:val="DropCaseLetter"/>
    <w:rsid w:val="00CA4E9F"/>
    <w:rPr>
      <w:rFonts w:cstheme="minorHAnsi"/>
      <w:b w:val="0"/>
      <w:position w:val="-11"/>
      <w:sz w:val="112"/>
      <w:szCs w:val="20"/>
    </w:rPr>
  </w:style>
  <w:style w:type="paragraph" w:customStyle="1" w:styleId="FirstPageSectionHeading">
    <w:name w:val="FirstPageSectionHeading"/>
    <w:basedOn w:val="Normal"/>
    <w:link w:val="FirstPageSectionHeadingChar"/>
    <w:rsid w:val="00CA4E9F"/>
    <w:rPr>
      <w:b/>
      <w:sz w:val="24"/>
      <w:szCs w:val="20"/>
    </w:rPr>
  </w:style>
  <w:style w:type="character" w:customStyle="1" w:styleId="FirstPageSectionHeadingChar">
    <w:name w:val="FirstPageSectionHeading Char"/>
    <w:basedOn w:val="DefaultParagraphFont"/>
    <w:link w:val="FirstPageSectionHeading"/>
    <w:rsid w:val="00CA4E9F"/>
    <w:rPr>
      <w:b/>
      <w:sz w:val="24"/>
      <w:szCs w:val="20"/>
    </w:rPr>
  </w:style>
  <w:style w:type="paragraph" w:customStyle="1" w:styleId="FirstParaofSectionTextStyle0">
    <w:name w:val="FirstParaofSectionTextStyle"/>
    <w:basedOn w:val="FirstPageSectionHeading"/>
    <w:link w:val="FirstParaofSectionTextStyleChar0"/>
    <w:qFormat/>
    <w:rsid w:val="00CA4E9F"/>
    <w:pPr>
      <w:spacing w:after="0" w:line="240" w:lineRule="auto"/>
      <w:jc w:val="both"/>
    </w:pPr>
    <w:rPr>
      <w:b w:val="0"/>
      <w:sz w:val="20"/>
    </w:rPr>
  </w:style>
  <w:style w:type="character" w:customStyle="1" w:styleId="FirstParaofSectionTextStyleChar0">
    <w:name w:val="FirstParaofSectionTextStyle Char"/>
    <w:basedOn w:val="FirstPageSectionHeadingChar"/>
    <w:link w:val="FirstParaofSectionTextStyle0"/>
    <w:rsid w:val="00CA4E9F"/>
    <w:rPr>
      <w:b w:val="0"/>
      <w:sz w:val="20"/>
      <w:szCs w:val="20"/>
    </w:rPr>
  </w:style>
  <w:style w:type="paragraph" w:styleId="FootnoteText">
    <w:name w:val="footnote text"/>
    <w:basedOn w:val="Normal"/>
    <w:link w:val="FootnoteTextChar"/>
    <w:uiPriority w:val="99"/>
    <w:semiHidden/>
    <w:unhideWhenUsed/>
    <w:rsid w:val="00CA4E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E9F"/>
    <w:rPr>
      <w:sz w:val="20"/>
      <w:szCs w:val="20"/>
    </w:rPr>
  </w:style>
  <w:style w:type="character" w:styleId="FootnoteReference">
    <w:name w:val="footnote reference"/>
    <w:basedOn w:val="DefaultParagraphFont"/>
    <w:uiPriority w:val="99"/>
    <w:semiHidden/>
    <w:unhideWhenUsed/>
    <w:rsid w:val="00CA4E9F"/>
    <w:rPr>
      <w:vertAlign w:val="superscript"/>
    </w:rPr>
  </w:style>
  <w:style w:type="paragraph" w:customStyle="1" w:styleId="KeywordsText">
    <w:name w:val="KeywordsText"/>
    <w:basedOn w:val="KeywordsStyle"/>
    <w:link w:val="KeywordsTextChar"/>
    <w:qFormat/>
    <w:rsid w:val="00CA4E9F"/>
    <w:pPr>
      <w:spacing w:after="0"/>
    </w:pPr>
    <w:rPr>
      <w:sz w:val="16"/>
    </w:rPr>
  </w:style>
  <w:style w:type="paragraph" w:customStyle="1" w:styleId="SectionHeadings">
    <w:name w:val="SectionHeadings"/>
    <w:basedOn w:val="SectionHeading"/>
    <w:link w:val="SectionHeadingsChar"/>
    <w:qFormat/>
    <w:rsid w:val="00CA4E9F"/>
    <w:pPr>
      <w:overflowPunct w:val="0"/>
      <w:autoSpaceDE w:val="0"/>
      <w:autoSpaceDN w:val="0"/>
      <w:adjustRightInd w:val="0"/>
      <w:spacing w:before="200" w:line="240" w:lineRule="auto"/>
      <w:textAlignment w:val="baseline"/>
    </w:pPr>
    <w:rPr>
      <w:rFonts w:ascii="Times New Roman" w:eastAsia="SimSun" w:hAnsi="Times New Roman" w:cs="Times New Roman"/>
      <w:color w:val="000000"/>
      <w:lang w:val="hr-HR" w:eastAsia="zh-CN"/>
    </w:rPr>
  </w:style>
  <w:style w:type="character" w:customStyle="1" w:styleId="KeywordsTextChar">
    <w:name w:val="KeywordsText Char"/>
    <w:basedOn w:val="KeywordsStyleChar"/>
    <w:link w:val="KeywordsText"/>
    <w:rsid w:val="00CA4E9F"/>
    <w:rPr>
      <w:i/>
      <w:sz w:val="16"/>
      <w:szCs w:val="20"/>
    </w:rPr>
  </w:style>
  <w:style w:type="paragraph" w:customStyle="1" w:styleId="DroppedCase">
    <w:name w:val="DroppedCase"/>
    <w:basedOn w:val="FirstParaofSectionTextStyle0"/>
    <w:link w:val="DroppedCaseChar"/>
    <w:qFormat/>
    <w:rsid w:val="00CA4E9F"/>
    <w:pPr>
      <w:keepNext/>
      <w:framePr w:wrap="around" w:vAnchor="text" w:hAnchor="text"/>
      <w:spacing w:line="689" w:lineRule="exact"/>
      <w:textAlignment w:val="baseline"/>
    </w:pPr>
    <w:rPr>
      <w:rFonts w:cstheme="minorHAnsi"/>
      <w:position w:val="-9"/>
      <w:sz w:val="93"/>
    </w:rPr>
  </w:style>
  <w:style w:type="character" w:customStyle="1" w:styleId="SectionHeadingsChar">
    <w:name w:val="SectionHeadings Char"/>
    <w:basedOn w:val="SectionHeadingChar"/>
    <w:link w:val="SectionHeadings"/>
    <w:rsid w:val="00CA4E9F"/>
    <w:rPr>
      <w:rFonts w:ascii="Times New Roman" w:eastAsia="SimSun" w:hAnsi="Times New Roman" w:cs="Times New Roman"/>
      <w:b/>
      <w:color w:val="000000"/>
      <w:sz w:val="24"/>
      <w:szCs w:val="20"/>
      <w:lang w:val="hr-HR" w:eastAsia="zh-CN"/>
    </w:rPr>
  </w:style>
  <w:style w:type="character" w:customStyle="1" w:styleId="Heading1Char">
    <w:name w:val="Heading 1 Char"/>
    <w:basedOn w:val="DefaultParagraphFont"/>
    <w:link w:val="Heading1"/>
    <w:uiPriority w:val="9"/>
    <w:rsid w:val="00CA4E9F"/>
    <w:rPr>
      <w:rFonts w:asciiTheme="majorHAnsi" w:eastAsiaTheme="majorEastAsia" w:hAnsiTheme="majorHAnsi" w:cstheme="majorBidi"/>
      <w:b/>
      <w:bCs/>
      <w:color w:val="365F91" w:themeColor="accent1" w:themeShade="BF"/>
      <w:sz w:val="28"/>
      <w:szCs w:val="28"/>
    </w:rPr>
  </w:style>
  <w:style w:type="character" w:customStyle="1" w:styleId="DroppedCaseChar">
    <w:name w:val="DroppedCase Char"/>
    <w:basedOn w:val="FirstParaofSectionTextStyleChar0"/>
    <w:link w:val="DroppedCase"/>
    <w:rsid w:val="00CA4E9F"/>
    <w:rPr>
      <w:rFonts w:cstheme="minorHAnsi"/>
      <w:b w:val="0"/>
      <w:position w:val="-9"/>
      <w:sz w:val="93"/>
      <w:szCs w:val="20"/>
    </w:rPr>
  </w:style>
  <w:style w:type="paragraph" w:styleId="TOCHeading">
    <w:name w:val="TOC Heading"/>
    <w:basedOn w:val="Heading1"/>
    <w:next w:val="Normal"/>
    <w:uiPriority w:val="39"/>
    <w:semiHidden/>
    <w:unhideWhenUsed/>
    <w:qFormat/>
    <w:rsid w:val="00CA4E9F"/>
    <w:pPr>
      <w:outlineLvl w:val="9"/>
    </w:pPr>
    <w:rPr>
      <w:lang w:eastAsia="ja-JP"/>
    </w:rPr>
  </w:style>
  <w:style w:type="paragraph" w:customStyle="1" w:styleId="FootnoteTextStyle">
    <w:name w:val="FootnoteTextStyle"/>
    <w:basedOn w:val="FootnoteText"/>
    <w:link w:val="FootnoteTextStyleChar"/>
    <w:qFormat/>
    <w:rsid w:val="00CA4E9F"/>
    <w:pPr>
      <w:contextualSpacing/>
      <w:jc w:val="both"/>
    </w:pPr>
    <w:rPr>
      <w:sz w:val="16"/>
      <w:szCs w:val="16"/>
    </w:rPr>
  </w:style>
  <w:style w:type="paragraph" w:customStyle="1" w:styleId="CGJournalArticleQuickStyleTemplate">
    <w:name w:val="CGJournalArticleQuickStyleTemplate"/>
    <w:basedOn w:val="ArticleTitleHeading"/>
    <w:link w:val="CGJournalArticleQuickStyleTemplateChar"/>
    <w:rsid w:val="00CA4E9F"/>
  </w:style>
  <w:style w:type="character" w:customStyle="1" w:styleId="FootnoteTextStyleChar">
    <w:name w:val="FootnoteTextStyle Char"/>
    <w:basedOn w:val="FootnoteTextChar"/>
    <w:link w:val="FootnoteTextStyle"/>
    <w:rsid w:val="00CA4E9F"/>
    <w:rPr>
      <w:sz w:val="16"/>
      <w:szCs w:val="16"/>
    </w:rPr>
  </w:style>
  <w:style w:type="paragraph" w:customStyle="1" w:styleId="AcknowledgementHeader">
    <w:name w:val="AcknowledgementHeader"/>
    <w:basedOn w:val="ReferencesHeading"/>
    <w:link w:val="AcknowledgementHeaderChar"/>
    <w:qFormat/>
    <w:rsid w:val="00CA4E9F"/>
    <w:pPr>
      <w:jc w:val="left"/>
    </w:pPr>
  </w:style>
  <w:style w:type="character" w:customStyle="1" w:styleId="CGJournalArticleQuickStyleTemplateChar">
    <w:name w:val="CGJournalArticleQuickStyleTemplate Char"/>
    <w:basedOn w:val="ArticleTitleHeadingChar"/>
    <w:link w:val="CGJournalArticleQuickStyleTemplate"/>
    <w:rsid w:val="00CA4E9F"/>
    <w:rPr>
      <w:rFonts w:asciiTheme="majorHAnsi" w:eastAsia="Times New Roman" w:hAnsiTheme="majorHAnsi" w:cs="Times New Roman"/>
      <w:b/>
      <w:sz w:val="36"/>
      <w:szCs w:val="36"/>
    </w:rPr>
  </w:style>
  <w:style w:type="character" w:customStyle="1" w:styleId="AcknowledgementHeaderChar">
    <w:name w:val="AcknowledgementHeader Char"/>
    <w:basedOn w:val="ReferencesHeadingChar"/>
    <w:link w:val="AcknowledgementHeader"/>
    <w:rsid w:val="00CA4E9F"/>
    <w:rPr>
      <w:b/>
      <w:i w:val="0"/>
      <w:sz w:val="24"/>
      <w:szCs w:val="24"/>
    </w:rPr>
  </w:style>
  <w:style w:type="paragraph" w:styleId="NormalWeb">
    <w:name w:val="Normal (Web)"/>
    <w:basedOn w:val="Normal"/>
    <w:uiPriority w:val="99"/>
    <w:unhideWhenUsed/>
    <w:rsid w:val="002333D6"/>
    <w:rPr>
      <w:rFonts w:ascii="Times New Roman" w:hAnsi="Times New Roman" w:cs="Times New Roman"/>
    </w:rPr>
  </w:style>
  <w:style w:type="character" w:customStyle="1" w:styleId="BodyTextChar">
    <w:name w:val="Body Text Char"/>
    <w:basedOn w:val="DefaultParagraphFont"/>
    <w:link w:val="BodyText"/>
    <w:rsid w:val="00C474ED"/>
    <w:rPr>
      <w:rFonts w:ascii="Tahoma" w:hAnsi="Tahoma"/>
      <w:spacing w:val="10"/>
      <w:sz w:val="17"/>
    </w:rPr>
  </w:style>
  <w:style w:type="paragraph" w:styleId="BodyText">
    <w:name w:val="Body Text"/>
    <w:basedOn w:val="Normal"/>
    <w:link w:val="BodyTextChar"/>
    <w:rsid w:val="00C474ED"/>
    <w:pPr>
      <w:spacing w:line="240" w:lineRule="exact"/>
    </w:pPr>
    <w:rPr>
      <w:rFonts w:ascii="Tahoma" w:hAnsi="Tahoma"/>
      <w:spacing w:val="10"/>
      <w:sz w:val="17"/>
    </w:rPr>
  </w:style>
  <w:style w:type="character" w:customStyle="1" w:styleId="BodyTextChar1">
    <w:name w:val="Body Text Char1"/>
    <w:basedOn w:val="DefaultParagraphFont"/>
    <w:uiPriority w:val="99"/>
    <w:semiHidden/>
    <w:rsid w:val="00C474ED"/>
  </w:style>
  <w:style w:type="character" w:styleId="FollowedHyperlink">
    <w:name w:val="FollowedHyperlink"/>
    <w:basedOn w:val="DefaultParagraphFont"/>
    <w:uiPriority w:val="99"/>
    <w:semiHidden/>
    <w:unhideWhenUsed/>
    <w:rsid w:val="00532764"/>
    <w:rPr>
      <w:color w:val="800080" w:themeColor="followedHyperlink"/>
      <w:u w:val="single"/>
    </w:rPr>
  </w:style>
  <w:style w:type="character" w:styleId="CommentReference">
    <w:name w:val="annotation reference"/>
    <w:basedOn w:val="DefaultParagraphFont"/>
    <w:uiPriority w:val="99"/>
    <w:semiHidden/>
    <w:unhideWhenUsed/>
    <w:rsid w:val="006F7391"/>
    <w:rPr>
      <w:sz w:val="18"/>
      <w:szCs w:val="18"/>
    </w:rPr>
  </w:style>
  <w:style w:type="paragraph" w:styleId="CommentText">
    <w:name w:val="annotation text"/>
    <w:basedOn w:val="Normal"/>
    <w:link w:val="CommentTextChar"/>
    <w:uiPriority w:val="99"/>
    <w:semiHidden/>
    <w:unhideWhenUsed/>
    <w:rsid w:val="006F7391"/>
  </w:style>
  <w:style w:type="character" w:customStyle="1" w:styleId="CommentTextChar">
    <w:name w:val="Comment Text Char"/>
    <w:basedOn w:val="DefaultParagraphFont"/>
    <w:link w:val="CommentText"/>
    <w:uiPriority w:val="99"/>
    <w:semiHidden/>
    <w:rsid w:val="006F7391"/>
    <w:rPr>
      <w:sz w:val="24"/>
      <w:szCs w:val="24"/>
    </w:rPr>
  </w:style>
  <w:style w:type="paragraph" w:styleId="CommentSubject">
    <w:name w:val="annotation subject"/>
    <w:basedOn w:val="CommentText"/>
    <w:next w:val="CommentText"/>
    <w:link w:val="CommentSubjectChar"/>
    <w:uiPriority w:val="99"/>
    <w:semiHidden/>
    <w:unhideWhenUsed/>
    <w:rsid w:val="006F7391"/>
    <w:rPr>
      <w:b/>
      <w:bCs/>
      <w:sz w:val="20"/>
      <w:szCs w:val="20"/>
    </w:rPr>
  </w:style>
  <w:style w:type="character" w:customStyle="1" w:styleId="CommentSubjectChar">
    <w:name w:val="Comment Subject Char"/>
    <w:basedOn w:val="CommentTextChar"/>
    <w:link w:val="CommentSubject"/>
    <w:uiPriority w:val="99"/>
    <w:semiHidden/>
    <w:rsid w:val="006F7391"/>
    <w:rPr>
      <w:b/>
      <w:bCs/>
      <w:sz w:val="20"/>
      <w:szCs w:val="20"/>
    </w:rPr>
  </w:style>
  <w:style w:type="character" w:customStyle="1" w:styleId="medium-normal">
    <w:name w:val="medium-normal"/>
    <w:basedOn w:val="DefaultParagraphFont"/>
    <w:rsid w:val="0085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2044">
      <w:bodyDiv w:val="1"/>
      <w:marLeft w:val="0"/>
      <w:marRight w:val="0"/>
      <w:marTop w:val="0"/>
      <w:marBottom w:val="0"/>
      <w:divBdr>
        <w:top w:val="none" w:sz="0" w:space="0" w:color="auto"/>
        <w:left w:val="none" w:sz="0" w:space="0" w:color="auto"/>
        <w:bottom w:val="none" w:sz="0" w:space="0" w:color="auto"/>
        <w:right w:val="none" w:sz="0" w:space="0" w:color="auto"/>
      </w:divBdr>
    </w:div>
    <w:div w:id="103959727">
      <w:bodyDiv w:val="1"/>
      <w:marLeft w:val="0"/>
      <w:marRight w:val="0"/>
      <w:marTop w:val="0"/>
      <w:marBottom w:val="0"/>
      <w:divBdr>
        <w:top w:val="none" w:sz="0" w:space="0" w:color="auto"/>
        <w:left w:val="none" w:sz="0" w:space="0" w:color="auto"/>
        <w:bottom w:val="none" w:sz="0" w:space="0" w:color="auto"/>
        <w:right w:val="none" w:sz="0" w:space="0" w:color="auto"/>
      </w:divBdr>
    </w:div>
    <w:div w:id="108090388">
      <w:bodyDiv w:val="1"/>
      <w:marLeft w:val="0"/>
      <w:marRight w:val="0"/>
      <w:marTop w:val="0"/>
      <w:marBottom w:val="0"/>
      <w:divBdr>
        <w:top w:val="none" w:sz="0" w:space="0" w:color="auto"/>
        <w:left w:val="none" w:sz="0" w:space="0" w:color="auto"/>
        <w:bottom w:val="none" w:sz="0" w:space="0" w:color="auto"/>
        <w:right w:val="none" w:sz="0" w:space="0" w:color="auto"/>
      </w:divBdr>
    </w:div>
    <w:div w:id="306593640">
      <w:bodyDiv w:val="1"/>
      <w:marLeft w:val="0"/>
      <w:marRight w:val="0"/>
      <w:marTop w:val="0"/>
      <w:marBottom w:val="0"/>
      <w:divBdr>
        <w:top w:val="none" w:sz="0" w:space="0" w:color="auto"/>
        <w:left w:val="none" w:sz="0" w:space="0" w:color="auto"/>
        <w:bottom w:val="none" w:sz="0" w:space="0" w:color="auto"/>
        <w:right w:val="none" w:sz="0" w:space="0" w:color="auto"/>
      </w:divBdr>
    </w:div>
    <w:div w:id="376589723">
      <w:bodyDiv w:val="1"/>
      <w:marLeft w:val="0"/>
      <w:marRight w:val="0"/>
      <w:marTop w:val="0"/>
      <w:marBottom w:val="0"/>
      <w:divBdr>
        <w:top w:val="none" w:sz="0" w:space="0" w:color="auto"/>
        <w:left w:val="none" w:sz="0" w:space="0" w:color="auto"/>
        <w:bottom w:val="none" w:sz="0" w:space="0" w:color="auto"/>
        <w:right w:val="none" w:sz="0" w:space="0" w:color="auto"/>
      </w:divBdr>
    </w:div>
    <w:div w:id="413823807">
      <w:bodyDiv w:val="1"/>
      <w:marLeft w:val="0"/>
      <w:marRight w:val="0"/>
      <w:marTop w:val="0"/>
      <w:marBottom w:val="0"/>
      <w:divBdr>
        <w:top w:val="none" w:sz="0" w:space="0" w:color="auto"/>
        <w:left w:val="none" w:sz="0" w:space="0" w:color="auto"/>
        <w:bottom w:val="none" w:sz="0" w:space="0" w:color="auto"/>
        <w:right w:val="none" w:sz="0" w:space="0" w:color="auto"/>
      </w:divBdr>
    </w:div>
    <w:div w:id="510728267">
      <w:bodyDiv w:val="1"/>
      <w:marLeft w:val="0"/>
      <w:marRight w:val="0"/>
      <w:marTop w:val="0"/>
      <w:marBottom w:val="0"/>
      <w:divBdr>
        <w:top w:val="none" w:sz="0" w:space="0" w:color="auto"/>
        <w:left w:val="none" w:sz="0" w:space="0" w:color="auto"/>
        <w:bottom w:val="none" w:sz="0" w:space="0" w:color="auto"/>
        <w:right w:val="none" w:sz="0" w:space="0" w:color="auto"/>
      </w:divBdr>
    </w:div>
    <w:div w:id="512184601">
      <w:bodyDiv w:val="1"/>
      <w:marLeft w:val="0"/>
      <w:marRight w:val="0"/>
      <w:marTop w:val="0"/>
      <w:marBottom w:val="0"/>
      <w:divBdr>
        <w:top w:val="none" w:sz="0" w:space="0" w:color="auto"/>
        <w:left w:val="none" w:sz="0" w:space="0" w:color="auto"/>
        <w:bottom w:val="none" w:sz="0" w:space="0" w:color="auto"/>
        <w:right w:val="none" w:sz="0" w:space="0" w:color="auto"/>
      </w:divBdr>
    </w:div>
    <w:div w:id="650450472">
      <w:bodyDiv w:val="1"/>
      <w:marLeft w:val="0"/>
      <w:marRight w:val="0"/>
      <w:marTop w:val="0"/>
      <w:marBottom w:val="0"/>
      <w:divBdr>
        <w:top w:val="none" w:sz="0" w:space="0" w:color="auto"/>
        <w:left w:val="none" w:sz="0" w:space="0" w:color="auto"/>
        <w:bottom w:val="none" w:sz="0" w:space="0" w:color="auto"/>
        <w:right w:val="none" w:sz="0" w:space="0" w:color="auto"/>
      </w:divBdr>
    </w:div>
    <w:div w:id="803158527">
      <w:bodyDiv w:val="1"/>
      <w:marLeft w:val="0"/>
      <w:marRight w:val="0"/>
      <w:marTop w:val="0"/>
      <w:marBottom w:val="0"/>
      <w:divBdr>
        <w:top w:val="none" w:sz="0" w:space="0" w:color="auto"/>
        <w:left w:val="none" w:sz="0" w:space="0" w:color="auto"/>
        <w:bottom w:val="none" w:sz="0" w:space="0" w:color="auto"/>
        <w:right w:val="none" w:sz="0" w:space="0" w:color="auto"/>
      </w:divBdr>
    </w:div>
    <w:div w:id="823397749">
      <w:bodyDiv w:val="1"/>
      <w:marLeft w:val="0"/>
      <w:marRight w:val="0"/>
      <w:marTop w:val="0"/>
      <w:marBottom w:val="0"/>
      <w:divBdr>
        <w:top w:val="none" w:sz="0" w:space="0" w:color="auto"/>
        <w:left w:val="none" w:sz="0" w:space="0" w:color="auto"/>
        <w:bottom w:val="none" w:sz="0" w:space="0" w:color="auto"/>
        <w:right w:val="none" w:sz="0" w:space="0" w:color="auto"/>
      </w:divBdr>
    </w:div>
    <w:div w:id="873082551">
      <w:bodyDiv w:val="1"/>
      <w:marLeft w:val="0"/>
      <w:marRight w:val="0"/>
      <w:marTop w:val="0"/>
      <w:marBottom w:val="0"/>
      <w:divBdr>
        <w:top w:val="none" w:sz="0" w:space="0" w:color="auto"/>
        <w:left w:val="none" w:sz="0" w:space="0" w:color="auto"/>
        <w:bottom w:val="none" w:sz="0" w:space="0" w:color="auto"/>
        <w:right w:val="none" w:sz="0" w:space="0" w:color="auto"/>
      </w:divBdr>
    </w:div>
    <w:div w:id="930167271">
      <w:bodyDiv w:val="1"/>
      <w:marLeft w:val="0"/>
      <w:marRight w:val="0"/>
      <w:marTop w:val="0"/>
      <w:marBottom w:val="0"/>
      <w:divBdr>
        <w:top w:val="none" w:sz="0" w:space="0" w:color="auto"/>
        <w:left w:val="none" w:sz="0" w:space="0" w:color="auto"/>
        <w:bottom w:val="none" w:sz="0" w:space="0" w:color="auto"/>
        <w:right w:val="none" w:sz="0" w:space="0" w:color="auto"/>
      </w:divBdr>
    </w:div>
    <w:div w:id="939601530">
      <w:bodyDiv w:val="1"/>
      <w:marLeft w:val="0"/>
      <w:marRight w:val="0"/>
      <w:marTop w:val="0"/>
      <w:marBottom w:val="0"/>
      <w:divBdr>
        <w:top w:val="none" w:sz="0" w:space="0" w:color="auto"/>
        <w:left w:val="none" w:sz="0" w:space="0" w:color="auto"/>
        <w:bottom w:val="none" w:sz="0" w:space="0" w:color="auto"/>
        <w:right w:val="none" w:sz="0" w:space="0" w:color="auto"/>
      </w:divBdr>
    </w:div>
    <w:div w:id="956644385">
      <w:bodyDiv w:val="1"/>
      <w:marLeft w:val="0"/>
      <w:marRight w:val="0"/>
      <w:marTop w:val="0"/>
      <w:marBottom w:val="0"/>
      <w:divBdr>
        <w:top w:val="none" w:sz="0" w:space="0" w:color="auto"/>
        <w:left w:val="none" w:sz="0" w:space="0" w:color="auto"/>
        <w:bottom w:val="none" w:sz="0" w:space="0" w:color="auto"/>
        <w:right w:val="none" w:sz="0" w:space="0" w:color="auto"/>
      </w:divBdr>
      <w:divsChild>
        <w:div w:id="649477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108">
      <w:bodyDiv w:val="1"/>
      <w:marLeft w:val="0"/>
      <w:marRight w:val="0"/>
      <w:marTop w:val="0"/>
      <w:marBottom w:val="0"/>
      <w:divBdr>
        <w:top w:val="none" w:sz="0" w:space="0" w:color="auto"/>
        <w:left w:val="none" w:sz="0" w:space="0" w:color="auto"/>
        <w:bottom w:val="none" w:sz="0" w:space="0" w:color="auto"/>
        <w:right w:val="none" w:sz="0" w:space="0" w:color="auto"/>
      </w:divBdr>
    </w:div>
    <w:div w:id="1468933433">
      <w:bodyDiv w:val="1"/>
      <w:marLeft w:val="0"/>
      <w:marRight w:val="0"/>
      <w:marTop w:val="0"/>
      <w:marBottom w:val="0"/>
      <w:divBdr>
        <w:top w:val="none" w:sz="0" w:space="0" w:color="auto"/>
        <w:left w:val="none" w:sz="0" w:space="0" w:color="auto"/>
        <w:bottom w:val="none" w:sz="0" w:space="0" w:color="auto"/>
        <w:right w:val="none" w:sz="0" w:space="0" w:color="auto"/>
      </w:divBdr>
    </w:div>
    <w:div w:id="1507132764">
      <w:bodyDiv w:val="1"/>
      <w:marLeft w:val="0"/>
      <w:marRight w:val="0"/>
      <w:marTop w:val="0"/>
      <w:marBottom w:val="0"/>
      <w:divBdr>
        <w:top w:val="none" w:sz="0" w:space="0" w:color="auto"/>
        <w:left w:val="none" w:sz="0" w:space="0" w:color="auto"/>
        <w:bottom w:val="none" w:sz="0" w:space="0" w:color="auto"/>
        <w:right w:val="none" w:sz="0" w:space="0" w:color="auto"/>
      </w:divBdr>
    </w:div>
    <w:div w:id="1607929482">
      <w:bodyDiv w:val="1"/>
      <w:marLeft w:val="0"/>
      <w:marRight w:val="0"/>
      <w:marTop w:val="0"/>
      <w:marBottom w:val="0"/>
      <w:divBdr>
        <w:top w:val="none" w:sz="0" w:space="0" w:color="auto"/>
        <w:left w:val="none" w:sz="0" w:space="0" w:color="auto"/>
        <w:bottom w:val="none" w:sz="0" w:space="0" w:color="auto"/>
        <w:right w:val="none" w:sz="0" w:space="0" w:color="auto"/>
      </w:divBdr>
    </w:div>
    <w:div w:id="1808431417">
      <w:bodyDiv w:val="1"/>
      <w:marLeft w:val="0"/>
      <w:marRight w:val="0"/>
      <w:marTop w:val="0"/>
      <w:marBottom w:val="0"/>
      <w:divBdr>
        <w:top w:val="none" w:sz="0" w:space="0" w:color="auto"/>
        <w:left w:val="none" w:sz="0" w:space="0" w:color="auto"/>
        <w:bottom w:val="none" w:sz="0" w:space="0" w:color="auto"/>
        <w:right w:val="none" w:sz="0" w:space="0" w:color="auto"/>
      </w:divBdr>
    </w:div>
    <w:div w:id="1831210279">
      <w:bodyDiv w:val="1"/>
      <w:marLeft w:val="0"/>
      <w:marRight w:val="0"/>
      <w:marTop w:val="0"/>
      <w:marBottom w:val="0"/>
      <w:divBdr>
        <w:top w:val="none" w:sz="0" w:space="0" w:color="auto"/>
        <w:left w:val="none" w:sz="0" w:space="0" w:color="auto"/>
        <w:bottom w:val="none" w:sz="0" w:space="0" w:color="auto"/>
        <w:right w:val="none" w:sz="0" w:space="0" w:color="auto"/>
      </w:divBdr>
    </w:div>
    <w:div w:id="1874611259">
      <w:bodyDiv w:val="1"/>
      <w:marLeft w:val="0"/>
      <w:marRight w:val="0"/>
      <w:marTop w:val="0"/>
      <w:marBottom w:val="0"/>
      <w:divBdr>
        <w:top w:val="none" w:sz="0" w:space="0" w:color="auto"/>
        <w:left w:val="none" w:sz="0" w:space="0" w:color="auto"/>
        <w:bottom w:val="none" w:sz="0" w:space="0" w:color="auto"/>
        <w:right w:val="none" w:sz="0" w:space="0" w:color="auto"/>
      </w:divBdr>
    </w:div>
    <w:div w:id="2003042616">
      <w:bodyDiv w:val="1"/>
      <w:marLeft w:val="0"/>
      <w:marRight w:val="0"/>
      <w:marTop w:val="0"/>
      <w:marBottom w:val="0"/>
      <w:divBdr>
        <w:top w:val="none" w:sz="0" w:space="0" w:color="auto"/>
        <w:left w:val="none" w:sz="0" w:space="0" w:color="auto"/>
        <w:bottom w:val="none" w:sz="0" w:space="0" w:color="auto"/>
        <w:right w:val="none" w:sz="0" w:space="0" w:color="auto"/>
      </w:divBdr>
    </w:div>
    <w:div w:id="2102875678">
      <w:bodyDiv w:val="1"/>
      <w:marLeft w:val="0"/>
      <w:marRight w:val="0"/>
      <w:marTop w:val="0"/>
      <w:marBottom w:val="0"/>
      <w:divBdr>
        <w:top w:val="none" w:sz="0" w:space="0" w:color="auto"/>
        <w:left w:val="none" w:sz="0" w:space="0" w:color="auto"/>
        <w:bottom w:val="none" w:sz="0" w:space="0" w:color="auto"/>
        <w:right w:val="none" w:sz="0" w:space="0" w:color="auto"/>
      </w:divBdr>
    </w:div>
    <w:div w:id="211216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tks.cgpublisher.com/product/pub.299/prod.12/index_html" TargetMode="External"/><Relationship Id="rId13" Type="http://schemas.openxmlformats.org/officeDocument/2006/relationships/hyperlink" Target="http://www.usg.edu/research/documents/faculty/instr-fac-rank0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l.org/sparc/about/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l.org/sparc/about/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ommongroundpublishing.com/" TargetMode="External"/><Relationship Id="rId4" Type="http://schemas.openxmlformats.org/officeDocument/2006/relationships/settings" Target="settings.xml"/><Relationship Id="rId9" Type="http://schemas.openxmlformats.org/officeDocument/2006/relationships/hyperlink" Target="http://commongroundpublishing.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mpbellmeier\Downloads\CG_Article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mon Ground 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2BEE87D-B50D-4913-BAB4-98A65A80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CG_ArticleTemplate (1).dotx</Template>
  <TotalTime>1</TotalTime>
  <Pages>12</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jcampbellmeier</dc:creator>
  <cp:lastModifiedBy>Philip Worthington</cp:lastModifiedBy>
  <cp:revision>3</cp:revision>
  <cp:lastPrinted>2014-02-24T18:21:00Z</cp:lastPrinted>
  <dcterms:created xsi:type="dcterms:W3CDTF">2016-04-26T22:32:00Z</dcterms:created>
  <dcterms:modified xsi:type="dcterms:W3CDTF">2016-04-28T23:33:00Z</dcterms:modified>
</cp:coreProperties>
</file>