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72" w:type="dxa"/>
        <w:tblInd w:w="-7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2"/>
        <w:gridCol w:w="8010"/>
      </w:tblGrid>
      <w:tr w:rsidR="006E4526" w:rsidRPr="00867A9C" w:rsidTr="00C00A96">
        <w:trPr>
          <w:cantSplit/>
          <w:trHeight w:hRule="exact" w:val="1680"/>
        </w:trPr>
        <w:tc>
          <w:tcPr>
            <w:tcW w:w="2062" w:type="dxa"/>
          </w:tcPr>
          <w:p w:rsidR="006E4526" w:rsidRPr="00867A9C" w:rsidRDefault="006E4526" w:rsidP="00C00A96">
            <w:pPr>
              <w:jc w:val="center"/>
              <w:rPr>
                <w:rFonts w:ascii="CG Times (WN)" w:hAnsi="CG Times (WN)"/>
                <w:color w:val="1F497D"/>
              </w:rPr>
            </w:pPr>
            <w:bookmarkStart w:id="0" w:name="_GoBack"/>
            <w:bookmarkEnd w:id="0"/>
          </w:p>
          <w:p w:rsidR="006E4526" w:rsidRPr="00867A9C" w:rsidRDefault="006E4526" w:rsidP="00C00A96">
            <w:pPr>
              <w:ind w:left="-288"/>
              <w:rPr>
                <w:color w:val="1F497D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B210D57" wp14:editId="6E09C1AE">
                  <wp:simplePos x="0" y="0"/>
                  <wp:positionH relativeFrom="column">
                    <wp:posOffset>775970</wp:posOffset>
                  </wp:positionH>
                  <wp:positionV relativeFrom="paragraph">
                    <wp:posOffset>139065</wp:posOffset>
                  </wp:positionV>
                  <wp:extent cx="531495" cy="531495"/>
                  <wp:effectExtent l="0" t="0" r="1905" b="190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E4526" w:rsidRPr="00036DA3" w:rsidRDefault="006E4526" w:rsidP="00C00A96">
            <w:pPr>
              <w:ind w:right="188"/>
              <w:jc w:val="both"/>
              <w:rPr>
                <w:rFonts w:ascii="Arial" w:hAnsi="Arial" w:cs="Arial"/>
                <w:b/>
                <w:color w:val="1F497D"/>
                <w:sz w:val="68"/>
                <w:szCs w:val="6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0288" behindDoc="0" locked="0" layoutInCell="1" allowOverlap="1" wp14:anchorId="075832D1" wp14:editId="5DA2201D">
                      <wp:simplePos x="0" y="0"/>
                      <wp:positionH relativeFrom="column">
                        <wp:posOffset>680719</wp:posOffset>
                      </wp:positionH>
                      <wp:positionV relativeFrom="paragraph">
                        <wp:posOffset>20955</wp:posOffset>
                      </wp:positionV>
                      <wp:extent cx="0" cy="41910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1F497D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243F6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3.6pt;margin-top:1.65pt;width:0;height:33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" strokecolor="#1f497d" strokeweight="1pt">
                      <v:shadow color="#243f60" opacity=".5" offset="1pt"/>
                    </v:shape>
                  </w:pict>
                </mc:Fallback>
              </mc:AlternateContent>
            </w:r>
            <w:r w:rsidRPr="00036DA3">
              <w:rPr>
                <w:rFonts w:ascii="Arial" w:hAnsi="Arial" w:cs="Arial"/>
                <w:b/>
                <w:color w:val="1F497D"/>
                <w:sz w:val="68"/>
                <w:szCs w:val="68"/>
              </w:rPr>
              <w:t xml:space="preserve">VA </w:t>
            </w:r>
          </w:p>
        </w:tc>
        <w:tc>
          <w:tcPr>
            <w:tcW w:w="8010" w:type="dxa"/>
          </w:tcPr>
          <w:p w:rsidR="006E4526" w:rsidRPr="00867A9C" w:rsidRDefault="006E4526" w:rsidP="00C00A96">
            <w:pPr>
              <w:ind w:left="-288"/>
              <w:jc w:val="center"/>
              <w:rPr>
                <w:rFonts w:ascii="Arial" w:hAnsi="Arial" w:cs="Arial"/>
                <w:b/>
                <w:bCs/>
                <w:color w:val="1F497D"/>
              </w:rPr>
            </w:pPr>
          </w:p>
          <w:p w:rsidR="006E4526" w:rsidRPr="00867A9C" w:rsidRDefault="006E4526" w:rsidP="00C00A96">
            <w:pPr>
              <w:pStyle w:val="Heading3"/>
              <w:jc w:val="left"/>
              <w:rPr>
                <w:rFonts w:ascii="Times New Roman" w:hAnsi="Times New Roman" w:cs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1F497D"/>
                <w:sz w:val="28"/>
                <w:szCs w:val="28"/>
              </w:rPr>
              <w:t xml:space="preserve">                                  </w:t>
            </w:r>
          </w:p>
          <w:p w:rsidR="006E4526" w:rsidRPr="00867A9C" w:rsidRDefault="006E4526" w:rsidP="00C00A96">
            <w:pPr>
              <w:ind w:left="-278"/>
              <w:rPr>
                <w:b/>
                <w:color w:val="1F497D"/>
                <w:sz w:val="28"/>
                <w:szCs w:val="28"/>
              </w:rPr>
            </w:pPr>
            <w:r>
              <w:rPr>
                <w:b/>
                <w:color w:val="1F497D"/>
                <w:sz w:val="28"/>
                <w:szCs w:val="28"/>
              </w:rPr>
              <w:t xml:space="preserve">    </w:t>
            </w:r>
            <w:r w:rsidRPr="00867A9C">
              <w:rPr>
                <w:b/>
                <w:color w:val="1F497D"/>
                <w:sz w:val="28"/>
                <w:szCs w:val="28"/>
              </w:rPr>
              <w:t xml:space="preserve"> </w:t>
            </w:r>
            <w:r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867A9C">
              <w:rPr>
                <w:b/>
                <w:color w:val="1F497D"/>
                <w:sz w:val="28"/>
                <w:szCs w:val="28"/>
              </w:rPr>
              <w:t xml:space="preserve">U.S. Department </w:t>
            </w:r>
          </w:p>
          <w:p w:rsidR="006E4526" w:rsidRPr="00867A9C" w:rsidRDefault="006E4526" w:rsidP="00C00A96">
            <w:r w:rsidRPr="00867A9C">
              <w:rPr>
                <w:b/>
                <w:color w:val="1F497D"/>
                <w:sz w:val="28"/>
                <w:szCs w:val="28"/>
              </w:rPr>
              <w:t xml:space="preserve"> </w:t>
            </w:r>
            <w:r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867A9C">
              <w:rPr>
                <w:b/>
                <w:color w:val="1F497D"/>
                <w:sz w:val="28"/>
                <w:szCs w:val="28"/>
              </w:rPr>
              <w:t>of Veterans Affairs</w:t>
            </w:r>
          </w:p>
        </w:tc>
      </w:tr>
    </w:tbl>
    <w:p w:rsidR="006E4526" w:rsidRPr="006E4526" w:rsidRDefault="006E4526" w:rsidP="006E4526">
      <w:pPr>
        <w:pStyle w:val="Heading2"/>
        <w:rPr>
          <w:rFonts w:ascii="Arial" w:hAnsi="Arial" w:cs="Arial"/>
          <w:b w:val="0"/>
          <w:color w:val="1F497D"/>
          <w:sz w:val="24"/>
          <w:szCs w:val="24"/>
        </w:rPr>
      </w:pPr>
      <w:r w:rsidRPr="006E4526">
        <w:rPr>
          <w:rFonts w:ascii="Arial" w:hAnsi="Arial" w:cs="Arial"/>
          <w:b w:val="0"/>
          <w:color w:val="1F497D"/>
          <w:sz w:val="24"/>
          <w:szCs w:val="24"/>
        </w:rPr>
        <w:t>Office of the General Counsel</w:t>
      </w:r>
      <w:r w:rsidRPr="006E4526">
        <w:rPr>
          <w:rFonts w:ascii="Arial" w:hAnsi="Arial" w:cs="Arial"/>
          <w:b w:val="0"/>
          <w:color w:val="1F497D"/>
          <w:sz w:val="24"/>
          <w:szCs w:val="24"/>
        </w:rPr>
        <w:tab/>
      </w:r>
      <w:r w:rsidRPr="006E4526">
        <w:rPr>
          <w:rFonts w:ascii="Arial" w:hAnsi="Arial" w:cs="Arial"/>
          <w:b w:val="0"/>
          <w:color w:val="1F497D"/>
          <w:sz w:val="24"/>
          <w:szCs w:val="24"/>
        </w:rPr>
        <w:tab/>
      </w:r>
      <w:r w:rsidRPr="006E4526">
        <w:rPr>
          <w:rFonts w:ascii="Arial" w:hAnsi="Arial" w:cs="Arial"/>
          <w:b w:val="0"/>
          <w:color w:val="1F497D"/>
          <w:sz w:val="24"/>
          <w:szCs w:val="24"/>
        </w:rPr>
        <w:tab/>
      </w:r>
      <w:r w:rsidRPr="006E4526">
        <w:rPr>
          <w:rFonts w:ascii="Arial" w:hAnsi="Arial" w:cs="Arial"/>
          <w:b w:val="0"/>
          <w:color w:val="1F497D"/>
          <w:sz w:val="24"/>
          <w:szCs w:val="24"/>
        </w:rPr>
        <w:tab/>
      </w:r>
      <w:r w:rsidRPr="006E4526">
        <w:rPr>
          <w:rFonts w:ascii="Arial" w:hAnsi="Arial" w:cs="Arial"/>
          <w:b w:val="0"/>
          <w:color w:val="1F497D"/>
          <w:sz w:val="24"/>
          <w:szCs w:val="24"/>
        </w:rPr>
        <w:tab/>
        <w:t xml:space="preserve">In Reply Refer To: </w:t>
      </w:r>
      <w:r w:rsidRPr="006E4526">
        <w:rPr>
          <w:rFonts w:ascii="Arial" w:hAnsi="Arial" w:cs="Arial"/>
          <w:color w:val="1F497D"/>
          <w:sz w:val="24"/>
          <w:szCs w:val="24"/>
        </w:rPr>
        <w:t>02REG</w:t>
      </w:r>
      <w:r w:rsidRPr="006E4526">
        <w:rPr>
          <w:rFonts w:ascii="Arial" w:hAnsi="Arial" w:cs="Arial"/>
          <w:b w:val="0"/>
          <w:color w:val="1F497D"/>
          <w:sz w:val="24"/>
          <w:szCs w:val="24"/>
        </w:rPr>
        <w:t xml:space="preserve"> Washington DC 20420</w:t>
      </w:r>
    </w:p>
    <w:p w:rsidR="00C74CAE" w:rsidRDefault="00C74CAE"/>
    <w:p w:rsidR="006E4526" w:rsidRDefault="006E4526"/>
    <w:p w:rsidR="006E4526" w:rsidRPr="008C09FE" w:rsidRDefault="006E4526" w:rsidP="006E4526">
      <w:pPr>
        <w:rPr>
          <w:rFonts w:ascii="Arial" w:hAnsi="Arial" w:cs="Arial"/>
        </w:rPr>
      </w:pPr>
      <w:r w:rsidRPr="008C09FE">
        <w:rPr>
          <w:rFonts w:ascii="Arial" w:hAnsi="Arial" w:cs="Arial"/>
        </w:rPr>
        <w:t>Date:</w:t>
      </w:r>
      <w:r>
        <w:rPr>
          <w:rFonts w:ascii="Arial" w:hAnsi="Arial" w:cs="Arial"/>
        </w:rPr>
        <w:t xml:space="preserve">  </w:t>
      </w:r>
      <w:r w:rsidR="002F037D">
        <w:rPr>
          <w:rFonts w:ascii="Arial" w:hAnsi="Arial" w:cs="Arial"/>
        </w:rPr>
        <w:t>February 19, 2016</w:t>
      </w:r>
    </w:p>
    <w:p w:rsidR="006E4526" w:rsidRPr="008C09FE" w:rsidRDefault="006E4526" w:rsidP="006E4526">
      <w:pPr>
        <w:rPr>
          <w:rFonts w:ascii="Arial" w:hAnsi="Arial" w:cs="Arial"/>
        </w:rPr>
      </w:pPr>
    </w:p>
    <w:p w:rsidR="006E4526" w:rsidRPr="008C09FE" w:rsidRDefault="006E4526" w:rsidP="006E4526">
      <w:pPr>
        <w:rPr>
          <w:rFonts w:ascii="Arial" w:hAnsi="Arial" w:cs="Arial"/>
        </w:rPr>
      </w:pPr>
      <w:r w:rsidRPr="008C09FE">
        <w:rPr>
          <w:rFonts w:ascii="Arial" w:hAnsi="Arial" w:cs="Arial"/>
        </w:rPr>
        <w:t>From:</w:t>
      </w:r>
      <w:r w:rsidRPr="008C09FE">
        <w:rPr>
          <w:rFonts w:ascii="Arial" w:hAnsi="Arial" w:cs="Arial"/>
        </w:rPr>
        <w:tab/>
        <w:t>Chief Impact Analyst (0</w:t>
      </w:r>
      <w:r>
        <w:rPr>
          <w:rFonts w:ascii="Arial" w:hAnsi="Arial" w:cs="Arial"/>
        </w:rPr>
        <w:t>2</w:t>
      </w:r>
      <w:r w:rsidRPr="008C09FE">
        <w:rPr>
          <w:rFonts w:ascii="Arial" w:hAnsi="Arial" w:cs="Arial"/>
        </w:rPr>
        <w:t>REG)</w:t>
      </w:r>
    </w:p>
    <w:p w:rsidR="006E4526" w:rsidRPr="008C09FE" w:rsidRDefault="006E4526" w:rsidP="006E4526">
      <w:pPr>
        <w:rPr>
          <w:rFonts w:ascii="Arial" w:hAnsi="Arial" w:cs="Arial"/>
        </w:rPr>
      </w:pPr>
    </w:p>
    <w:p w:rsidR="006E4526" w:rsidRDefault="006E4526" w:rsidP="002F037D">
      <w:pPr>
        <w:ind w:left="720" w:hanging="720"/>
        <w:rPr>
          <w:rFonts w:ascii="Arial" w:hAnsi="Arial" w:cs="Arial"/>
        </w:rPr>
      </w:pPr>
      <w:r w:rsidRPr="008C09FE">
        <w:rPr>
          <w:rFonts w:ascii="Arial" w:hAnsi="Arial" w:cs="Arial"/>
        </w:rPr>
        <w:t>Subj:</w:t>
      </w:r>
      <w:r w:rsidRPr="008C09FE">
        <w:rPr>
          <w:rFonts w:ascii="Arial" w:hAnsi="Arial" w:cs="Arial"/>
        </w:rPr>
        <w:tab/>
        <w:t>Economic Impact Analysis for RIN 2900-</w:t>
      </w:r>
      <w:r w:rsidR="002F037D">
        <w:rPr>
          <w:rFonts w:ascii="Arial" w:hAnsi="Arial" w:cs="Arial"/>
        </w:rPr>
        <w:t>AP7</w:t>
      </w:r>
      <w:r w:rsidR="00A40966">
        <w:rPr>
          <w:rFonts w:ascii="Arial" w:hAnsi="Arial" w:cs="Arial"/>
        </w:rPr>
        <w:t>5</w:t>
      </w:r>
      <w:r w:rsidR="002F037D">
        <w:rPr>
          <w:rFonts w:ascii="Arial" w:hAnsi="Arial" w:cs="Arial"/>
        </w:rPr>
        <w:t xml:space="preserve">, </w:t>
      </w:r>
      <w:r w:rsidR="002F037D" w:rsidRPr="00876A52">
        <w:rPr>
          <w:rFonts w:ascii="Arial" w:hAnsi="Arial" w:cs="Arial"/>
        </w:rPr>
        <w:t>Authority to solicit gifts and donations.</w:t>
      </w:r>
    </w:p>
    <w:p w:rsidR="006E4526" w:rsidRPr="008C09FE" w:rsidRDefault="006E4526" w:rsidP="006E4526">
      <w:pPr>
        <w:rPr>
          <w:rFonts w:ascii="Arial" w:hAnsi="Arial" w:cs="Arial"/>
        </w:rPr>
      </w:pPr>
    </w:p>
    <w:p w:rsidR="006E4526" w:rsidRPr="008C09FE" w:rsidRDefault="006E4526" w:rsidP="006E4526">
      <w:pPr>
        <w:pStyle w:val="BodyText"/>
      </w:pPr>
      <w:r w:rsidRPr="008C09FE">
        <w:t>To:</w:t>
      </w:r>
      <w:r w:rsidRPr="008C09FE">
        <w:tab/>
        <w:t>Director, Regulations Management (0</w:t>
      </w:r>
      <w:r>
        <w:t>2</w:t>
      </w:r>
      <w:r w:rsidRPr="008C09FE">
        <w:t>REG)</w:t>
      </w:r>
    </w:p>
    <w:p w:rsidR="006E4526" w:rsidRPr="008C09FE" w:rsidRDefault="006E4526" w:rsidP="006E4526">
      <w:pPr>
        <w:pStyle w:val="BodyText"/>
      </w:pPr>
    </w:p>
    <w:p w:rsidR="006E4526" w:rsidRPr="008C09FE" w:rsidRDefault="006E4526" w:rsidP="006E4526">
      <w:pPr>
        <w:tabs>
          <w:tab w:val="left" w:pos="720"/>
          <w:tab w:val="left" w:pos="4320"/>
        </w:tabs>
        <w:rPr>
          <w:rFonts w:ascii="Arial" w:hAnsi="Arial" w:cs="Arial"/>
        </w:rPr>
      </w:pPr>
      <w:r w:rsidRPr="008C09FE">
        <w:rPr>
          <w:rFonts w:ascii="Arial" w:hAnsi="Arial" w:cs="Arial"/>
        </w:rPr>
        <w:tab/>
        <w:t>I have reviewed this rulemaking package and determined the following.</w:t>
      </w:r>
    </w:p>
    <w:p w:rsidR="006E4526" w:rsidRPr="008C09FE" w:rsidRDefault="006E4526" w:rsidP="006E4526">
      <w:pPr>
        <w:tabs>
          <w:tab w:val="left" w:pos="720"/>
          <w:tab w:val="left" w:pos="4320"/>
        </w:tabs>
        <w:rPr>
          <w:rFonts w:ascii="Arial" w:hAnsi="Arial" w:cs="Arial"/>
        </w:rPr>
      </w:pPr>
    </w:p>
    <w:p w:rsidR="006E4526" w:rsidRPr="008C09FE" w:rsidRDefault="006E4526" w:rsidP="006E4526">
      <w:pPr>
        <w:pStyle w:val="BodyText"/>
        <w:rPr>
          <w:bCs/>
        </w:rPr>
      </w:pPr>
      <w:r w:rsidRPr="008C09FE">
        <w:t xml:space="preserve">1.  This rulemaking will not have an </w:t>
      </w:r>
      <w:r w:rsidRPr="008C09FE">
        <w:rPr>
          <w:bCs/>
        </w:rPr>
        <w:t xml:space="preserve">annual effect on the economy of $100 million or more, as set forth in </w:t>
      </w:r>
      <w:r w:rsidRPr="008C09FE">
        <w:t xml:space="preserve">Executive Order 12866. </w:t>
      </w:r>
      <w:r w:rsidRPr="008C09FE">
        <w:rPr>
          <w:bCs/>
        </w:rPr>
        <w:t> </w:t>
      </w:r>
    </w:p>
    <w:p w:rsidR="006E4526" w:rsidRPr="008C09FE" w:rsidRDefault="006E4526" w:rsidP="006E4526">
      <w:pPr>
        <w:tabs>
          <w:tab w:val="left" w:pos="720"/>
          <w:tab w:val="left" w:pos="4320"/>
        </w:tabs>
        <w:rPr>
          <w:rFonts w:ascii="Arial" w:hAnsi="Arial" w:cs="Arial"/>
        </w:rPr>
      </w:pPr>
    </w:p>
    <w:p w:rsidR="006E4526" w:rsidRPr="008C09FE" w:rsidRDefault="006E4526" w:rsidP="006E4526">
      <w:pPr>
        <w:pStyle w:val="BodyText"/>
      </w:pPr>
      <w:r w:rsidRPr="008C09FE">
        <w:t xml:space="preserve">2.  This rulemaking will not have a significant economic impact on a substantial number of small entities under the Regulatory Flexibility Act, 5 U.S.C. 601-612.   </w:t>
      </w:r>
    </w:p>
    <w:p w:rsidR="006E4526" w:rsidRPr="008C09FE" w:rsidRDefault="006E4526" w:rsidP="006E4526">
      <w:pPr>
        <w:pStyle w:val="BodyText"/>
      </w:pPr>
    </w:p>
    <w:p w:rsidR="006E4526" w:rsidRPr="008C09FE" w:rsidRDefault="006E4526" w:rsidP="006E4526">
      <w:pPr>
        <w:rPr>
          <w:rFonts w:ascii="Arial" w:hAnsi="Arial" w:cs="Arial"/>
        </w:rPr>
      </w:pPr>
      <w:r w:rsidRPr="008C09FE">
        <w:rPr>
          <w:rFonts w:ascii="Arial" w:hAnsi="Arial" w:cs="Arial"/>
        </w:rPr>
        <w:t xml:space="preserve">3.  This rulemaking will not result in the expenditure of $100 million or more by State, local, and tribal governments, in the aggregate, or by the private sector, under the Unfunded Mandates Reform Act of 1995, 2 U.S.C. 1532. </w:t>
      </w:r>
    </w:p>
    <w:p w:rsidR="006E4526" w:rsidRPr="008C09FE" w:rsidRDefault="006E4526" w:rsidP="006E4526">
      <w:pPr>
        <w:pStyle w:val="BodyText"/>
      </w:pPr>
    </w:p>
    <w:p w:rsidR="006E4526" w:rsidRPr="008C09FE" w:rsidRDefault="006E4526" w:rsidP="006E4526">
      <w:pPr>
        <w:pStyle w:val="BodyText"/>
      </w:pPr>
      <w:r w:rsidRPr="008C09FE">
        <w:t xml:space="preserve">4.  Attached please find the relevant cost impact documents. </w:t>
      </w:r>
    </w:p>
    <w:p w:rsidR="006E4526" w:rsidRPr="008C09FE" w:rsidRDefault="006E4526" w:rsidP="006E4526">
      <w:pPr>
        <w:pStyle w:val="BodyText"/>
      </w:pPr>
    </w:p>
    <w:p w:rsidR="006E4526" w:rsidRDefault="006E4526" w:rsidP="006E4526">
      <w:pPr>
        <w:pStyle w:val="BodyText"/>
      </w:pPr>
      <w:r w:rsidRPr="008C09FE">
        <w:rPr>
          <w:b/>
        </w:rPr>
        <w:t>(</w:t>
      </w:r>
      <w:r w:rsidR="002F037D">
        <w:rPr>
          <w:b/>
        </w:rPr>
        <w:t>Attachment</w:t>
      </w:r>
      <w:r w:rsidRPr="008C09FE">
        <w:rPr>
          <w:b/>
        </w:rPr>
        <w:t>):</w:t>
      </w:r>
      <w:r>
        <w:t xml:space="preserve">  </w:t>
      </w:r>
      <w:r w:rsidRPr="008C09FE">
        <w:t>Agenc</w:t>
      </w:r>
      <w:r>
        <w:t xml:space="preserve">y’s </w:t>
      </w:r>
      <w:r w:rsidRPr="008C09FE">
        <w:t xml:space="preserve">Impact Analysis, dated </w:t>
      </w:r>
      <w:r w:rsidR="002F037D">
        <w:t>February 12, 2016</w:t>
      </w:r>
    </w:p>
    <w:p w:rsidR="006E4526" w:rsidRDefault="006E4526" w:rsidP="006E4526">
      <w:pPr>
        <w:pStyle w:val="BodyText"/>
      </w:pPr>
    </w:p>
    <w:p w:rsidR="006E4526" w:rsidRPr="008C09FE" w:rsidRDefault="006E4526" w:rsidP="006E4526">
      <w:pPr>
        <w:pStyle w:val="BodyText"/>
      </w:pPr>
    </w:p>
    <w:p w:rsidR="006E4526" w:rsidRPr="008C09FE" w:rsidRDefault="006E4526" w:rsidP="006E4526">
      <w:pPr>
        <w:ind w:right="-720"/>
        <w:rPr>
          <w:rFonts w:ascii="Arial" w:hAnsi="Arial" w:cs="Arial"/>
        </w:rPr>
      </w:pPr>
      <w:r w:rsidRPr="008C09FE">
        <w:rPr>
          <w:rFonts w:ascii="Arial" w:hAnsi="Arial" w:cs="Arial"/>
          <w:b/>
        </w:rPr>
        <w:t>Approved by:</w:t>
      </w:r>
    </w:p>
    <w:p w:rsidR="006E4526" w:rsidRPr="006E4526" w:rsidRDefault="006E4526" w:rsidP="006E4526">
      <w:pPr>
        <w:ind w:right="-720"/>
        <w:rPr>
          <w:rFonts w:ascii="Arial" w:hAnsi="Arial" w:cs="Arial"/>
        </w:rPr>
      </w:pPr>
      <w:r w:rsidRPr="006E4526">
        <w:rPr>
          <w:rFonts w:ascii="Arial" w:hAnsi="Arial" w:cs="Arial"/>
        </w:rPr>
        <w:t>Michael P. Shores</w:t>
      </w:r>
      <w:r>
        <w:rPr>
          <w:rFonts w:ascii="Arial" w:hAnsi="Arial" w:cs="Arial"/>
        </w:rPr>
        <w:t>, MSRC</w:t>
      </w:r>
      <w:r w:rsidRPr="006E4526">
        <w:rPr>
          <w:rFonts w:ascii="Arial" w:hAnsi="Arial" w:cs="Arial"/>
        </w:rPr>
        <w:t xml:space="preserve"> </w:t>
      </w:r>
    </w:p>
    <w:p w:rsidR="006E4526" w:rsidRDefault="006E4526" w:rsidP="006E4526">
      <w:pPr>
        <w:ind w:right="-720"/>
        <w:rPr>
          <w:rFonts w:ascii="Arial" w:hAnsi="Arial" w:cs="Arial"/>
        </w:rPr>
      </w:pPr>
      <w:r w:rsidRPr="006E4526">
        <w:rPr>
          <w:rFonts w:ascii="Arial" w:hAnsi="Arial" w:cs="Arial"/>
        </w:rPr>
        <w:t xml:space="preserve">Chief, </w:t>
      </w:r>
      <w:r>
        <w:rPr>
          <w:rFonts w:ascii="Arial" w:hAnsi="Arial" w:cs="Arial"/>
        </w:rPr>
        <w:t xml:space="preserve">VA Regulatory </w:t>
      </w:r>
      <w:r w:rsidRPr="006E4526">
        <w:rPr>
          <w:rFonts w:ascii="Arial" w:hAnsi="Arial" w:cs="Arial"/>
        </w:rPr>
        <w:t>Impact Analys</w:t>
      </w:r>
      <w:r>
        <w:rPr>
          <w:rFonts w:ascii="Arial" w:hAnsi="Arial" w:cs="Arial"/>
        </w:rPr>
        <w:t>es</w:t>
      </w:r>
    </w:p>
    <w:p w:rsidR="006E4526" w:rsidRDefault="006E4526" w:rsidP="006E4526">
      <w:pPr>
        <w:ind w:right="-720"/>
        <w:rPr>
          <w:rFonts w:ascii="Arial" w:hAnsi="Arial" w:cs="Arial"/>
        </w:rPr>
      </w:pPr>
      <w:r w:rsidRPr="006E4526">
        <w:rPr>
          <w:rFonts w:ascii="Arial" w:hAnsi="Arial" w:cs="Arial"/>
          <w:bCs/>
        </w:rPr>
        <w:t>Regulation Policy &amp; Management</w:t>
      </w:r>
      <w:r>
        <w:rPr>
          <w:rFonts w:ascii="Arial" w:hAnsi="Arial" w:cs="Arial"/>
          <w:bCs/>
        </w:rPr>
        <w:t xml:space="preserve"> </w:t>
      </w:r>
      <w:r w:rsidRPr="006E4526">
        <w:rPr>
          <w:rFonts w:ascii="Arial" w:hAnsi="Arial" w:cs="Arial"/>
        </w:rPr>
        <w:t>(02REG)</w:t>
      </w:r>
    </w:p>
    <w:p w:rsidR="006E4526" w:rsidRPr="006E4526" w:rsidRDefault="006E4526" w:rsidP="006E4526">
      <w:pPr>
        <w:ind w:right="-720"/>
        <w:rPr>
          <w:rFonts w:ascii="Arial" w:hAnsi="Arial" w:cs="Arial"/>
          <w:bCs/>
        </w:rPr>
      </w:pPr>
      <w:r w:rsidRPr="006E4526">
        <w:rPr>
          <w:rFonts w:ascii="Arial" w:hAnsi="Arial" w:cs="Arial"/>
          <w:bCs/>
        </w:rPr>
        <w:t>Office of the General Counsel</w:t>
      </w:r>
    </w:p>
    <w:p w:rsidR="006E4526" w:rsidRPr="006E4526" w:rsidRDefault="006E4526" w:rsidP="006E4526">
      <w:pPr>
        <w:rPr>
          <w:rFonts w:ascii="Arial" w:hAnsi="Arial" w:cs="Arial"/>
        </w:rPr>
      </w:pPr>
    </w:p>
    <w:p w:rsidR="006E4526" w:rsidRPr="006E4526" w:rsidRDefault="006E4526" w:rsidP="006E4526">
      <w:pPr>
        <w:rPr>
          <w:rFonts w:ascii="Arial" w:hAnsi="Arial" w:cs="Arial"/>
        </w:rPr>
      </w:pPr>
    </w:p>
    <w:p w:rsidR="006E4526" w:rsidRPr="006E4526" w:rsidRDefault="006E4526" w:rsidP="006E4526">
      <w:pPr>
        <w:rPr>
          <w:rFonts w:ascii="Arial" w:hAnsi="Arial" w:cs="Arial"/>
        </w:rPr>
      </w:pPr>
    </w:p>
    <w:p w:rsidR="006E4526" w:rsidRPr="006E4526" w:rsidRDefault="006E4526" w:rsidP="006E4526">
      <w:pPr>
        <w:rPr>
          <w:rFonts w:ascii="Arial" w:hAnsi="Arial" w:cs="Arial"/>
        </w:rPr>
      </w:pPr>
    </w:p>
    <w:p w:rsidR="006E4526" w:rsidRPr="006E4526" w:rsidRDefault="006E4526" w:rsidP="006E4526">
      <w:pPr>
        <w:rPr>
          <w:rFonts w:ascii="Arial" w:hAnsi="Arial" w:cs="Arial"/>
        </w:rPr>
      </w:pPr>
    </w:p>
    <w:p w:rsidR="006E4526" w:rsidRPr="006E4526" w:rsidRDefault="006E4526" w:rsidP="006E4526">
      <w:pPr>
        <w:rPr>
          <w:rFonts w:ascii="Arial" w:hAnsi="Arial" w:cs="Arial"/>
        </w:rPr>
      </w:pPr>
    </w:p>
    <w:p w:rsidR="006E4526" w:rsidRPr="006E4526" w:rsidRDefault="006E4526" w:rsidP="006E4526">
      <w:pPr>
        <w:rPr>
          <w:rFonts w:ascii="Arial" w:hAnsi="Arial" w:cs="Arial"/>
        </w:rPr>
      </w:pPr>
    </w:p>
    <w:p w:rsidR="006E4526" w:rsidRDefault="006E4526" w:rsidP="006E4526">
      <w:pPr>
        <w:jc w:val="center"/>
        <w:rPr>
          <w:rFonts w:ascii="Arial" w:hAnsi="Arial" w:cs="Arial"/>
          <w:b/>
        </w:rPr>
      </w:pPr>
    </w:p>
    <w:p w:rsidR="006E4526" w:rsidRDefault="006E4526" w:rsidP="006E4526">
      <w:pPr>
        <w:jc w:val="center"/>
        <w:rPr>
          <w:rFonts w:ascii="Arial" w:hAnsi="Arial" w:cs="Arial"/>
          <w:b/>
        </w:rPr>
      </w:pPr>
    </w:p>
    <w:p w:rsidR="006E4526" w:rsidRDefault="006E4526" w:rsidP="006E4526">
      <w:pPr>
        <w:jc w:val="center"/>
        <w:rPr>
          <w:rFonts w:ascii="Arial" w:hAnsi="Arial" w:cs="Arial"/>
          <w:b/>
        </w:rPr>
      </w:pPr>
    </w:p>
    <w:p w:rsidR="006E4526" w:rsidRDefault="002F037D" w:rsidP="006E452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(Attachment</w:t>
      </w:r>
      <w:r w:rsidR="006E4526" w:rsidRPr="008C09FE">
        <w:rPr>
          <w:rFonts w:ascii="Arial" w:hAnsi="Arial" w:cs="Arial"/>
          <w:b/>
        </w:rPr>
        <w:t>)</w:t>
      </w:r>
    </w:p>
    <w:p w:rsidR="002F037D" w:rsidRDefault="002F037D" w:rsidP="006E4526">
      <w:pPr>
        <w:jc w:val="center"/>
        <w:rPr>
          <w:rFonts w:ascii="Arial" w:hAnsi="Arial" w:cs="Arial"/>
          <w:b/>
        </w:rPr>
      </w:pPr>
    </w:p>
    <w:p w:rsidR="002F037D" w:rsidRPr="00876A52" w:rsidRDefault="002F037D" w:rsidP="002F037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Impact Analysis for RIN 2900-AP7</w:t>
      </w:r>
      <w:r w:rsidR="00A40966">
        <w:rPr>
          <w:rFonts w:ascii="Arial" w:hAnsi="Arial" w:cs="Arial"/>
          <w:b/>
        </w:rPr>
        <w:t>5</w:t>
      </w:r>
      <w:r w:rsidRPr="00876A52">
        <w:rPr>
          <w:rFonts w:ascii="Arial" w:hAnsi="Arial" w:cs="Arial"/>
        </w:rPr>
        <w:t xml:space="preserve"> </w:t>
      </w:r>
    </w:p>
    <w:p w:rsidR="002F037D" w:rsidRPr="00876A52" w:rsidRDefault="002F037D" w:rsidP="002F037D">
      <w:pPr>
        <w:jc w:val="both"/>
        <w:rPr>
          <w:rFonts w:ascii="Arial" w:hAnsi="Arial" w:cs="Arial"/>
        </w:rPr>
      </w:pPr>
    </w:p>
    <w:p w:rsidR="002F037D" w:rsidRPr="00876A52" w:rsidRDefault="002F037D" w:rsidP="002F037D">
      <w:pPr>
        <w:jc w:val="both"/>
        <w:rPr>
          <w:rFonts w:ascii="Arial" w:hAnsi="Arial" w:cs="Arial"/>
        </w:rPr>
      </w:pPr>
    </w:p>
    <w:p w:rsidR="002F037D" w:rsidRPr="00876A52" w:rsidRDefault="002F037D" w:rsidP="002F037D">
      <w:pPr>
        <w:rPr>
          <w:rFonts w:ascii="Arial" w:hAnsi="Arial" w:cs="Arial"/>
        </w:rPr>
      </w:pPr>
      <w:r w:rsidRPr="00876A52">
        <w:rPr>
          <w:rFonts w:ascii="Arial" w:hAnsi="Arial" w:cs="Arial"/>
          <w:b/>
        </w:rPr>
        <w:t xml:space="preserve">Title of Regulation: </w:t>
      </w:r>
      <w:r w:rsidRPr="00876A52">
        <w:rPr>
          <w:rFonts w:ascii="Arial" w:hAnsi="Arial" w:cs="Arial"/>
        </w:rPr>
        <w:t>Authority to solicit gifts and donations.</w:t>
      </w:r>
    </w:p>
    <w:p w:rsidR="002F037D" w:rsidRPr="00876A52" w:rsidRDefault="002F037D" w:rsidP="002F037D">
      <w:pPr>
        <w:jc w:val="both"/>
        <w:rPr>
          <w:rFonts w:ascii="Arial" w:hAnsi="Arial" w:cs="Arial"/>
          <w:b/>
        </w:rPr>
      </w:pPr>
    </w:p>
    <w:p w:rsidR="002F037D" w:rsidRPr="00876A52" w:rsidRDefault="002F037D" w:rsidP="002F037D">
      <w:pPr>
        <w:jc w:val="both"/>
        <w:rPr>
          <w:rFonts w:ascii="Arial" w:hAnsi="Arial" w:cs="Arial"/>
          <w:b/>
          <w:smallCaps/>
        </w:rPr>
      </w:pPr>
      <w:r w:rsidRPr="00876A52">
        <w:rPr>
          <w:rFonts w:ascii="Arial" w:hAnsi="Arial" w:cs="Arial"/>
          <w:b/>
        </w:rPr>
        <w:t xml:space="preserve">Purpose:  </w:t>
      </w:r>
      <w:r w:rsidRPr="00876A52">
        <w:rPr>
          <w:rFonts w:ascii="Arial" w:hAnsi="Arial" w:cs="Arial"/>
        </w:rPr>
        <w:t xml:space="preserve">To determine the economic impact of this rulemaking. </w:t>
      </w:r>
    </w:p>
    <w:p w:rsidR="002F037D" w:rsidRPr="00876A52" w:rsidRDefault="002F037D" w:rsidP="002F037D">
      <w:pPr>
        <w:jc w:val="both"/>
        <w:rPr>
          <w:rFonts w:ascii="Arial" w:hAnsi="Arial" w:cs="Arial"/>
          <w:b/>
        </w:rPr>
      </w:pPr>
    </w:p>
    <w:p w:rsidR="002F037D" w:rsidRDefault="002F037D" w:rsidP="002F037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Need for the Rulemaking:  </w:t>
      </w:r>
      <w:r>
        <w:rPr>
          <w:rFonts w:ascii="Arial" w:hAnsi="Arial" w:cs="Arial"/>
        </w:rPr>
        <w:t>The U.S. Department of Veterans Affairs (VA) National Cemetery Administration (NCA) is amending</w:t>
      </w:r>
      <w:r w:rsidRPr="00876A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its </w:t>
      </w:r>
      <w:r w:rsidRPr="00876A52">
        <w:rPr>
          <w:rFonts w:ascii="Arial" w:hAnsi="Arial" w:cs="Arial"/>
        </w:rPr>
        <w:t xml:space="preserve">regulation </w:t>
      </w:r>
      <w:r>
        <w:rPr>
          <w:rFonts w:ascii="Arial" w:hAnsi="Arial" w:cs="Arial"/>
        </w:rPr>
        <w:t>regarding</w:t>
      </w:r>
      <w:r w:rsidRPr="00876A52">
        <w:rPr>
          <w:rFonts w:ascii="Arial" w:hAnsi="Arial" w:cs="Arial"/>
        </w:rPr>
        <w:t xml:space="preserve"> solicit</w:t>
      </w:r>
      <w:r>
        <w:rPr>
          <w:rFonts w:ascii="Arial" w:hAnsi="Arial" w:cs="Arial"/>
        </w:rPr>
        <w:t>ing</w:t>
      </w:r>
      <w:r w:rsidRPr="00876A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donations</w:t>
      </w:r>
      <w:r w:rsidRPr="00876A52">
        <w:rPr>
          <w:rFonts w:ascii="Arial" w:hAnsi="Arial" w:cs="Arial"/>
        </w:rPr>
        <w:t xml:space="preserve"> from the public</w:t>
      </w:r>
      <w:r>
        <w:rPr>
          <w:rFonts w:ascii="Arial" w:hAnsi="Arial" w:cs="Arial"/>
        </w:rPr>
        <w:t xml:space="preserve"> to allow </w:t>
      </w:r>
      <w:r w:rsidRPr="00876A52">
        <w:rPr>
          <w:rFonts w:ascii="Arial" w:hAnsi="Arial" w:cs="Arial"/>
        </w:rPr>
        <w:t>the Under Secretary of Memorial Affairs (USMA), or his designee, to solicit donations on behalf of VA.</w:t>
      </w:r>
      <w:r w:rsidRPr="00917B9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The current regulation includes a restriction on solicitation of donations, which is not legally necessary.</w:t>
      </w:r>
    </w:p>
    <w:p w:rsidR="002F037D" w:rsidRDefault="002F037D" w:rsidP="002F037D">
      <w:pPr>
        <w:rPr>
          <w:rFonts w:ascii="Arial" w:hAnsi="Arial" w:cs="Arial"/>
          <w:b/>
        </w:rPr>
      </w:pPr>
    </w:p>
    <w:p w:rsidR="002F037D" w:rsidRDefault="002F037D" w:rsidP="002F037D">
      <w:pPr>
        <w:rPr>
          <w:rFonts w:ascii="Arial" w:hAnsi="Arial" w:cs="Arial"/>
        </w:rPr>
      </w:pPr>
      <w:r w:rsidRPr="00A55B96">
        <w:rPr>
          <w:rFonts w:ascii="Arial" w:hAnsi="Arial" w:cs="Arial"/>
          <w:b/>
        </w:rPr>
        <w:t xml:space="preserve">Methodology/Assumptions: </w:t>
      </w:r>
      <w:r>
        <w:rPr>
          <w:rFonts w:ascii="Arial" w:hAnsi="Arial" w:cs="Arial"/>
          <w:b/>
        </w:rPr>
        <w:t xml:space="preserve"> </w:t>
      </w:r>
      <w:r w:rsidRPr="000C4CEF">
        <w:rPr>
          <w:rFonts w:ascii="Arial" w:hAnsi="Arial" w:cs="Arial"/>
        </w:rPr>
        <w:t>This rulemaking removes a legally unnecessary restriction on VA’s ability to solicit donations under its gift authority in 38 U.S.C. 2407.</w:t>
      </w:r>
      <w:r>
        <w:rPr>
          <w:rFonts w:ascii="Arial" w:hAnsi="Arial" w:cs="Arial"/>
        </w:rPr>
        <w:t xml:space="preserve"> Donations are voluntary, however, so this change in the regulation cannot guarantee any increase in donations to VA.</w:t>
      </w:r>
    </w:p>
    <w:p w:rsidR="002F037D" w:rsidRDefault="002F037D" w:rsidP="002F037D">
      <w:pPr>
        <w:rPr>
          <w:rFonts w:ascii="Arial" w:hAnsi="Arial" w:cs="Arial"/>
          <w:b/>
        </w:rPr>
      </w:pPr>
    </w:p>
    <w:p w:rsidR="002F037D" w:rsidRPr="000C4CEF" w:rsidRDefault="002F037D" w:rsidP="002F037D">
      <w:pPr>
        <w:rPr>
          <w:rFonts w:ascii="Arial" w:hAnsi="Arial" w:cs="Arial"/>
        </w:rPr>
      </w:pPr>
      <w:r w:rsidRPr="009A7641">
        <w:rPr>
          <w:rFonts w:ascii="Arial" w:hAnsi="Arial" w:cs="Arial"/>
          <w:b/>
        </w:rPr>
        <w:t>Estimated Impact:</w:t>
      </w:r>
      <w:r w:rsidRPr="000C4CEF">
        <w:rPr>
          <w:rFonts w:ascii="Arial" w:hAnsi="Arial" w:cs="Arial"/>
        </w:rPr>
        <w:t xml:space="preserve"> We have determined there are no costs or savings associated with this rulemaking. . Although VA officials would be permitted to solicit donations under this regulation, donations are voluntary, so the regulation has no impact on costs or savings</w:t>
      </w:r>
      <w:r>
        <w:rPr>
          <w:rFonts w:ascii="Arial" w:hAnsi="Arial" w:cs="Arial"/>
        </w:rPr>
        <w:t xml:space="preserve"> to VA</w:t>
      </w:r>
      <w:r w:rsidRPr="000C4CEF">
        <w:rPr>
          <w:rFonts w:ascii="Arial" w:hAnsi="Arial" w:cs="Arial"/>
        </w:rPr>
        <w:t>.</w:t>
      </w:r>
    </w:p>
    <w:p w:rsidR="002F037D" w:rsidRDefault="002F037D" w:rsidP="002F037D">
      <w:pPr>
        <w:rPr>
          <w:rFonts w:ascii="Arial" w:hAnsi="Arial" w:cs="Arial"/>
          <w:b/>
        </w:rPr>
      </w:pPr>
    </w:p>
    <w:p w:rsidR="002F037D" w:rsidRPr="00A55B96" w:rsidRDefault="002F037D" w:rsidP="002F037D">
      <w:pPr>
        <w:rPr>
          <w:rFonts w:ascii="Arial" w:hAnsi="Arial" w:cs="Arial"/>
          <w:color w:val="000080"/>
        </w:rPr>
      </w:pPr>
    </w:p>
    <w:p w:rsidR="002F037D" w:rsidRPr="00523AC8" w:rsidRDefault="002F037D" w:rsidP="002F037D">
      <w:pPr>
        <w:rPr>
          <w:rFonts w:ascii="Arial" w:hAnsi="Arial" w:cs="Arial"/>
          <w:b/>
        </w:rPr>
      </w:pPr>
      <w:r w:rsidRPr="00523AC8">
        <w:rPr>
          <w:rFonts w:ascii="Arial" w:hAnsi="Arial" w:cs="Arial"/>
          <w:b/>
        </w:rPr>
        <w:t xml:space="preserve">Submitted by:  </w:t>
      </w:r>
    </w:p>
    <w:p w:rsidR="002F037D" w:rsidRPr="00523AC8" w:rsidRDefault="002F037D" w:rsidP="002F037D">
      <w:pPr>
        <w:rPr>
          <w:rFonts w:ascii="Arial" w:hAnsi="Arial" w:cs="Arial"/>
        </w:rPr>
      </w:pPr>
      <w:r>
        <w:rPr>
          <w:rFonts w:ascii="Arial" w:hAnsi="Arial" w:cs="Arial"/>
        </w:rPr>
        <w:t>Patricia Lynch Watts</w:t>
      </w:r>
    </w:p>
    <w:p w:rsidR="002F037D" w:rsidRPr="00523AC8" w:rsidRDefault="002F037D" w:rsidP="002F037D">
      <w:pPr>
        <w:rPr>
          <w:rFonts w:ascii="Arial" w:hAnsi="Arial" w:cs="Arial"/>
        </w:rPr>
      </w:pPr>
      <w:r w:rsidRPr="00523AC8">
        <w:rPr>
          <w:rFonts w:ascii="Arial" w:hAnsi="Arial" w:cs="Arial"/>
        </w:rPr>
        <w:t>Legislative and Regulatory Service (42E)</w:t>
      </w:r>
    </w:p>
    <w:p w:rsidR="002F037D" w:rsidRPr="00523AC8" w:rsidRDefault="002F037D" w:rsidP="002F037D">
      <w:pPr>
        <w:rPr>
          <w:rFonts w:ascii="Arial" w:hAnsi="Arial" w:cs="Arial"/>
        </w:rPr>
      </w:pPr>
      <w:r w:rsidRPr="00523AC8">
        <w:rPr>
          <w:rFonts w:ascii="Arial" w:hAnsi="Arial" w:cs="Arial"/>
        </w:rPr>
        <w:t>Department of Veterans Affairs</w:t>
      </w:r>
      <w:r>
        <w:rPr>
          <w:rFonts w:ascii="Arial" w:hAnsi="Arial" w:cs="Arial"/>
        </w:rPr>
        <w:t xml:space="preserve">, </w:t>
      </w:r>
      <w:r w:rsidRPr="00523AC8">
        <w:rPr>
          <w:rFonts w:ascii="Arial" w:hAnsi="Arial" w:cs="Arial"/>
        </w:rPr>
        <w:t>Washington, DC</w:t>
      </w:r>
    </w:p>
    <w:p w:rsidR="002F037D" w:rsidRDefault="002F037D" w:rsidP="002F037D">
      <w:pPr>
        <w:rPr>
          <w:rFonts w:ascii="Arial" w:hAnsi="Arial" w:cs="Arial"/>
          <w:b/>
        </w:rPr>
      </w:pPr>
      <w:r>
        <w:rPr>
          <w:rFonts w:ascii="Arial" w:hAnsi="Arial" w:cs="Arial"/>
        </w:rPr>
        <w:t>February 12</w:t>
      </w:r>
      <w:r w:rsidRPr="00523AC8">
        <w:rPr>
          <w:rFonts w:ascii="Arial" w:hAnsi="Arial" w:cs="Arial"/>
        </w:rPr>
        <w:t>, 201</w:t>
      </w:r>
      <w:r>
        <w:rPr>
          <w:rFonts w:ascii="Arial" w:hAnsi="Arial" w:cs="Arial"/>
        </w:rPr>
        <w:t>6</w:t>
      </w:r>
    </w:p>
    <w:p w:rsidR="002F037D" w:rsidRPr="008C09FE" w:rsidRDefault="002F037D" w:rsidP="006E4526">
      <w:pPr>
        <w:jc w:val="center"/>
        <w:rPr>
          <w:rFonts w:ascii="Arial" w:hAnsi="Arial" w:cs="Arial"/>
          <w:b/>
        </w:rPr>
      </w:pPr>
    </w:p>
    <w:p w:rsidR="006E4526" w:rsidRDefault="006E4526"/>
    <w:sectPr w:rsidR="006E4526" w:rsidSect="006E452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26"/>
    <w:rsid w:val="002F037D"/>
    <w:rsid w:val="006E4526"/>
    <w:rsid w:val="00A40966"/>
    <w:rsid w:val="00C61E44"/>
    <w:rsid w:val="00C7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5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5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5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E4526"/>
    <w:pPr>
      <w:keepNext/>
      <w:ind w:left="-2340"/>
      <w:jc w:val="center"/>
      <w:outlineLvl w:val="2"/>
    </w:pPr>
    <w:rPr>
      <w:rFonts w:ascii="Arial" w:hAnsi="Arial" w:cs="Arial"/>
      <w:b/>
      <w:bCs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E4526"/>
    <w:rPr>
      <w:rFonts w:ascii="Arial" w:eastAsia="Times New Roman" w:hAnsi="Arial" w:cs="Arial"/>
      <w:b/>
      <w:bCs/>
      <w:color w:val="00008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5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4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6E4526"/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6E4526"/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37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5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5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5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E4526"/>
    <w:pPr>
      <w:keepNext/>
      <w:ind w:left="-2340"/>
      <w:jc w:val="center"/>
      <w:outlineLvl w:val="2"/>
    </w:pPr>
    <w:rPr>
      <w:rFonts w:ascii="Arial" w:hAnsi="Arial" w:cs="Arial"/>
      <w:b/>
      <w:bCs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E4526"/>
    <w:rPr>
      <w:rFonts w:ascii="Arial" w:eastAsia="Times New Roman" w:hAnsi="Arial" w:cs="Arial"/>
      <w:b/>
      <w:bCs/>
      <w:color w:val="00008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5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4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6E4526"/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6E4526"/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37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Shores, Michael</dc:creator>
  <cp:lastModifiedBy>Potts, Luvenia (Fran)</cp:lastModifiedBy>
  <cp:revision>2</cp:revision>
  <cp:lastPrinted>2016-07-12T14:11:00Z</cp:lastPrinted>
  <dcterms:created xsi:type="dcterms:W3CDTF">2016-07-12T14:12:00Z</dcterms:created>
  <dcterms:modified xsi:type="dcterms:W3CDTF">2016-07-12T14:12:00Z</dcterms:modified>
</cp:coreProperties>
</file>