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CFE" w:rsidRDefault="003D2CFE" w:rsidP="003D2CFE">
      <w:pPr>
        <w:spacing w:before="0" w:after="0"/>
        <w:rPr>
          <w:b/>
        </w:rPr>
      </w:pPr>
    </w:p>
    <w:p w:rsidR="003D2CFE" w:rsidRPr="00A42303" w:rsidRDefault="003D2CFE" w:rsidP="003D2CFE">
      <w:pPr>
        <w:spacing w:before="0" w:after="0"/>
        <w:jc w:val="center"/>
        <w:rPr>
          <w:b/>
        </w:rPr>
      </w:pPr>
      <w:r w:rsidRPr="00A42303">
        <w:rPr>
          <w:b/>
        </w:rPr>
        <w:t>Openreach Portfolio Products Contracts Group(s)</w:t>
      </w:r>
    </w:p>
    <w:p w:rsidR="003D2CFE" w:rsidRPr="00A42303" w:rsidRDefault="003D2CFE" w:rsidP="003D2CFE">
      <w:pPr>
        <w:spacing w:before="0" w:after="0"/>
        <w:jc w:val="center"/>
        <w:rPr>
          <w:b/>
        </w:rPr>
      </w:pPr>
      <w:r w:rsidRPr="00A42303">
        <w:rPr>
          <w:b/>
        </w:rPr>
        <w:t>Best Practice Guide</w:t>
      </w:r>
    </w:p>
    <w:p w:rsidR="003D2CFE" w:rsidRPr="00A42303" w:rsidRDefault="003D2CFE" w:rsidP="003D2CFE">
      <w:pPr>
        <w:spacing w:before="0" w:after="0"/>
        <w:jc w:val="center"/>
        <w:rPr>
          <w:b/>
        </w:rPr>
      </w:pPr>
    </w:p>
    <w:p w:rsidR="00F37CA1" w:rsidRPr="00A42303" w:rsidRDefault="00F37CA1" w:rsidP="003D2CFE">
      <w:pPr>
        <w:spacing w:before="0" w:after="0"/>
        <w:rPr>
          <w:b/>
        </w:rPr>
      </w:pPr>
      <w:r w:rsidRPr="00A42303">
        <w:rPr>
          <w:b/>
        </w:rPr>
        <w:t xml:space="preserve">Background </w:t>
      </w:r>
    </w:p>
    <w:p w:rsidR="00F37CA1" w:rsidRPr="00A42303" w:rsidRDefault="00F37CA1" w:rsidP="003D2CFE">
      <w:pPr>
        <w:spacing w:before="0" w:after="0"/>
      </w:pPr>
    </w:p>
    <w:p w:rsidR="00BD236F" w:rsidRPr="00A42303" w:rsidRDefault="00F37CA1" w:rsidP="00BD236F">
      <w:pPr>
        <w:spacing w:before="0" w:after="0"/>
      </w:pPr>
      <w:r w:rsidRPr="00A42303">
        <w:t xml:space="preserve">This </w:t>
      </w:r>
      <w:r w:rsidR="00015BC0" w:rsidRPr="00A42303">
        <w:t>document</w:t>
      </w:r>
      <w:r w:rsidRPr="00A42303">
        <w:t xml:space="preserve"> sets out </w:t>
      </w:r>
      <w:r w:rsidR="00931F26">
        <w:t>“</w:t>
      </w:r>
      <w:r w:rsidR="00BD236F" w:rsidRPr="00A42303">
        <w:t>best practice</w:t>
      </w:r>
      <w:r w:rsidRPr="00A42303">
        <w:t xml:space="preserve"> </w:t>
      </w:r>
      <w:r w:rsidR="00BD236F" w:rsidRPr="00A42303">
        <w:t>guide</w:t>
      </w:r>
      <w:r w:rsidR="00015BC0" w:rsidRPr="00A42303">
        <w:t>”</w:t>
      </w:r>
      <w:r w:rsidR="00BD236F" w:rsidRPr="00A42303">
        <w:t xml:space="preserve"> </w:t>
      </w:r>
      <w:r w:rsidRPr="00A42303">
        <w:t xml:space="preserve">to be used during </w:t>
      </w:r>
      <w:r w:rsidR="00BD236F" w:rsidRPr="00A42303">
        <w:t>discussions within the “contracts group(s)” for each of the Openreach portfolio products.  In the absence of any agreement by the relevant CPs and Openreach to the contrary, this document sets out the default approach of the parties in relation to any contracts group(s) discussions, but these can be amended by the CPs and Openreach where the situation reasonably requires, or to address a particular concern or issue of a CP or Openreach.</w:t>
      </w:r>
    </w:p>
    <w:p w:rsidR="00BD236F" w:rsidRPr="00A42303" w:rsidRDefault="00BD236F" w:rsidP="003D2CFE">
      <w:pPr>
        <w:spacing w:before="0" w:after="0"/>
      </w:pPr>
      <w:bookmarkStart w:id="0" w:name="_GoBack"/>
      <w:bookmarkEnd w:id="0"/>
    </w:p>
    <w:p w:rsidR="00C41E35" w:rsidRPr="00A42303" w:rsidRDefault="00BD236F" w:rsidP="003D2CFE">
      <w:pPr>
        <w:spacing w:before="0" w:after="0"/>
      </w:pPr>
      <w:r w:rsidRPr="00A42303">
        <w:t>This document was first implemented</w:t>
      </w:r>
      <w:r w:rsidR="00E74EEE" w:rsidRPr="00A42303">
        <w:rPr>
          <w:rStyle w:val="FootnoteReference"/>
        </w:rPr>
        <w:footnoteReference w:id="1"/>
      </w:r>
      <w:r w:rsidRPr="00A42303">
        <w:t xml:space="preserve"> in response to </w:t>
      </w:r>
      <w:r w:rsidR="00C41E35" w:rsidRPr="00A42303">
        <w:t xml:space="preserve">discussions between </w:t>
      </w:r>
      <w:r w:rsidRPr="00A42303">
        <w:t>various parties</w:t>
      </w:r>
      <w:r w:rsidR="00C41E35" w:rsidRPr="00A42303">
        <w:t xml:space="preserve"> (</w:t>
      </w:r>
      <w:r w:rsidRPr="00A42303">
        <w:t>including the OTA</w:t>
      </w:r>
      <w:r w:rsidR="00C41E35" w:rsidRPr="00A42303">
        <w:t>, Openreach</w:t>
      </w:r>
      <w:r w:rsidRPr="00A42303">
        <w:t xml:space="preserve"> and CPs</w:t>
      </w:r>
      <w:r w:rsidR="00C41E35" w:rsidRPr="00A42303">
        <w:t>)</w:t>
      </w:r>
      <w:r w:rsidRPr="00A42303">
        <w:t xml:space="preserve"> </w:t>
      </w:r>
      <w:r w:rsidR="00F37CA1" w:rsidRPr="00A42303">
        <w:t xml:space="preserve">to implement a framework agreed by CPs and Openreach for the </w:t>
      </w:r>
      <w:r w:rsidR="0038273E" w:rsidRPr="00A42303">
        <w:t xml:space="preserve">efficient and transparent </w:t>
      </w:r>
      <w:r w:rsidR="00F37CA1" w:rsidRPr="00A42303">
        <w:t xml:space="preserve">conduct of </w:t>
      </w:r>
      <w:r w:rsidR="0038273E">
        <w:t>discussions between Openreach and CPs as part of a “contracts group” which is,</w:t>
      </w:r>
      <w:r w:rsidR="00F37CA1" w:rsidRPr="00A42303">
        <w:t xml:space="preserve"> as far as possible</w:t>
      </w:r>
      <w:r w:rsidR="0038273E">
        <w:t>,</w:t>
      </w:r>
      <w:r w:rsidR="00F37CA1" w:rsidRPr="00A42303">
        <w:t xml:space="preserve"> consistent across Openreach’s product terms and conditions (GEA, WLR3, Connectivity Services, LLU, PIA and Access Locate). </w:t>
      </w:r>
      <w:r w:rsidR="00C41E35" w:rsidRPr="00A42303">
        <w:t xml:space="preserve">It was used as part of the GEA and Connectivity Services contract review discussions (May – September 2014) and reviewed after conclusion of those discussions (October 2014). </w:t>
      </w:r>
    </w:p>
    <w:p w:rsidR="00BD236F" w:rsidRPr="00A42303" w:rsidRDefault="00BD236F" w:rsidP="003D2CFE">
      <w:pPr>
        <w:spacing w:before="0" w:after="0"/>
      </w:pPr>
    </w:p>
    <w:p w:rsidR="003D2CFE" w:rsidRPr="00A42303" w:rsidRDefault="003D2CFE" w:rsidP="003D2CFE">
      <w:pPr>
        <w:spacing w:before="0" w:after="0"/>
        <w:rPr>
          <w:b/>
        </w:rPr>
      </w:pPr>
      <w:r w:rsidRPr="00A42303">
        <w:rPr>
          <w:b/>
        </w:rPr>
        <w:t>The process</w:t>
      </w:r>
    </w:p>
    <w:p w:rsidR="003D2CFE" w:rsidRPr="00A42303" w:rsidRDefault="003D2CFE" w:rsidP="003D2CFE">
      <w:pPr>
        <w:spacing w:before="0" w:after="0"/>
        <w:rPr>
          <w:b/>
        </w:rPr>
      </w:pPr>
    </w:p>
    <w:p w:rsidR="00F37CA1" w:rsidRPr="00A42303" w:rsidRDefault="00F37CA1" w:rsidP="003D2CFE">
      <w:pPr>
        <w:spacing w:before="0" w:after="0"/>
      </w:pPr>
      <w:r w:rsidRPr="00A42303">
        <w:t xml:space="preserve">The process to be followed by the parties is set out below: </w:t>
      </w:r>
    </w:p>
    <w:p w:rsidR="003D2CFE" w:rsidRPr="00A42303" w:rsidRDefault="003D2CFE" w:rsidP="003D2CFE">
      <w:pPr>
        <w:spacing w:before="0" w:after="0"/>
      </w:pPr>
    </w:p>
    <w:p w:rsidR="00F37CA1" w:rsidRPr="00A42303" w:rsidRDefault="00F37CA1" w:rsidP="0048108D">
      <w:pPr>
        <w:pStyle w:val="ListParagraph"/>
        <w:numPr>
          <w:ilvl w:val="0"/>
          <w:numId w:val="1"/>
        </w:numPr>
        <w:spacing w:before="0" w:after="0"/>
        <w:ind w:left="567" w:hanging="567"/>
        <w:contextualSpacing w:val="0"/>
      </w:pPr>
      <w:r w:rsidRPr="00A42303">
        <w:t xml:space="preserve">Openreach issues a briefing to industry inviting CPs to register their interest </w:t>
      </w:r>
      <w:proofErr w:type="gramStart"/>
      <w:r w:rsidRPr="00A42303">
        <w:t xml:space="preserve">in </w:t>
      </w:r>
      <w:r w:rsidR="004E1F12" w:rsidRPr="00A42303">
        <w:t xml:space="preserve"> p</w:t>
      </w:r>
      <w:r w:rsidRPr="00A42303">
        <w:t>articipating</w:t>
      </w:r>
      <w:proofErr w:type="gramEnd"/>
      <w:r w:rsidRPr="00A42303">
        <w:t xml:space="preserve"> in </w:t>
      </w:r>
      <w:r w:rsidR="00C41E35" w:rsidRPr="00A42303">
        <w:t>the</w:t>
      </w:r>
      <w:r w:rsidR="00F34503" w:rsidRPr="00A42303">
        <w:t xml:space="preserve"> </w:t>
      </w:r>
      <w:r w:rsidR="00C41E35" w:rsidRPr="00A42303">
        <w:t>relevant c</w:t>
      </w:r>
      <w:r w:rsidR="00F34503" w:rsidRPr="00A42303">
        <w:t xml:space="preserve">ontracts </w:t>
      </w:r>
      <w:r w:rsidR="00C41E35" w:rsidRPr="00A42303">
        <w:t>g</w:t>
      </w:r>
      <w:r w:rsidR="00F34503" w:rsidRPr="00A42303">
        <w:t>roup</w:t>
      </w:r>
      <w:r w:rsidRPr="00A42303">
        <w:t>. The briefing should include</w:t>
      </w:r>
      <w:r w:rsidR="005A667D" w:rsidRPr="00A42303">
        <w:t>:</w:t>
      </w:r>
    </w:p>
    <w:p w:rsidR="003D2CFE" w:rsidRPr="00A42303" w:rsidRDefault="003D2CFE" w:rsidP="0048108D">
      <w:pPr>
        <w:pStyle w:val="ListParagraph"/>
        <w:spacing w:before="0" w:after="0"/>
        <w:ind w:left="567" w:hanging="567"/>
        <w:contextualSpacing w:val="0"/>
      </w:pPr>
    </w:p>
    <w:p w:rsidR="00F37CA1" w:rsidRPr="00A42303" w:rsidRDefault="00F37CA1" w:rsidP="0048108D">
      <w:pPr>
        <w:pStyle w:val="ListParagraph"/>
        <w:numPr>
          <w:ilvl w:val="0"/>
          <w:numId w:val="2"/>
        </w:numPr>
        <w:spacing w:before="0" w:after="0"/>
        <w:ind w:left="1134" w:hanging="567"/>
        <w:contextualSpacing w:val="0"/>
      </w:pPr>
      <w:r w:rsidRPr="00A42303">
        <w:t xml:space="preserve">Commencement date; </w:t>
      </w:r>
    </w:p>
    <w:p w:rsidR="00F37CA1" w:rsidRPr="00A42303" w:rsidRDefault="00F37CA1" w:rsidP="0048108D">
      <w:pPr>
        <w:pStyle w:val="ListParagraph"/>
        <w:numPr>
          <w:ilvl w:val="0"/>
          <w:numId w:val="2"/>
        </w:numPr>
        <w:spacing w:before="0" w:after="0"/>
        <w:ind w:left="1134" w:hanging="567"/>
        <w:contextualSpacing w:val="0"/>
      </w:pPr>
      <w:r w:rsidRPr="00A42303">
        <w:t xml:space="preserve">Anticipated duration; </w:t>
      </w:r>
    </w:p>
    <w:p w:rsidR="00F37CA1" w:rsidRPr="00A42303" w:rsidRDefault="00F37CA1" w:rsidP="0048108D">
      <w:pPr>
        <w:pStyle w:val="ListParagraph"/>
        <w:numPr>
          <w:ilvl w:val="0"/>
          <w:numId w:val="2"/>
        </w:numPr>
        <w:spacing w:before="0" w:after="0"/>
        <w:ind w:left="1134" w:hanging="567"/>
        <w:contextualSpacing w:val="0"/>
      </w:pPr>
      <w:r w:rsidRPr="00A42303">
        <w:t>Provisional date(s) for first meeting (“</w:t>
      </w:r>
      <w:r w:rsidRPr="00A42303">
        <w:rPr>
          <w:b/>
        </w:rPr>
        <w:t>Kick Off</w:t>
      </w:r>
      <w:r w:rsidRPr="00A42303">
        <w:t xml:space="preserve">”); and </w:t>
      </w:r>
    </w:p>
    <w:p w:rsidR="00F37CA1" w:rsidRPr="00A42303" w:rsidRDefault="00F37CA1" w:rsidP="0048108D">
      <w:pPr>
        <w:pStyle w:val="ListParagraph"/>
        <w:numPr>
          <w:ilvl w:val="0"/>
          <w:numId w:val="2"/>
        </w:numPr>
        <w:spacing w:before="0" w:after="0"/>
        <w:ind w:left="1134" w:hanging="567"/>
        <w:contextualSpacing w:val="0"/>
      </w:pPr>
      <w:r w:rsidRPr="00A42303">
        <w:t xml:space="preserve">Template issues list for provision of CP issues; </w:t>
      </w:r>
    </w:p>
    <w:p w:rsidR="003D2CFE" w:rsidRPr="00A42303" w:rsidRDefault="003D2CFE" w:rsidP="0048108D">
      <w:pPr>
        <w:spacing w:before="0" w:after="0"/>
        <w:ind w:left="567" w:hanging="567"/>
      </w:pPr>
    </w:p>
    <w:p w:rsidR="00F37CA1" w:rsidRPr="00A42303" w:rsidRDefault="00F37CA1" w:rsidP="0048108D">
      <w:pPr>
        <w:spacing w:before="0" w:after="0"/>
        <w:ind w:left="567"/>
      </w:pPr>
      <w:r w:rsidRPr="00A42303">
        <w:t xml:space="preserve">Openreach will also raise </w:t>
      </w:r>
      <w:r w:rsidR="00C41E35" w:rsidRPr="00A42303">
        <w:t>its intention to convene a contract</w:t>
      </w:r>
      <w:r w:rsidR="007901CC">
        <w:t>s</w:t>
      </w:r>
      <w:r w:rsidR="00C41E35" w:rsidRPr="00A42303">
        <w:t xml:space="preserve"> group </w:t>
      </w:r>
      <w:r w:rsidRPr="00A42303">
        <w:t xml:space="preserve">at </w:t>
      </w:r>
      <w:r w:rsidR="00C41E35" w:rsidRPr="00A42303">
        <w:t xml:space="preserve">the </w:t>
      </w:r>
      <w:r w:rsidRPr="00A42303">
        <w:t>relevant commercial forum(s)</w:t>
      </w:r>
      <w:r w:rsidR="00C41E35" w:rsidRPr="00A42303">
        <w:rPr>
          <w:rStyle w:val="FootnoteReference"/>
        </w:rPr>
        <w:footnoteReference w:id="2"/>
      </w:r>
      <w:r w:rsidR="00C41F56" w:rsidRPr="00A42303">
        <w:t>;</w:t>
      </w:r>
      <w:r w:rsidRPr="00A42303">
        <w:t xml:space="preserve"> </w:t>
      </w:r>
    </w:p>
    <w:p w:rsidR="003D2CFE" w:rsidRPr="00A42303" w:rsidRDefault="003D2CFE" w:rsidP="0048108D">
      <w:pPr>
        <w:pStyle w:val="ListParagraph"/>
        <w:spacing w:before="0" w:after="0"/>
        <w:ind w:left="567" w:hanging="567"/>
        <w:contextualSpacing w:val="0"/>
      </w:pPr>
    </w:p>
    <w:p w:rsidR="00F37CA1" w:rsidRPr="00A42303" w:rsidRDefault="00F37CA1" w:rsidP="0048108D">
      <w:pPr>
        <w:pStyle w:val="ListParagraph"/>
        <w:numPr>
          <w:ilvl w:val="0"/>
          <w:numId w:val="1"/>
        </w:numPr>
        <w:spacing w:before="0" w:after="0"/>
        <w:ind w:left="567" w:hanging="567"/>
        <w:contextualSpacing w:val="0"/>
      </w:pPr>
      <w:r w:rsidRPr="00A42303">
        <w:t>CPs register interest with Openreach</w:t>
      </w:r>
      <w:r w:rsidR="00C41F56" w:rsidRPr="00A42303">
        <w:t>;</w:t>
      </w:r>
      <w:r w:rsidRPr="00A42303">
        <w:t xml:space="preserve"> </w:t>
      </w:r>
    </w:p>
    <w:p w:rsidR="003D2CFE" w:rsidRPr="00A42303" w:rsidRDefault="003D2CFE" w:rsidP="0048108D">
      <w:pPr>
        <w:pStyle w:val="ListParagraph"/>
        <w:spacing w:before="0" w:after="0"/>
        <w:ind w:left="567" w:hanging="567"/>
        <w:contextualSpacing w:val="0"/>
      </w:pPr>
    </w:p>
    <w:p w:rsidR="00F37CA1" w:rsidRPr="00A42303" w:rsidRDefault="00F37CA1" w:rsidP="0048108D">
      <w:pPr>
        <w:pStyle w:val="ListParagraph"/>
        <w:numPr>
          <w:ilvl w:val="0"/>
          <w:numId w:val="1"/>
        </w:numPr>
        <w:spacing w:before="0" w:after="0"/>
        <w:ind w:left="567" w:hanging="567"/>
        <w:contextualSpacing w:val="0"/>
      </w:pPr>
      <w:r w:rsidRPr="00A42303">
        <w:t xml:space="preserve">CPs who </w:t>
      </w:r>
      <w:proofErr w:type="gramStart"/>
      <w:r w:rsidRPr="00A42303">
        <w:t>have</w:t>
      </w:r>
      <w:proofErr w:type="gramEnd"/>
      <w:r w:rsidRPr="00A42303">
        <w:t xml:space="preserve"> registered their interest to participate will be invited to join the Kick Off </w:t>
      </w:r>
      <w:r w:rsidR="001426EA" w:rsidRPr="00A42303">
        <w:t xml:space="preserve">meeting </w:t>
      </w:r>
      <w:r w:rsidRPr="00A42303">
        <w:t xml:space="preserve">which will be scheduled no later than 4 weeks after the original briefing being issued. The purpose of the Kick Off </w:t>
      </w:r>
      <w:r w:rsidR="001426EA" w:rsidRPr="00A42303">
        <w:t xml:space="preserve">meeting </w:t>
      </w:r>
      <w:r w:rsidRPr="00A42303">
        <w:t xml:space="preserve">is to agree: </w:t>
      </w:r>
    </w:p>
    <w:p w:rsidR="003D2CFE" w:rsidRPr="00A42303" w:rsidRDefault="003D2CFE" w:rsidP="0048108D">
      <w:pPr>
        <w:pStyle w:val="ListParagraph"/>
        <w:spacing w:before="0" w:after="0"/>
        <w:ind w:left="567" w:hanging="567"/>
        <w:contextualSpacing w:val="0"/>
      </w:pPr>
    </w:p>
    <w:p w:rsidR="00B27AC4" w:rsidRDefault="00B27AC4" w:rsidP="0048108D">
      <w:pPr>
        <w:pStyle w:val="ListParagraph"/>
        <w:numPr>
          <w:ilvl w:val="0"/>
          <w:numId w:val="27"/>
        </w:numPr>
        <w:spacing w:before="0" w:after="0"/>
        <w:ind w:left="1134" w:hanging="567"/>
        <w:contextualSpacing w:val="0"/>
      </w:pPr>
      <w:r>
        <w:t>Timetable for future meetings;</w:t>
      </w:r>
    </w:p>
    <w:p w:rsidR="00F37CA1" w:rsidRPr="00A42303" w:rsidRDefault="001426EA" w:rsidP="0048108D">
      <w:pPr>
        <w:pStyle w:val="ListParagraph"/>
        <w:numPr>
          <w:ilvl w:val="0"/>
          <w:numId w:val="27"/>
        </w:numPr>
        <w:spacing w:before="0" w:after="0"/>
        <w:ind w:left="1134" w:hanging="567"/>
        <w:contextualSpacing w:val="0"/>
      </w:pPr>
      <w:r w:rsidRPr="00A42303">
        <w:lastRenderedPageBreak/>
        <w:t xml:space="preserve">Early exchange </w:t>
      </w:r>
      <w:r w:rsidR="00F37CA1" w:rsidRPr="00A42303">
        <w:t xml:space="preserve">of issues to form part of the review including issues proposed by CPs and Openreach; </w:t>
      </w:r>
    </w:p>
    <w:p w:rsidR="00F37CA1" w:rsidRPr="00A42303" w:rsidRDefault="00F37CA1" w:rsidP="0048108D">
      <w:pPr>
        <w:pStyle w:val="ListParagraph"/>
        <w:numPr>
          <w:ilvl w:val="0"/>
          <w:numId w:val="27"/>
        </w:numPr>
        <w:spacing w:before="0" w:after="0"/>
        <w:ind w:left="1134" w:hanging="567"/>
        <w:contextualSpacing w:val="0"/>
      </w:pPr>
      <w:r w:rsidRPr="00A42303">
        <w:t xml:space="preserve">Time and date of first full review meeting and follow up meetings; </w:t>
      </w:r>
      <w:r w:rsidR="001426EA" w:rsidRPr="00A42303">
        <w:t>and</w:t>
      </w:r>
    </w:p>
    <w:p w:rsidR="00F37CA1" w:rsidRPr="00A42303" w:rsidRDefault="00F37CA1" w:rsidP="0048108D">
      <w:pPr>
        <w:pStyle w:val="ListParagraph"/>
        <w:numPr>
          <w:ilvl w:val="0"/>
          <w:numId w:val="27"/>
        </w:numPr>
        <w:spacing w:before="0" w:after="0"/>
        <w:ind w:left="1134" w:hanging="567"/>
        <w:contextualSpacing w:val="0"/>
      </w:pPr>
      <w:r w:rsidRPr="00A42303">
        <w:t>Nominate a chair and deputy</w:t>
      </w:r>
      <w:r w:rsidR="00D55EEA" w:rsidRPr="00A42303">
        <w:t>. Where no chair has been nominated then Openreach will chair the meetings</w:t>
      </w:r>
      <w:r w:rsidRPr="00A42303">
        <w:t xml:space="preserve">; </w:t>
      </w:r>
    </w:p>
    <w:p w:rsidR="00F37CA1" w:rsidRPr="00A42303" w:rsidRDefault="00F37CA1" w:rsidP="0048108D">
      <w:pPr>
        <w:spacing w:before="0" w:after="0"/>
        <w:ind w:left="567" w:hanging="567"/>
      </w:pPr>
    </w:p>
    <w:p w:rsidR="004F6509" w:rsidRDefault="004F6509" w:rsidP="0048108D">
      <w:pPr>
        <w:spacing w:before="0" w:after="0"/>
        <w:ind w:left="567"/>
      </w:pPr>
      <w:r w:rsidRPr="00A42303">
        <w:t xml:space="preserve">Where the situation reasonably requires or to address a particular concern or issue of a CP or Openreach, the parties may also agree </w:t>
      </w:r>
      <w:r w:rsidR="00FA675C">
        <w:t>to</w:t>
      </w:r>
      <w:r w:rsidR="00FA675C" w:rsidRPr="00A42303">
        <w:t xml:space="preserve"> </w:t>
      </w:r>
      <w:r w:rsidRPr="00A42303">
        <w:t>any specific variation to the best practice guide which will apply to that specific contracts group.</w:t>
      </w:r>
      <w:r w:rsidR="00F65652" w:rsidRPr="00A42303">
        <w:t xml:space="preserve"> </w:t>
      </w:r>
    </w:p>
    <w:p w:rsidR="0038273E" w:rsidRDefault="0038273E" w:rsidP="0048108D">
      <w:pPr>
        <w:spacing w:before="0" w:after="0"/>
        <w:ind w:left="567"/>
      </w:pPr>
    </w:p>
    <w:p w:rsidR="0038273E" w:rsidRPr="00A42303" w:rsidRDefault="0038273E" w:rsidP="0048108D">
      <w:pPr>
        <w:spacing w:before="0" w:after="0"/>
        <w:ind w:left="567"/>
      </w:pPr>
      <w:r>
        <w:t>Unless the relevant Openreach product terms and conditions include a specific provision for the duration of any discussions, the anticipated duration of the discussions as part of the contracts group will be agreed by all the parties and any project plan will be adapted to suit the anticipated duration of the discussions</w:t>
      </w:r>
      <w:r>
        <w:rPr>
          <w:rStyle w:val="FootnoteReference"/>
        </w:rPr>
        <w:footnoteReference w:id="3"/>
      </w:r>
      <w:r w:rsidR="00FA675C">
        <w:t>;</w:t>
      </w:r>
      <w:r>
        <w:t xml:space="preserve">  </w:t>
      </w:r>
    </w:p>
    <w:p w:rsidR="004F6509" w:rsidRPr="00A42303" w:rsidRDefault="004F6509" w:rsidP="0048108D">
      <w:pPr>
        <w:spacing w:before="0" w:after="0"/>
        <w:ind w:left="567" w:hanging="567"/>
      </w:pPr>
    </w:p>
    <w:p w:rsidR="00F37CA1" w:rsidRPr="00A42303" w:rsidRDefault="00F37CA1" w:rsidP="0048108D">
      <w:pPr>
        <w:pStyle w:val="ListParagraph"/>
        <w:numPr>
          <w:ilvl w:val="0"/>
          <w:numId w:val="1"/>
        </w:numPr>
        <w:spacing w:before="0" w:after="0"/>
        <w:ind w:left="567" w:hanging="567"/>
        <w:contextualSpacing w:val="0"/>
      </w:pPr>
      <w:r w:rsidRPr="00A42303">
        <w:t xml:space="preserve">Openreach will issue an invitation for the first full review meeting and any follow up meetings. Meetings will normally take place every fortnight unless the parties agree to an alternative date/time; </w:t>
      </w:r>
    </w:p>
    <w:p w:rsidR="00F37CA1" w:rsidRPr="00A42303" w:rsidRDefault="00F37CA1" w:rsidP="0048108D">
      <w:pPr>
        <w:spacing w:before="0" w:after="0"/>
        <w:ind w:left="567" w:hanging="567"/>
      </w:pPr>
    </w:p>
    <w:p w:rsidR="00F37CA1" w:rsidRPr="00A42303" w:rsidRDefault="00F37CA1" w:rsidP="0048108D">
      <w:pPr>
        <w:pStyle w:val="ListParagraph"/>
        <w:numPr>
          <w:ilvl w:val="0"/>
          <w:numId w:val="1"/>
        </w:numPr>
        <w:spacing w:before="0" w:after="0"/>
        <w:ind w:left="567" w:hanging="567"/>
        <w:contextualSpacing w:val="0"/>
      </w:pPr>
      <w:r w:rsidRPr="00A42303">
        <w:t xml:space="preserve">CPs and Openreach will </w:t>
      </w:r>
      <w:r w:rsidR="001426EA" w:rsidRPr="00A42303">
        <w:t xml:space="preserve">each </w:t>
      </w:r>
      <w:r w:rsidRPr="00A42303">
        <w:t xml:space="preserve">provide </w:t>
      </w:r>
      <w:r w:rsidR="00FA675C">
        <w:t>its</w:t>
      </w:r>
      <w:r w:rsidRPr="00A42303">
        <w:t xml:space="preserve"> list of issues (using </w:t>
      </w:r>
      <w:r w:rsidR="00D55EEA" w:rsidRPr="00A42303">
        <w:t xml:space="preserve">the </w:t>
      </w:r>
      <w:r w:rsidRPr="00A42303">
        <w:t>agreed template</w:t>
      </w:r>
      <w:r w:rsidR="00D55EEA" w:rsidRPr="00A42303">
        <w:t xml:space="preserve"> – see appendix 1</w:t>
      </w:r>
      <w:r w:rsidRPr="00A42303">
        <w:t xml:space="preserve">) </w:t>
      </w:r>
      <w:r w:rsidR="00B27AC4">
        <w:t>to</w:t>
      </w:r>
      <w:r w:rsidR="00B27AC4" w:rsidRPr="00A42303">
        <w:t xml:space="preserve"> </w:t>
      </w:r>
      <w:r w:rsidR="001426EA" w:rsidRPr="00A42303">
        <w:t>the chair</w:t>
      </w:r>
      <w:r w:rsidRPr="00A42303">
        <w:t xml:space="preserve"> and Openreach will collate </w:t>
      </w:r>
      <w:r w:rsidR="001426EA" w:rsidRPr="00A42303">
        <w:t xml:space="preserve">all issues into </w:t>
      </w:r>
      <w:r w:rsidRPr="00A42303">
        <w:t>a consolidated issues list</w:t>
      </w:r>
      <w:r w:rsidR="001426EA" w:rsidRPr="00A42303">
        <w:t xml:space="preserve">. All issues will, where applicable, be ranked by the originator </w:t>
      </w:r>
      <w:r w:rsidR="007034ED">
        <w:t>in order of</w:t>
      </w:r>
      <w:r w:rsidR="001426EA" w:rsidRPr="00A42303">
        <w:t xml:space="preserve"> “priority”  for that party</w:t>
      </w:r>
      <w:r w:rsidRPr="00A42303">
        <w:t xml:space="preserve">; </w:t>
      </w:r>
    </w:p>
    <w:p w:rsidR="00F37CA1" w:rsidRPr="00A42303" w:rsidRDefault="00F37CA1" w:rsidP="0048108D">
      <w:pPr>
        <w:spacing w:before="0" w:after="0"/>
        <w:ind w:left="567" w:hanging="567"/>
      </w:pPr>
    </w:p>
    <w:p w:rsidR="00F37CA1" w:rsidRPr="00A42303" w:rsidRDefault="00F37CA1" w:rsidP="0048108D">
      <w:pPr>
        <w:pStyle w:val="ListParagraph"/>
        <w:numPr>
          <w:ilvl w:val="0"/>
          <w:numId w:val="1"/>
        </w:numPr>
        <w:spacing w:before="0" w:after="0"/>
        <w:ind w:left="567" w:hanging="567"/>
        <w:contextualSpacing w:val="0"/>
      </w:pPr>
      <w:r w:rsidRPr="00A42303">
        <w:t>Openreach will circulate the consolidated issues list</w:t>
      </w:r>
      <w:r w:rsidR="001426EA" w:rsidRPr="00A42303">
        <w:t xml:space="preserve"> with the contracts </w:t>
      </w:r>
      <w:proofErr w:type="gramStart"/>
      <w:r w:rsidR="001426EA" w:rsidRPr="00A42303">
        <w:t xml:space="preserve">group </w:t>
      </w:r>
      <w:r w:rsidRPr="00A42303">
        <w:t xml:space="preserve"> before</w:t>
      </w:r>
      <w:proofErr w:type="gramEnd"/>
      <w:r w:rsidRPr="00A42303">
        <w:t xml:space="preserve"> the first full review meeting. </w:t>
      </w:r>
      <w:r w:rsidR="007034ED">
        <w:t>Each issue on t</w:t>
      </w:r>
      <w:r w:rsidR="00D55EEA" w:rsidRPr="00A42303">
        <w:t xml:space="preserve">he consolidated issues list will </w:t>
      </w:r>
      <w:r w:rsidR="007034ED">
        <w:t xml:space="preserve">be </w:t>
      </w:r>
      <w:r w:rsidR="00D55EEA" w:rsidRPr="00A42303">
        <w:t>allocate</w:t>
      </w:r>
      <w:r w:rsidR="007034ED">
        <w:t>d with</w:t>
      </w:r>
      <w:r w:rsidR="00D55EEA" w:rsidRPr="00A42303">
        <w:t xml:space="preserve"> a unique reference number; </w:t>
      </w:r>
    </w:p>
    <w:p w:rsidR="00F37CA1" w:rsidRPr="00A42303" w:rsidRDefault="00F37CA1" w:rsidP="0048108D">
      <w:pPr>
        <w:spacing w:before="0" w:after="0"/>
        <w:ind w:left="567" w:hanging="567"/>
      </w:pPr>
    </w:p>
    <w:p w:rsidR="005A667D" w:rsidRPr="00A42303" w:rsidRDefault="00F37CA1" w:rsidP="0048108D">
      <w:pPr>
        <w:pStyle w:val="ListParagraph"/>
        <w:numPr>
          <w:ilvl w:val="0"/>
          <w:numId w:val="1"/>
        </w:numPr>
        <w:spacing w:before="0" w:after="0"/>
        <w:ind w:left="567" w:hanging="567"/>
        <w:contextualSpacing w:val="0"/>
      </w:pPr>
      <w:r w:rsidRPr="00A42303">
        <w:t>At the first full review meeting, the participants will agree</w:t>
      </w:r>
      <w:r w:rsidR="00FA675C">
        <w:t>:</w:t>
      </w:r>
      <w:r w:rsidRPr="00A42303">
        <w:t xml:space="preserve"> </w:t>
      </w:r>
    </w:p>
    <w:p w:rsidR="005A667D" w:rsidRPr="00A42303" w:rsidRDefault="005A667D" w:rsidP="0048108D">
      <w:pPr>
        <w:pStyle w:val="ListParagraph"/>
        <w:spacing w:before="0" w:after="0"/>
        <w:ind w:left="567" w:hanging="567"/>
        <w:contextualSpacing w:val="0"/>
      </w:pPr>
    </w:p>
    <w:p w:rsidR="005A667D" w:rsidRPr="00A42303" w:rsidRDefault="00F37CA1" w:rsidP="0048108D">
      <w:pPr>
        <w:pStyle w:val="ListParagraph"/>
        <w:numPr>
          <w:ilvl w:val="0"/>
          <w:numId w:val="28"/>
        </w:numPr>
        <w:spacing w:before="0" w:after="0"/>
        <w:ind w:left="1134" w:hanging="567"/>
        <w:contextualSpacing w:val="0"/>
      </w:pPr>
      <w:r w:rsidRPr="00A42303">
        <w:t>the consolidated issues list and discuss the prioritisation of issues</w:t>
      </w:r>
      <w:r w:rsidR="001426EA" w:rsidRPr="00A42303">
        <w:t>;</w:t>
      </w:r>
      <w:r w:rsidR="00D55EEA" w:rsidRPr="00A42303">
        <w:t xml:space="preserve"> and </w:t>
      </w:r>
    </w:p>
    <w:p w:rsidR="005A667D" w:rsidRPr="00A42303" w:rsidRDefault="00D55EEA" w:rsidP="0048108D">
      <w:pPr>
        <w:pStyle w:val="ListParagraph"/>
        <w:numPr>
          <w:ilvl w:val="0"/>
          <w:numId w:val="28"/>
        </w:numPr>
        <w:spacing w:before="0" w:after="0"/>
        <w:ind w:left="1134" w:hanging="567"/>
        <w:contextualSpacing w:val="0"/>
      </w:pPr>
      <w:proofErr w:type="gramStart"/>
      <w:r w:rsidRPr="00A42303">
        <w:t>an</w:t>
      </w:r>
      <w:proofErr w:type="gramEnd"/>
      <w:r w:rsidRPr="00A42303">
        <w:t xml:space="preserve"> indicative project plan </w:t>
      </w:r>
      <w:r w:rsidR="00E455C9" w:rsidRPr="00A42303">
        <w:t>(</w:t>
      </w:r>
      <w:r w:rsidR="00B81509" w:rsidRPr="00A42303">
        <w:t>for template see appendix 2</w:t>
      </w:r>
      <w:r w:rsidR="00E455C9" w:rsidRPr="00A42303">
        <w:t>)</w:t>
      </w:r>
      <w:r w:rsidR="00C41F56" w:rsidRPr="00A42303">
        <w:t>.</w:t>
      </w:r>
      <w:r w:rsidR="00F37CA1" w:rsidRPr="00A42303">
        <w:t xml:space="preserve"> </w:t>
      </w:r>
    </w:p>
    <w:p w:rsidR="003D2CFE" w:rsidRPr="00A42303" w:rsidRDefault="003D2CFE" w:rsidP="0048108D">
      <w:pPr>
        <w:spacing w:before="0" w:after="0"/>
        <w:ind w:left="567" w:hanging="567"/>
      </w:pPr>
    </w:p>
    <w:p w:rsidR="001E2EE8" w:rsidRPr="00A42303" w:rsidRDefault="00F37CA1" w:rsidP="0048108D">
      <w:pPr>
        <w:spacing w:before="0" w:after="0"/>
        <w:ind w:left="567"/>
      </w:pPr>
      <w:r w:rsidRPr="00A42303">
        <w:t xml:space="preserve">Issues which are appropriate to other forums (including but not limited to the </w:t>
      </w:r>
      <w:r w:rsidR="00B27AC4">
        <w:t>CFPCG</w:t>
      </w:r>
      <w:r w:rsidR="001426EA" w:rsidRPr="00A42303">
        <w:t xml:space="preserve"> or </w:t>
      </w:r>
      <w:r w:rsidRPr="00A42303">
        <w:t xml:space="preserve">EPCG) or the industry Statement of Requirements (SOR) process will be “parked” </w:t>
      </w:r>
      <w:r w:rsidR="001426EA" w:rsidRPr="00A42303">
        <w:t>by the</w:t>
      </w:r>
      <w:r w:rsidR="00F34503" w:rsidRPr="00A42303">
        <w:t xml:space="preserve"> </w:t>
      </w:r>
      <w:r w:rsidR="001426EA" w:rsidRPr="00A42303">
        <w:t xml:space="preserve">contracts group </w:t>
      </w:r>
      <w:r w:rsidRPr="00A42303">
        <w:t xml:space="preserve">and referred to the </w:t>
      </w:r>
      <w:r w:rsidR="001426EA" w:rsidRPr="00A42303">
        <w:t>appropriate forum/group</w:t>
      </w:r>
      <w:r w:rsidRPr="00A42303">
        <w:t xml:space="preserve"> for consideration in the first instance; </w:t>
      </w:r>
    </w:p>
    <w:p w:rsidR="001E2EE8" w:rsidRPr="00A42303" w:rsidRDefault="001E2EE8" w:rsidP="0048108D">
      <w:pPr>
        <w:pStyle w:val="ListParagraph"/>
        <w:spacing w:before="0" w:after="0"/>
        <w:ind w:left="567" w:hanging="567"/>
        <w:contextualSpacing w:val="0"/>
      </w:pPr>
    </w:p>
    <w:p w:rsidR="00F37CA1" w:rsidRPr="00A42303" w:rsidRDefault="00F37CA1" w:rsidP="0048108D">
      <w:pPr>
        <w:pStyle w:val="ListParagraph"/>
        <w:numPr>
          <w:ilvl w:val="0"/>
          <w:numId w:val="1"/>
        </w:numPr>
        <w:spacing w:before="0" w:after="0"/>
        <w:ind w:left="567" w:hanging="567"/>
        <w:contextualSpacing w:val="0"/>
      </w:pPr>
      <w:r w:rsidRPr="00A42303">
        <w:t xml:space="preserve">It is the responsibility </w:t>
      </w:r>
      <w:r w:rsidR="007034ED">
        <w:t xml:space="preserve">of </w:t>
      </w:r>
      <w:r w:rsidRPr="00A42303">
        <w:t xml:space="preserve">each party to ensure that </w:t>
      </w:r>
      <w:r w:rsidR="007034ED">
        <w:t>it is</w:t>
      </w:r>
      <w:r w:rsidRPr="00A42303">
        <w:t xml:space="preserve"> appropriately represented at each review meeting and in particular where items raised by that particular CP are scheduled for discussion. The chair or deputy chair will contact any CP who does not attend for more than 3 consecutive meetings (i.e. does not actively participate) to notify them that </w:t>
      </w:r>
      <w:r w:rsidR="007034ED">
        <w:t>its</w:t>
      </w:r>
      <w:r w:rsidRPr="00A42303">
        <w:t xml:space="preserve"> items will be closed; </w:t>
      </w:r>
    </w:p>
    <w:p w:rsidR="00F37CA1" w:rsidRPr="00A42303" w:rsidRDefault="00F37CA1" w:rsidP="0048108D">
      <w:pPr>
        <w:spacing w:before="0" w:after="0"/>
        <w:ind w:left="567" w:hanging="567"/>
      </w:pPr>
    </w:p>
    <w:p w:rsidR="00F37CA1" w:rsidRPr="00A42303" w:rsidRDefault="00F37CA1" w:rsidP="0048108D">
      <w:pPr>
        <w:pStyle w:val="ListParagraph"/>
        <w:numPr>
          <w:ilvl w:val="0"/>
          <w:numId w:val="1"/>
        </w:numPr>
        <w:spacing w:before="0" w:after="0"/>
        <w:ind w:left="567" w:hanging="567"/>
        <w:contextualSpacing w:val="0"/>
      </w:pPr>
      <w:r w:rsidRPr="00A42303">
        <w:lastRenderedPageBreak/>
        <w:t>A mid-review meeting will be scheduled no later than 12 weeks</w:t>
      </w:r>
      <w:r w:rsidR="007034ED">
        <w:t>,</w:t>
      </w:r>
      <w:r w:rsidRPr="00A42303">
        <w:t xml:space="preserve"> </w:t>
      </w:r>
      <w:r w:rsidR="00F34503" w:rsidRPr="00A42303">
        <w:t xml:space="preserve">or </w:t>
      </w:r>
      <w:r w:rsidR="00015BC0" w:rsidRPr="00A42303">
        <w:t xml:space="preserve">such other </w:t>
      </w:r>
      <w:r w:rsidR="00F34503" w:rsidRPr="00A42303">
        <w:t xml:space="preserve">date </w:t>
      </w:r>
      <w:r w:rsidR="00015BC0" w:rsidRPr="00A42303">
        <w:t>as the parties may agree</w:t>
      </w:r>
      <w:r w:rsidR="007034ED">
        <w:t>,</w:t>
      </w:r>
      <w:r w:rsidR="00F34503" w:rsidRPr="00A42303">
        <w:t xml:space="preserve"> after commencement of a </w:t>
      </w:r>
      <w:r w:rsidR="00015BC0" w:rsidRPr="00A42303">
        <w:t>c</w:t>
      </w:r>
      <w:r w:rsidR="00F34503" w:rsidRPr="00A42303">
        <w:t xml:space="preserve">ontracts </w:t>
      </w:r>
      <w:r w:rsidR="00015BC0" w:rsidRPr="00A42303">
        <w:t>g</w:t>
      </w:r>
      <w:r w:rsidR="00F34503" w:rsidRPr="00A42303">
        <w:t xml:space="preserve">roup </w:t>
      </w:r>
      <w:r w:rsidR="00015BC0" w:rsidRPr="00A42303">
        <w:t xml:space="preserve">discussions. The purpose of the mid-review meeting will be to </w:t>
      </w:r>
      <w:r w:rsidRPr="00A42303">
        <w:t xml:space="preserve">consider progress to date, re-prioritise (if appropriate) the key issues and agree any next steps; </w:t>
      </w:r>
    </w:p>
    <w:p w:rsidR="00F37CA1" w:rsidRPr="00A42303" w:rsidRDefault="00F37CA1" w:rsidP="0048108D">
      <w:pPr>
        <w:spacing w:before="0" w:after="0"/>
        <w:ind w:left="567" w:hanging="567"/>
      </w:pPr>
    </w:p>
    <w:p w:rsidR="00411F14" w:rsidRPr="00A42303" w:rsidRDefault="00411F14" w:rsidP="0048108D">
      <w:pPr>
        <w:pStyle w:val="ListParagraph"/>
        <w:numPr>
          <w:ilvl w:val="0"/>
          <w:numId w:val="1"/>
        </w:numPr>
        <w:spacing w:before="0" w:after="0"/>
        <w:ind w:left="567" w:hanging="567"/>
        <w:contextualSpacing w:val="0"/>
      </w:pPr>
      <w:r w:rsidRPr="00A42303">
        <w:t xml:space="preserve">The parties will agree, either at the mid-review meeting or at a later date agreed by the parties, at which point the issues list will be closed for new issues. This does not include “parked” issues which are referred back to the </w:t>
      </w:r>
      <w:r w:rsidR="00015BC0" w:rsidRPr="00A42303">
        <w:t>c</w:t>
      </w:r>
      <w:r w:rsidRPr="00A42303">
        <w:t xml:space="preserve">ontracts </w:t>
      </w:r>
      <w:r w:rsidR="00015BC0" w:rsidRPr="00A42303">
        <w:t xml:space="preserve">group </w:t>
      </w:r>
      <w:r w:rsidRPr="00A42303">
        <w:t>following discussion at the relevant forum(s)</w:t>
      </w:r>
      <w:r w:rsidR="00015BC0" w:rsidRPr="00A42303">
        <w:t>/group(s)</w:t>
      </w:r>
      <w:r w:rsidRPr="00A42303">
        <w:t xml:space="preserve"> under paragraph 7 above. The purpose of closing the issues list to “new” issues is to ensure successful completion of the review process;</w:t>
      </w:r>
    </w:p>
    <w:p w:rsidR="00411F14" w:rsidRPr="00A42303" w:rsidRDefault="00411F14" w:rsidP="0048108D">
      <w:pPr>
        <w:pStyle w:val="ListParagraph"/>
        <w:spacing w:before="0" w:after="0"/>
        <w:ind w:left="567" w:hanging="567"/>
        <w:contextualSpacing w:val="0"/>
      </w:pPr>
    </w:p>
    <w:p w:rsidR="00F37CA1" w:rsidRPr="00A42303" w:rsidRDefault="00F37CA1" w:rsidP="0048108D">
      <w:pPr>
        <w:pStyle w:val="ListParagraph"/>
        <w:numPr>
          <w:ilvl w:val="0"/>
          <w:numId w:val="1"/>
        </w:numPr>
        <w:spacing w:before="0" w:after="0"/>
        <w:ind w:left="567" w:hanging="567"/>
        <w:contextualSpacing w:val="0"/>
      </w:pPr>
      <w:r w:rsidRPr="00A42303">
        <w:t xml:space="preserve">At the end of the </w:t>
      </w:r>
      <w:r w:rsidR="00015BC0" w:rsidRPr="00A42303">
        <w:t>discussions as part of the c</w:t>
      </w:r>
      <w:r w:rsidR="00F34503" w:rsidRPr="00A42303">
        <w:t xml:space="preserve">ontracts </w:t>
      </w:r>
      <w:r w:rsidR="00015BC0" w:rsidRPr="00A42303">
        <w:t>g</w:t>
      </w:r>
      <w:r w:rsidR="00F34503" w:rsidRPr="00A42303">
        <w:t>roup</w:t>
      </w:r>
      <w:r w:rsidRPr="00A42303">
        <w:t xml:space="preserve">, the parties will agree: </w:t>
      </w:r>
    </w:p>
    <w:p w:rsidR="00015BC0" w:rsidRPr="00A42303" w:rsidRDefault="00015BC0" w:rsidP="0048108D">
      <w:pPr>
        <w:pStyle w:val="ListParagraph"/>
        <w:spacing w:before="0" w:after="0"/>
        <w:ind w:left="567" w:hanging="567"/>
        <w:contextualSpacing w:val="0"/>
      </w:pPr>
    </w:p>
    <w:p w:rsidR="00F37CA1" w:rsidRPr="00A42303" w:rsidRDefault="00F37CA1" w:rsidP="0048108D">
      <w:pPr>
        <w:pStyle w:val="ListParagraph"/>
        <w:numPr>
          <w:ilvl w:val="0"/>
          <w:numId w:val="24"/>
        </w:numPr>
        <w:spacing w:before="0" w:after="0"/>
        <w:ind w:left="1134" w:hanging="567"/>
        <w:contextualSpacing w:val="0"/>
      </w:pPr>
      <w:r w:rsidRPr="00A42303">
        <w:t xml:space="preserve">The final consolidated issues list; </w:t>
      </w:r>
    </w:p>
    <w:p w:rsidR="00F37CA1" w:rsidRPr="00A42303" w:rsidRDefault="00F37CA1" w:rsidP="0048108D">
      <w:pPr>
        <w:pStyle w:val="ListParagraph"/>
        <w:numPr>
          <w:ilvl w:val="0"/>
          <w:numId w:val="24"/>
        </w:numPr>
        <w:spacing w:before="0" w:after="0"/>
        <w:ind w:left="1134" w:hanging="567"/>
        <w:contextualSpacing w:val="0"/>
      </w:pPr>
      <w:r w:rsidRPr="00A42303">
        <w:t xml:space="preserve">The proposed contract amendments to be notified; </w:t>
      </w:r>
      <w:r w:rsidR="007034ED">
        <w:t>and</w:t>
      </w:r>
    </w:p>
    <w:p w:rsidR="00F37CA1" w:rsidRPr="00A42303" w:rsidRDefault="00F37CA1" w:rsidP="0048108D">
      <w:pPr>
        <w:pStyle w:val="ListParagraph"/>
        <w:numPr>
          <w:ilvl w:val="0"/>
          <w:numId w:val="24"/>
        </w:numPr>
        <w:spacing w:before="0" w:after="0"/>
        <w:ind w:left="1134" w:hanging="567"/>
        <w:contextualSpacing w:val="0"/>
      </w:pPr>
      <w:r w:rsidRPr="00A42303">
        <w:t xml:space="preserve">Any next steps; </w:t>
      </w:r>
    </w:p>
    <w:p w:rsidR="008E1975" w:rsidRPr="00A42303" w:rsidRDefault="008E1975" w:rsidP="0048108D">
      <w:pPr>
        <w:pStyle w:val="ListParagraph"/>
        <w:spacing w:before="0" w:after="0"/>
        <w:ind w:left="567" w:hanging="567"/>
        <w:contextualSpacing w:val="0"/>
      </w:pPr>
    </w:p>
    <w:p w:rsidR="00F37CA1" w:rsidRPr="00A42303" w:rsidRDefault="00F37CA1" w:rsidP="0048108D">
      <w:pPr>
        <w:pStyle w:val="ListParagraph"/>
        <w:numPr>
          <w:ilvl w:val="0"/>
          <w:numId w:val="1"/>
        </w:numPr>
        <w:spacing w:before="0" w:after="0"/>
        <w:ind w:left="567" w:hanging="567"/>
        <w:contextualSpacing w:val="0"/>
      </w:pPr>
      <w:r w:rsidRPr="00A42303">
        <w:t xml:space="preserve">Openreach will notify the agree contract amendments, subject to any applicable notice period, via a product briefing and a tracked version of each contract document on www.openreach.co.uk; </w:t>
      </w:r>
    </w:p>
    <w:p w:rsidR="008E1975" w:rsidRPr="00A42303" w:rsidRDefault="008E1975" w:rsidP="0048108D">
      <w:pPr>
        <w:pStyle w:val="ListParagraph"/>
        <w:spacing w:before="0" w:after="0"/>
        <w:ind w:left="567" w:hanging="567"/>
        <w:contextualSpacing w:val="0"/>
      </w:pPr>
    </w:p>
    <w:p w:rsidR="00F37CA1" w:rsidRPr="00A42303" w:rsidRDefault="00F37CA1" w:rsidP="0048108D">
      <w:pPr>
        <w:pStyle w:val="ListParagraph"/>
        <w:numPr>
          <w:ilvl w:val="0"/>
          <w:numId w:val="1"/>
        </w:numPr>
        <w:spacing w:before="0" w:after="0"/>
        <w:ind w:left="567" w:hanging="567"/>
        <w:contextualSpacing w:val="0"/>
      </w:pPr>
      <w:r w:rsidRPr="00A42303">
        <w:t xml:space="preserve">On expiry of the </w:t>
      </w:r>
      <w:r w:rsidR="001302D6">
        <w:t xml:space="preserve">relevant </w:t>
      </w:r>
      <w:r w:rsidRPr="00A42303">
        <w:t>notification period, the contract amendments will come into effect</w:t>
      </w:r>
      <w:r w:rsidR="004F6509" w:rsidRPr="00A42303">
        <w:rPr>
          <w:rStyle w:val="FootnoteReference"/>
        </w:rPr>
        <w:footnoteReference w:id="4"/>
      </w:r>
      <w:r w:rsidR="004F6509" w:rsidRPr="00A42303">
        <w:t xml:space="preserve">; and </w:t>
      </w:r>
    </w:p>
    <w:p w:rsidR="004F6509" w:rsidRPr="00A42303" w:rsidRDefault="004F6509" w:rsidP="0048108D">
      <w:pPr>
        <w:pStyle w:val="ListParagraph"/>
        <w:ind w:left="567" w:hanging="567"/>
      </w:pPr>
    </w:p>
    <w:p w:rsidR="004F6509" w:rsidRPr="00A42303" w:rsidRDefault="004F6509" w:rsidP="0048108D">
      <w:pPr>
        <w:pStyle w:val="ListParagraph"/>
        <w:numPr>
          <w:ilvl w:val="0"/>
          <w:numId w:val="1"/>
        </w:numPr>
        <w:spacing w:before="0" w:after="0"/>
        <w:ind w:left="567" w:hanging="567"/>
        <w:contextualSpacing w:val="0"/>
      </w:pPr>
      <w:r w:rsidRPr="00A42303">
        <w:t>At the end of the discussion</w:t>
      </w:r>
      <w:r w:rsidR="00F65652" w:rsidRPr="00A42303">
        <w:t>s as part of any</w:t>
      </w:r>
      <w:r w:rsidRPr="00A42303">
        <w:t xml:space="preserve"> contract</w:t>
      </w:r>
      <w:r w:rsidR="00F65652" w:rsidRPr="00A42303">
        <w:t>s</w:t>
      </w:r>
      <w:r w:rsidRPr="00A42303">
        <w:t xml:space="preserve"> group, the parties will review the outcome of the contracts group including, if applicable, the effectiveness of the best practice </w:t>
      </w:r>
      <w:r w:rsidR="007901CC">
        <w:t>guide</w:t>
      </w:r>
      <w:r w:rsidRPr="00A42303">
        <w:t xml:space="preserve"> and any proposed changes to this document. </w:t>
      </w:r>
    </w:p>
    <w:p w:rsidR="00F37CA1" w:rsidRPr="00A42303" w:rsidRDefault="00F37CA1" w:rsidP="003D2CFE">
      <w:pPr>
        <w:spacing w:before="0" w:after="0"/>
      </w:pPr>
    </w:p>
    <w:p w:rsidR="00F37CA1" w:rsidRPr="00A42303" w:rsidRDefault="00F37CA1" w:rsidP="003D2CFE">
      <w:pPr>
        <w:spacing w:before="0" w:after="0"/>
        <w:rPr>
          <w:b/>
        </w:rPr>
      </w:pPr>
      <w:r w:rsidRPr="00A42303">
        <w:rPr>
          <w:b/>
        </w:rPr>
        <w:t xml:space="preserve">Reporting &amp; </w:t>
      </w:r>
      <w:r w:rsidR="00E455C9" w:rsidRPr="00A42303">
        <w:rPr>
          <w:b/>
        </w:rPr>
        <w:t xml:space="preserve">Notes </w:t>
      </w:r>
    </w:p>
    <w:p w:rsidR="00015BC0" w:rsidRPr="00A42303" w:rsidRDefault="00015BC0" w:rsidP="003D2CFE">
      <w:pPr>
        <w:spacing w:before="0" w:after="0"/>
      </w:pPr>
    </w:p>
    <w:p w:rsidR="00F37CA1" w:rsidRPr="00A42303" w:rsidRDefault="00F37CA1" w:rsidP="003D2CFE">
      <w:pPr>
        <w:spacing w:before="0" w:after="0"/>
      </w:pPr>
      <w:r w:rsidRPr="00A42303">
        <w:t>The parties will maintain a record of all discussions. Unle</w:t>
      </w:r>
      <w:r w:rsidR="001E2EE8" w:rsidRPr="00A42303">
        <w:t xml:space="preserve">ss agreed otherwise, Openreach </w:t>
      </w:r>
      <w:r w:rsidRPr="00A42303">
        <w:t xml:space="preserve">will provide: </w:t>
      </w:r>
    </w:p>
    <w:p w:rsidR="00015BC0" w:rsidRPr="00A42303" w:rsidRDefault="00015BC0" w:rsidP="00015BC0">
      <w:pPr>
        <w:pStyle w:val="ListParagraph"/>
        <w:spacing w:before="0" w:after="0"/>
        <w:contextualSpacing w:val="0"/>
      </w:pPr>
    </w:p>
    <w:p w:rsidR="00F37CA1" w:rsidRPr="00A42303" w:rsidRDefault="00F37CA1" w:rsidP="0048108D">
      <w:pPr>
        <w:pStyle w:val="ListParagraph"/>
        <w:numPr>
          <w:ilvl w:val="0"/>
          <w:numId w:val="25"/>
        </w:numPr>
        <w:spacing w:before="0" w:after="0"/>
        <w:ind w:left="1134" w:hanging="567"/>
        <w:contextualSpacing w:val="0"/>
      </w:pPr>
      <w:r w:rsidRPr="00A42303">
        <w:t xml:space="preserve">an updated version of the consolidated issues list in advance of each meeting; </w:t>
      </w:r>
    </w:p>
    <w:p w:rsidR="00F37CA1" w:rsidRPr="00A42303" w:rsidRDefault="00F37CA1" w:rsidP="0048108D">
      <w:pPr>
        <w:pStyle w:val="ListParagraph"/>
        <w:numPr>
          <w:ilvl w:val="0"/>
          <w:numId w:val="25"/>
        </w:numPr>
        <w:spacing w:before="0" w:after="0"/>
        <w:ind w:left="1134" w:hanging="567"/>
        <w:contextualSpacing w:val="0"/>
      </w:pPr>
      <w:r w:rsidRPr="00A42303">
        <w:t xml:space="preserve">updated versions of the contract documents for consideration by the CPs; </w:t>
      </w:r>
      <w:r w:rsidR="00C41F56" w:rsidRPr="00A42303">
        <w:t>and</w:t>
      </w:r>
    </w:p>
    <w:p w:rsidR="00F37CA1" w:rsidRPr="00A42303" w:rsidRDefault="00F37CA1" w:rsidP="0048108D">
      <w:pPr>
        <w:pStyle w:val="ListParagraph"/>
        <w:numPr>
          <w:ilvl w:val="0"/>
          <w:numId w:val="25"/>
        </w:numPr>
        <w:spacing w:before="0" w:after="0"/>
        <w:ind w:left="1134" w:hanging="567"/>
        <w:contextualSpacing w:val="0"/>
      </w:pPr>
      <w:proofErr w:type="gramStart"/>
      <w:r w:rsidRPr="00A42303">
        <w:t>notes</w:t>
      </w:r>
      <w:proofErr w:type="gramEnd"/>
      <w:r w:rsidRPr="00A42303">
        <w:t xml:space="preserve"> for each meeting. </w:t>
      </w:r>
    </w:p>
    <w:p w:rsidR="00015BC0" w:rsidRPr="00A42303" w:rsidRDefault="00015BC0" w:rsidP="003D2CFE">
      <w:pPr>
        <w:spacing w:before="0" w:after="0"/>
      </w:pPr>
    </w:p>
    <w:p w:rsidR="00F37CA1" w:rsidRPr="00A42303" w:rsidRDefault="00F37CA1" w:rsidP="003D2CFE">
      <w:pPr>
        <w:spacing w:before="0" w:after="0"/>
      </w:pPr>
      <w:r w:rsidRPr="00A42303">
        <w:t xml:space="preserve">Draft notes, actions and any updates should be </w:t>
      </w:r>
      <w:r w:rsidR="00015BC0" w:rsidRPr="00A42303">
        <w:t xml:space="preserve">issued </w:t>
      </w:r>
      <w:r w:rsidRPr="00A42303">
        <w:t xml:space="preserve">as soon as reasonably practicable following any meeting or call and </w:t>
      </w:r>
      <w:r w:rsidR="00977054">
        <w:t>will be provided in time to allow each of the parties to review any proposed drafting or comments in advance of the next call. The parties will</w:t>
      </w:r>
      <w:r w:rsidR="00AF7129">
        <w:t xml:space="preserve"> </w:t>
      </w:r>
      <w:r w:rsidR="00977054">
        <w:t xml:space="preserve">agree a reasonable period for that contracts group. </w:t>
      </w:r>
      <w:r w:rsidRPr="00A42303">
        <w:t xml:space="preserve">Notes should </w:t>
      </w:r>
      <w:r w:rsidR="00C92C53">
        <w:lastRenderedPageBreak/>
        <w:t xml:space="preserve">clearly identify which party prepared them and there should be an opportunity to review the notes </w:t>
      </w:r>
      <w:r w:rsidRPr="00A42303">
        <w:t>at the following meeting to provide a</w:t>
      </w:r>
      <w:r w:rsidR="00C92C53">
        <w:t>n</w:t>
      </w:r>
      <w:r w:rsidRPr="00A42303">
        <w:t xml:space="preserve"> opportunity for </w:t>
      </w:r>
      <w:r w:rsidR="00977054">
        <w:t xml:space="preserve">all parties to </w:t>
      </w:r>
      <w:r w:rsidRPr="00A42303">
        <w:t xml:space="preserve">comment </w:t>
      </w:r>
      <w:r w:rsidR="00C92C53">
        <w:t>on them</w:t>
      </w:r>
      <w:r w:rsidRPr="00A42303">
        <w:t xml:space="preserve">. </w:t>
      </w:r>
    </w:p>
    <w:p w:rsidR="00F37CA1" w:rsidRPr="00A42303" w:rsidRDefault="00F37CA1" w:rsidP="003D2CFE">
      <w:pPr>
        <w:spacing w:before="0" w:after="0"/>
      </w:pPr>
    </w:p>
    <w:p w:rsidR="00F37CA1" w:rsidRPr="00A42303" w:rsidRDefault="00F37CA1" w:rsidP="003D2CFE">
      <w:pPr>
        <w:spacing w:before="0" w:after="0"/>
        <w:rPr>
          <w:b/>
        </w:rPr>
      </w:pPr>
      <w:r w:rsidRPr="00A42303">
        <w:rPr>
          <w:b/>
        </w:rPr>
        <w:t xml:space="preserve">Role of the Chair and Deputy Chair </w:t>
      </w:r>
    </w:p>
    <w:p w:rsidR="008E1975" w:rsidRPr="00A42303" w:rsidRDefault="008E1975" w:rsidP="003D2CFE">
      <w:pPr>
        <w:spacing w:before="0" w:after="0"/>
      </w:pPr>
    </w:p>
    <w:p w:rsidR="00F37CA1" w:rsidRPr="00A42303" w:rsidRDefault="00F37CA1" w:rsidP="003D2CFE">
      <w:pPr>
        <w:spacing w:before="0" w:after="0"/>
      </w:pPr>
      <w:r w:rsidRPr="00A42303">
        <w:t xml:space="preserve">It is the responsibility of the chair (and, if appropriate, the deputy chair) to: </w:t>
      </w:r>
    </w:p>
    <w:p w:rsidR="008E1975" w:rsidRPr="00A42303" w:rsidRDefault="008E1975" w:rsidP="003D2CFE">
      <w:pPr>
        <w:spacing w:before="0" w:after="0"/>
      </w:pPr>
    </w:p>
    <w:p w:rsidR="00F37CA1" w:rsidRPr="00A42303" w:rsidRDefault="00F37CA1" w:rsidP="0048108D">
      <w:pPr>
        <w:pStyle w:val="ListParagraph"/>
        <w:numPr>
          <w:ilvl w:val="0"/>
          <w:numId w:val="26"/>
        </w:numPr>
        <w:spacing w:before="0" w:after="0"/>
        <w:ind w:left="1134" w:hanging="567"/>
        <w:contextualSpacing w:val="0"/>
      </w:pPr>
      <w:r w:rsidRPr="00A42303">
        <w:t xml:space="preserve">manage the </w:t>
      </w:r>
      <w:r w:rsidR="00015BC0" w:rsidRPr="00A42303">
        <w:t>best practice guide</w:t>
      </w:r>
      <w:r w:rsidRPr="00A42303">
        <w:t xml:space="preserve"> with the relevant </w:t>
      </w:r>
      <w:r w:rsidR="00015BC0" w:rsidRPr="00A42303">
        <w:t>c</w:t>
      </w:r>
      <w:r w:rsidRPr="00A42303">
        <w:t xml:space="preserve">ontracts </w:t>
      </w:r>
      <w:r w:rsidR="00015BC0" w:rsidRPr="00A42303">
        <w:t>group</w:t>
      </w:r>
      <w:r w:rsidRPr="00A42303">
        <w:t xml:space="preserve">; </w:t>
      </w:r>
    </w:p>
    <w:p w:rsidR="001E2EE8" w:rsidRPr="00A42303" w:rsidRDefault="00F37CA1" w:rsidP="0048108D">
      <w:pPr>
        <w:pStyle w:val="ListParagraph"/>
        <w:numPr>
          <w:ilvl w:val="0"/>
          <w:numId w:val="26"/>
        </w:numPr>
        <w:spacing w:before="0" w:after="0"/>
        <w:ind w:left="1134" w:hanging="567"/>
        <w:contextualSpacing w:val="0"/>
      </w:pPr>
      <w:r w:rsidRPr="00A42303">
        <w:t>act as the key contact for any issues relating t</w:t>
      </w:r>
      <w:r w:rsidR="001E2EE8" w:rsidRPr="00A42303">
        <w:t xml:space="preserve">o the relevant </w:t>
      </w:r>
      <w:r w:rsidR="00015BC0" w:rsidRPr="00A42303">
        <w:t>c</w:t>
      </w:r>
      <w:r w:rsidR="001E2EE8" w:rsidRPr="00A42303">
        <w:t xml:space="preserve">ontracts </w:t>
      </w:r>
      <w:r w:rsidR="00015BC0" w:rsidRPr="00A42303">
        <w:t>group</w:t>
      </w:r>
      <w:r w:rsidR="001E2EE8" w:rsidRPr="00A42303">
        <w:t>;</w:t>
      </w:r>
    </w:p>
    <w:p w:rsidR="00F37CA1" w:rsidRPr="00A42303" w:rsidRDefault="00F37CA1" w:rsidP="0048108D">
      <w:pPr>
        <w:pStyle w:val="ListParagraph"/>
        <w:numPr>
          <w:ilvl w:val="0"/>
          <w:numId w:val="26"/>
        </w:numPr>
        <w:spacing w:before="0" w:after="0"/>
        <w:ind w:left="1134" w:hanging="567"/>
        <w:contextualSpacing w:val="0"/>
      </w:pPr>
      <w:r w:rsidRPr="00A42303">
        <w:t xml:space="preserve">facilitate the meeting(s); </w:t>
      </w:r>
    </w:p>
    <w:p w:rsidR="00F37CA1" w:rsidRPr="00A42303" w:rsidRDefault="00F37CA1" w:rsidP="0048108D">
      <w:pPr>
        <w:pStyle w:val="ListParagraph"/>
        <w:numPr>
          <w:ilvl w:val="0"/>
          <w:numId w:val="26"/>
        </w:numPr>
        <w:spacing w:before="0" w:after="0"/>
        <w:ind w:left="1134" w:hanging="567"/>
        <w:contextualSpacing w:val="0"/>
      </w:pPr>
      <w:r w:rsidRPr="00A42303">
        <w:t xml:space="preserve">ensure that discussions, decisions and actions from the meetings are recorded in a factual and unbiased manner; and </w:t>
      </w:r>
    </w:p>
    <w:p w:rsidR="00F37CA1" w:rsidRPr="00A42303" w:rsidRDefault="00F37CA1" w:rsidP="0048108D">
      <w:pPr>
        <w:pStyle w:val="ListParagraph"/>
        <w:numPr>
          <w:ilvl w:val="0"/>
          <w:numId w:val="26"/>
        </w:numPr>
        <w:spacing w:before="0" w:after="0"/>
        <w:ind w:left="1134" w:hanging="567"/>
        <w:contextualSpacing w:val="0"/>
      </w:pPr>
      <w:proofErr w:type="gramStart"/>
      <w:r w:rsidRPr="00A42303">
        <w:t>agree</w:t>
      </w:r>
      <w:proofErr w:type="gramEnd"/>
      <w:r w:rsidRPr="00A42303">
        <w:t xml:space="preserve"> the agenda. </w:t>
      </w:r>
    </w:p>
    <w:p w:rsidR="00F37CA1" w:rsidRPr="00A42303" w:rsidRDefault="00F37CA1" w:rsidP="003D2CFE">
      <w:pPr>
        <w:spacing w:before="0" w:after="0"/>
      </w:pPr>
    </w:p>
    <w:p w:rsidR="00F37CA1" w:rsidRPr="00A42303" w:rsidRDefault="00F37CA1" w:rsidP="003D2CFE">
      <w:pPr>
        <w:spacing w:before="0" w:after="0"/>
        <w:rPr>
          <w:b/>
        </w:rPr>
      </w:pPr>
      <w:r w:rsidRPr="00A42303">
        <w:rPr>
          <w:b/>
        </w:rPr>
        <w:t xml:space="preserve">Escalation Path </w:t>
      </w:r>
    </w:p>
    <w:p w:rsidR="0048108D" w:rsidRDefault="0048108D" w:rsidP="003D2CFE">
      <w:pPr>
        <w:spacing w:before="0" w:after="0"/>
      </w:pPr>
    </w:p>
    <w:p w:rsidR="00F37CA1" w:rsidRPr="00A42303" w:rsidRDefault="00F37CA1" w:rsidP="003D2CFE">
      <w:pPr>
        <w:spacing w:before="0" w:after="0"/>
      </w:pPr>
      <w:r w:rsidRPr="00A42303">
        <w:t xml:space="preserve">If any party wishes to escalate an issue, action or related activity as part of the </w:t>
      </w:r>
      <w:r w:rsidR="00015BC0" w:rsidRPr="00A42303">
        <w:t>c</w:t>
      </w:r>
      <w:r w:rsidR="006C2373" w:rsidRPr="00A42303">
        <w:t xml:space="preserve">ontracts </w:t>
      </w:r>
      <w:r w:rsidR="00015BC0" w:rsidRPr="00A42303">
        <w:t>g</w:t>
      </w:r>
      <w:r w:rsidR="006C2373" w:rsidRPr="00A42303">
        <w:t>roup</w:t>
      </w:r>
      <w:r w:rsidRPr="00A42303">
        <w:t xml:space="preserve">, the following will apply: </w:t>
      </w:r>
    </w:p>
    <w:p w:rsidR="00F37CA1" w:rsidRPr="00A42303" w:rsidRDefault="00F37CA1" w:rsidP="003D2CFE">
      <w:pPr>
        <w:spacing w:before="0" w:after="0"/>
      </w:pPr>
    </w:p>
    <w:p w:rsidR="00F37CA1" w:rsidRPr="00A42303" w:rsidRDefault="00F37CA1" w:rsidP="0048108D">
      <w:pPr>
        <w:pStyle w:val="ListParagraph"/>
        <w:numPr>
          <w:ilvl w:val="0"/>
          <w:numId w:val="23"/>
        </w:numPr>
        <w:spacing w:before="0" w:after="0"/>
        <w:ind w:left="1134" w:hanging="567"/>
        <w:contextualSpacing w:val="0"/>
      </w:pPr>
      <w:r w:rsidRPr="00A42303">
        <w:t xml:space="preserve">The original escalation will be to a nominated Level 1 contact. The parties will use their reasonable endeavours to reach a suitable conclusion or </w:t>
      </w:r>
      <w:r w:rsidR="001E2EE8" w:rsidRPr="00A42303">
        <w:t>r</w:t>
      </w:r>
      <w:r w:rsidRPr="00A42303">
        <w:t xml:space="preserve">ecommendation to the relevant </w:t>
      </w:r>
      <w:r w:rsidR="00015BC0" w:rsidRPr="00A42303">
        <w:t>c</w:t>
      </w:r>
      <w:r w:rsidRPr="00A42303">
        <w:t xml:space="preserve">ontracts </w:t>
      </w:r>
      <w:r w:rsidR="00015BC0" w:rsidRPr="00A42303">
        <w:t xml:space="preserve">group </w:t>
      </w:r>
      <w:r w:rsidRPr="00A42303">
        <w:t xml:space="preserve">within 15 working days of the issue(s) being escalated. The nominated Level 1 contacts will be: </w:t>
      </w:r>
    </w:p>
    <w:p w:rsidR="00C41F56" w:rsidRPr="00A42303" w:rsidRDefault="00C41F56" w:rsidP="0048108D">
      <w:pPr>
        <w:pStyle w:val="ListParagraph"/>
        <w:spacing w:before="0" w:after="0"/>
        <w:ind w:left="1134" w:hanging="567"/>
        <w:contextualSpacing w:val="0"/>
      </w:pPr>
    </w:p>
    <w:p w:rsidR="00F37CA1" w:rsidRPr="00A42303" w:rsidRDefault="00F37CA1" w:rsidP="0048108D">
      <w:pPr>
        <w:pStyle w:val="ListParagraph"/>
        <w:numPr>
          <w:ilvl w:val="1"/>
          <w:numId w:val="23"/>
        </w:numPr>
        <w:spacing w:before="0" w:after="0"/>
        <w:ind w:left="1701" w:hanging="283"/>
        <w:contextualSpacing w:val="0"/>
        <w:jc w:val="left"/>
      </w:pPr>
      <w:r w:rsidRPr="00A42303">
        <w:t xml:space="preserve">an Openreach Chief Counsel; </w:t>
      </w:r>
    </w:p>
    <w:p w:rsidR="00F37CA1" w:rsidRPr="00A42303" w:rsidRDefault="00F37CA1" w:rsidP="0048108D">
      <w:pPr>
        <w:pStyle w:val="ListParagraph"/>
        <w:numPr>
          <w:ilvl w:val="1"/>
          <w:numId w:val="23"/>
        </w:numPr>
        <w:spacing w:before="0" w:after="0"/>
        <w:ind w:left="1701" w:hanging="283"/>
        <w:contextualSpacing w:val="0"/>
        <w:jc w:val="left"/>
      </w:pPr>
      <w:r w:rsidRPr="00A42303">
        <w:t xml:space="preserve">the person(s) nominated by the CP representative(s); </w:t>
      </w:r>
    </w:p>
    <w:p w:rsidR="00C41F56" w:rsidRPr="00A42303" w:rsidRDefault="00C41F56" w:rsidP="0048108D">
      <w:pPr>
        <w:pStyle w:val="ListParagraph"/>
        <w:spacing w:before="0" w:after="0"/>
        <w:ind w:left="1134" w:hanging="567"/>
        <w:contextualSpacing w:val="0"/>
      </w:pPr>
    </w:p>
    <w:p w:rsidR="00F37CA1" w:rsidRPr="00A42303" w:rsidRDefault="00F37CA1" w:rsidP="0048108D">
      <w:pPr>
        <w:pStyle w:val="ListParagraph"/>
        <w:numPr>
          <w:ilvl w:val="0"/>
          <w:numId w:val="23"/>
        </w:numPr>
        <w:spacing w:before="0" w:after="0"/>
        <w:ind w:left="1134" w:hanging="567"/>
        <w:contextualSpacing w:val="0"/>
      </w:pPr>
      <w:proofErr w:type="gramStart"/>
      <w:r w:rsidRPr="00A42303">
        <w:t>if</w:t>
      </w:r>
      <w:proofErr w:type="gramEnd"/>
      <w:r w:rsidRPr="00A42303">
        <w:t xml:space="preserve"> the Level 1 contact(s) cannot resolve the issue(s) within 15 working days of original escalation, the issue(s) will be escalated to the nominated Level 2 contact(s) and the parties will use their reasonable endeavours to reach a suitable conclusion or recommendation to the relevant </w:t>
      </w:r>
      <w:r w:rsidR="00015BC0" w:rsidRPr="00A42303">
        <w:t>c</w:t>
      </w:r>
      <w:r w:rsidRPr="00A42303">
        <w:t xml:space="preserve">ontracts </w:t>
      </w:r>
      <w:r w:rsidR="00015BC0" w:rsidRPr="00A42303">
        <w:t xml:space="preserve">group </w:t>
      </w:r>
      <w:r w:rsidRPr="00A42303">
        <w:t xml:space="preserve">within 10 working days of receipt of the escalation. The nominated Level 2 contacts are: </w:t>
      </w:r>
    </w:p>
    <w:p w:rsidR="0048108D" w:rsidRDefault="0048108D" w:rsidP="0048108D">
      <w:pPr>
        <w:pStyle w:val="ListParagraph"/>
        <w:spacing w:before="0" w:after="0"/>
        <w:ind w:left="1701"/>
        <w:contextualSpacing w:val="0"/>
      </w:pPr>
    </w:p>
    <w:p w:rsidR="00F37CA1" w:rsidRPr="00A42303" w:rsidRDefault="00F37CA1" w:rsidP="0048108D">
      <w:pPr>
        <w:pStyle w:val="ListParagraph"/>
        <w:numPr>
          <w:ilvl w:val="1"/>
          <w:numId w:val="23"/>
        </w:numPr>
        <w:spacing w:before="0" w:after="0"/>
        <w:ind w:left="1701" w:hanging="283"/>
        <w:contextualSpacing w:val="0"/>
      </w:pPr>
      <w:r w:rsidRPr="00A42303">
        <w:t xml:space="preserve">an Openreach General Counsel; </w:t>
      </w:r>
    </w:p>
    <w:p w:rsidR="00F37CA1" w:rsidRPr="00A42303" w:rsidRDefault="00F37CA1" w:rsidP="0048108D">
      <w:pPr>
        <w:pStyle w:val="ListParagraph"/>
        <w:numPr>
          <w:ilvl w:val="1"/>
          <w:numId w:val="23"/>
        </w:numPr>
        <w:spacing w:before="0" w:after="0"/>
        <w:ind w:left="1701" w:hanging="283"/>
        <w:contextualSpacing w:val="0"/>
      </w:pPr>
      <w:proofErr w:type="gramStart"/>
      <w:r w:rsidRPr="00A42303">
        <w:t>the</w:t>
      </w:r>
      <w:proofErr w:type="gramEnd"/>
      <w:r w:rsidRPr="00A42303">
        <w:t xml:space="preserve"> person(s) nominated by the CP representative(s). </w:t>
      </w:r>
    </w:p>
    <w:p w:rsidR="0048108D" w:rsidRDefault="0048108D" w:rsidP="003D2CFE">
      <w:pPr>
        <w:spacing w:before="0" w:after="0"/>
      </w:pPr>
    </w:p>
    <w:p w:rsidR="00F37CA1" w:rsidRPr="00A42303" w:rsidRDefault="00F37CA1" w:rsidP="003D2CFE">
      <w:pPr>
        <w:spacing w:before="0" w:after="0"/>
      </w:pPr>
      <w:r w:rsidRPr="00A42303">
        <w:t xml:space="preserve">The parties agree that no issue(s) will be escalated until properly discussed at the relevant </w:t>
      </w:r>
      <w:r w:rsidR="00015BC0" w:rsidRPr="00A42303">
        <w:t>c</w:t>
      </w:r>
      <w:r w:rsidRPr="00A42303">
        <w:t xml:space="preserve">ontracts </w:t>
      </w:r>
      <w:r w:rsidR="00015BC0" w:rsidRPr="00A42303">
        <w:t xml:space="preserve">group </w:t>
      </w:r>
      <w:r w:rsidRPr="00A42303">
        <w:t xml:space="preserve">and, if applicable, the relevant working group. </w:t>
      </w:r>
    </w:p>
    <w:p w:rsidR="0048108D" w:rsidRDefault="0048108D" w:rsidP="003D2CFE">
      <w:pPr>
        <w:spacing w:before="0" w:after="0"/>
      </w:pPr>
    </w:p>
    <w:p w:rsidR="00F37CA1" w:rsidRPr="00A42303" w:rsidRDefault="00F37CA1" w:rsidP="003D2CFE">
      <w:pPr>
        <w:spacing w:before="0" w:after="0"/>
      </w:pPr>
      <w:r w:rsidRPr="00A42303">
        <w:t xml:space="preserve">If a party escalates any issue(s) to either Level 1 and/or Level 2, that party will provide all relevant information, including any evidence of the preceding discussions at the time of such escalation. </w:t>
      </w:r>
    </w:p>
    <w:p w:rsidR="0048108D" w:rsidRDefault="0048108D" w:rsidP="003D2CFE">
      <w:pPr>
        <w:spacing w:before="0" w:after="0"/>
      </w:pPr>
    </w:p>
    <w:p w:rsidR="00553454" w:rsidRPr="00A42303" w:rsidRDefault="00F65652" w:rsidP="003D2CFE">
      <w:pPr>
        <w:spacing w:before="0" w:after="0"/>
        <w:rPr>
          <w:szCs w:val="24"/>
        </w:rPr>
      </w:pPr>
      <w:r w:rsidRPr="00A42303">
        <w:t xml:space="preserve">This </w:t>
      </w:r>
      <w:r w:rsidR="00015BC0" w:rsidRPr="00A42303">
        <w:t>best practice guide</w:t>
      </w:r>
      <w:r w:rsidR="00F37CA1" w:rsidRPr="00A42303">
        <w:t xml:space="preserve"> do</w:t>
      </w:r>
      <w:r w:rsidRPr="00A42303">
        <w:t>es</w:t>
      </w:r>
      <w:r w:rsidR="00F37CA1" w:rsidRPr="00A42303">
        <w:t xml:space="preserve"> not represent a formal dispute process. </w:t>
      </w:r>
      <w:r w:rsidR="00553454" w:rsidRPr="00A42303">
        <w:rPr>
          <w:rFonts w:cs="Arial"/>
          <w:color w:val="000000"/>
          <w:szCs w:val="24"/>
        </w:rPr>
        <w:t xml:space="preserve">Nothing in </w:t>
      </w:r>
      <w:r w:rsidRPr="00A42303">
        <w:rPr>
          <w:rFonts w:cs="Arial"/>
          <w:color w:val="000000"/>
          <w:szCs w:val="24"/>
        </w:rPr>
        <w:t xml:space="preserve">this </w:t>
      </w:r>
      <w:r w:rsidR="00015BC0" w:rsidRPr="00A42303">
        <w:rPr>
          <w:rFonts w:cs="Arial"/>
          <w:color w:val="000000"/>
          <w:szCs w:val="24"/>
        </w:rPr>
        <w:t>best practice guide</w:t>
      </w:r>
      <w:r w:rsidR="00553454" w:rsidRPr="00A42303">
        <w:rPr>
          <w:rFonts w:cs="Arial"/>
          <w:color w:val="000000"/>
          <w:szCs w:val="24"/>
        </w:rPr>
        <w:t xml:space="preserve"> shall prevent any party from referring a dispute to Ofcom in accordance with any right such party may have to request a determination or from taking any other appropriate steps for its resolution.</w:t>
      </w:r>
    </w:p>
    <w:p w:rsidR="00F37CA1" w:rsidRPr="00A42303" w:rsidRDefault="00F37CA1" w:rsidP="003D2CFE">
      <w:pPr>
        <w:spacing w:before="0" w:after="0"/>
      </w:pPr>
    </w:p>
    <w:p w:rsidR="00F37CA1" w:rsidRPr="00A42303" w:rsidRDefault="00F37CA1" w:rsidP="003D2CFE">
      <w:pPr>
        <w:spacing w:before="0" w:after="0"/>
        <w:rPr>
          <w:b/>
        </w:rPr>
      </w:pPr>
      <w:r w:rsidRPr="00A42303">
        <w:rPr>
          <w:b/>
        </w:rPr>
        <w:t xml:space="preserve">Changes to the </w:t>
      </w:r>
      <w:r w:rsidR="00E10A08" w:rsidRPr="00A42303">
        <w:rPr>
          <w:b/>
        </w:rPr>
        <w:t>Best Practice Guide</w:t>
      </w:r>
      <w:r w:rsidRPr="00A42303">
        <w:rPr>
          <w:b/>
        </w:rPr>
        <w:t xml:space="preserve"> </w:t>
      </w:r>
    </w:p>
    <w:p w:rsidR="0085155F" w:rsidRPr="00A42303" w:rsidRDefault="0085155F" w:rsidP="003D2CFE">
      <w:pPr>
        <w:spacing w:before="0" w:after="0"/>
      </w:pPr>
    </w:p>
    <w:p w:rsidR="0085155F" w:rsidRPr="00A42303" w:rsidRDefault="0085155F" w:rsidP="0085155F">
      <w:pPr>
        <w:spacing w:before="0" w:after="0"/>
      </w:pPr>
      <w:r w:rsidRPr="00A42303">
        <w:t>The parties will agree any proposed changes</w:t>
      </w:r>
      <w:r w:rsidR="00F65652" w:rsidRPr="00A42303">
        <w:t xml:space="preserve"> in writing</w:t>
      </w:r>
      <w:r w:rsidRPr="00A42303">
        <w:t xml:space="preserve"> and Openreach will </w:t>
      </w:r>
      <w:r w:rsidR="00977054">
        <w:t>publish</w:t>
      </w:r>
      <w:r w:rsidR="00977054" w:rsidRPr="00A42303">
        <w:t xml:space="preserve"> </w:t>
      </w:r>
      <w:r w:rsidRPr="00A42303">
        <w:t>an updated version of the best practice guide</w:t>
      </w:r>
      <w:r w:rsidR="00AC4ACF">
        <w:t xml:space="preserve"> as soon as reasonably practicable following such agreement</w:t>
      </w:r>
      <w:r w:rsidRPr="00A42303">
        <w:t xml:space="preserve">. </w:t>
      </w:r>
    </w:p>
    <w:p w:rsidR="00E455C9" w:rsidRPr="00A42303" w:rsidRDefault="00F37CA1" w:rsidP="003D2CFE">
      <w:pPr>
        <w:spacing w:before="0" w:after="0"/>
      </w:pPr>
      <w:r w:rsidRPr="00A42303">
        <w:t xml:space="preserve"> </w:t>
      </w:r>
    </w:p>
    <w:p w:rsidR="0029307D" w:rsidRPr="00A42303" w:rsidRDefault="0029307D" w:rsidP="003D2CFE">
      <w:pPr>
        <w:spacing w:before="0" w:after="0"/>
        <w:rPr>
          <w:b/>
        </w:rPr>
      </w:pPr>
    </w:p>
    <w:p w:rsidR="0085155F" w:rsidRPr="00A42303" w:rsidRDefault="0085155F" w:rsidP="003D2CFE">
      <w:pPr>
        <w:spacing w:before="0" w:after="0"/>
        <w:rPr>
          <w:b/>
        </w:rPr>
        <w:sectPr w:rsidR="0085155F" w:rsidRPr="00A42303" w:rsidSect="004511A3">
          <w:headerReference w:type="default" r:id="rId9"/>
          <w:footerReference w:type="default" r:id="rId10"/>
          <w:pgSz w:w="11906" w:h="16838"/>
          <w:pgMar w:top="1440" w:right="1440" w:bottom="1440" w:left="1440" w:header="708" w:footer="708" w:gutter="0"/>
          <w:cols w:space="708"/>
          <w:docGrid w:linePitch="360"/>
        </w:sectPr>
      </w:pPr>
    </w:p>
    <w:p w:rsidR="00F37CA1" w:rsidRPr="00A42303" w:rsidRDefault="00E455C9" w:rsidP="003D2CFE">
      <w:pPr>
        <w:spacing w:before="0" w:after="0"/>
        <w:rPr>
          <w:b/>
        </w:rPr>
      </w:pPr>
      <w:r w:rsidRPr="00A42303">
        <w:rPr>
          <w:b/>
        </w:rPr>
        <w:lastRenderedPageBreak/>
        <w:t>Appendix 1 – Template Issues List</w:t>
      </w:r>
    </w:p>
    <w:p w:rsidR="00E455C9" w:rsidRPr="00A42303" w:rsidRDefault="00E455C9" w:rsidP="003D2CFE">
      <w:pPr>
        <w:spacing w:before="0" w:after="0"/>
        <w:rPr>
          <w:b/>
        </w:rPr>
      </w:pPr>
    </w:p>
    <w:p w:rsidR="00A427BB" w:rsidRDefault="00AC4ACF" w:rsidP="0085155F">
      <w:pPr>
        <w:spacing w:before="0" w:after="0"/>
        <w:rPr>
          <w:b/>
        </w:rPr>
      </w:pPr>
      <w:r>
        <w:rPr>
          <w: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50.25pt" o:ole="">
            <v:imagedata r:id="rId11" o:title=""/>
          </v:shape>
          <o:OLEObject Type="Embed" ProgID="Excel.Sheet.12" ShapeID="_x0000_i1025" DrawAspect="Icon" ObjectID="_1479299154" r:id="rId12"/>
        </w:object>
      </w:r>
    </w:p>
    <w:p w:rsidR="00977054" w:rsidRPr="00A42303" w:rsidRDefault="00977054" w:rsidP="0085155F">
      <w:pPr>
        <w:spacing w:before="0" w:after="0"/>
        <w:rPr>
          <w:b/>
        </w:rPr>
      </w:pPr>
    </w:p>
    <w:p w:rsidR="00E455C9" w:rsidRPr="00A42303" w:rsidRDefault="00E455C9" w:rsidP="0085155F">
      <w:pPr>
        <w:spacing w:before="0" w:after="0"/>
        <w:rPr>
          <w:b/>
        </w:rPr>
      </w:pPr>
      <w:r w:rsidRPr="00A42303">
        <w:rPr>
          <w:b/>
        </w:rPr>
        <w:t>Appendix 2 –</w:t>
      </w:r>
      <w:r w:rsidR="00C6656A" w:rsidRPr="00A42303">
        <w:rPr>
          <w:b/>
        </w:rPr>
        <w:t xml:space="preserve"> Template Project Plan</w:t>
      </w:r>
    </w:p>
    <w:p w:rsidR="00C6656A" w:rsidRPr="00A42303" w:rsidRDefault="00C6656A" w:rsidP="0085155F">
      <w:pPr>
        <w:spacing w:before="0" w:after="0"/>
        <w:rPr>
          <w:b/>
        </w:rPr>
      </w:pPr>
    </w:p>
    <w:p w:rsidR="00977054" w:rsidRDefault="00AC4ACF" w:rsidP="0085155F">
      <w:pPr>
        <w:spacing w:before="0" w:after="0"/>
        <w:rPr>
          <w:b/>
        </w:rPr>
      </w:pPr>
      <w:r>
        <w:rPr>
          <w:b/>
        </w:rPr>
        <w:object w:dxaOrig="1551" w:dyaOrig="1004">
          <v:shape id="_x0000_i1026" type="#_x0000_t75" style="width:77.85pt;height:50.25pt" o:ole="">
            <v:imagedata r:id="rId13" o:title=""/>
          </v:shape>
          <o:OLEObject Type="Embed" ProgID="Excel.Sheet.8" ShapeID="_x0000_i1026" DrawAspect="Icon" ObjectID="_1479299155" r:id="rId14"/>
        </w:object>
      </w:r>
      <w:r w:rsidR="00977054">
        <w:rPr>
          <w:b/>
        </w:rPr>
        <w:br w:type="page"/>
      </w:r>
    </w:p>
    <w:p w:rsidR="00977054" w:rsidRDefault="00977054" w:rsidP="0085155F">
      <w:pPr>
        <w:spacing w:before="0" w:after="0"/>
        <w:rPr>
          <w:b/>
        </w:rPr>
      </w:pPr>
      <w:r>
        <w:rPr>
          <w:b/>
        </w:rPr>
        <w:lastRenderedPageBreak/>
        <w:t>Revision History</w:t>
      </w:r>
    </w:p>
    <w:p w:rsidR="00977054" w:rsidRDefault="00977054" w:rsidP="0085155F">
      <w:pPr>
        <w:spacing w:before="0" w:after="0"/>
        <w:rPr>
          <w:b/>
        </w:rPr>
      </w:pPr>
    </w:p>
    <w:tbl>
      <w:tblPr>
        <w:tblStyle w:val="TableGrid"/>
        <w:tblW w:w="0" w:type="auto"/>
        <w:tblLook w:val="04A0" w:firstRow="1" w:lastRow="0" w:firstColumn="1" w:lastColumn="0" w:noHBand="0" w:noVBand="1"/>
      </w:tblPr>
      <w:tblGrid>
        <w:gridCol w:w="1101"/>
        <w:gridCol w:w="1559"/>
        <w:gridCol w:w="4819"/>
        <w:gridCol w:w="1763"/>
      </w:tblGrid>
      <w:tr w:rsidR="00977054" w:rsidTr="00B96901">
        <w:tc>
          <w:tcPr>
            <w:tcW w:w="1101" w:type="dxa"/>
          </w:tcPr>
          <w:p w:rsidR="00977054" w:rsidRDefault="00977054" w:rsidP="0085155F">
            <w:pPr>
              <w:spacing w:before="0" w:after="0"/>
              <w:rPr>
                <w:b/>
              </w:rPr>
            </w:pPr>
            <w:r>
              <w:rPr>
                <w:b/>
              </w:rPr>
              <w:t>Issue</w:t>
            </w:r>
          </w:p>
        </w:tc>
        <w:tc>
          <w:tcPr>
            <w:tcW w:w="1559" w:type="dxa"/>
          </w:tcPr>
          <w:p w:rsidR="00977054" w:rsidRDefault="00977054" w:rsidP="00931F26">
            <w:pPr>
              <w:spacing w:before="0" w:after="0"/>
              <w:jc w:val="left"/>
              <w:rPr>
                <w:b/>
              </w:rPr>
            </w:pPr>
            <w:r>
              <w:rPr>
                <w:b/>
              </w:rPr>
              <w:t>Date</w:t>
            </w:r>
          </w:p>
        </w:tc>
        <w:tc>
          <w:tcPr>
            <w:tcW w:w="4819" w:type="dxa"/>
          </w:tcPr>
          <w:p w:rsidR="00977054" w:rsidRDefault="00977054" w:rsidP="0085155F">
            <w:pPr>
              <w:spacing w:before="0" w:after="0"/>
              <w:rPr>
                <w:b/>
              </w:rPr>
            </w:pPr>
            <w:r>
              <w:rPr>
                <w:b/>
              </w:rPr>
              <w:t>Notes</w:t>
            </w:r>
          </w:p>
        </w:tc>
        <w:tc>
          <w:tcPr>
            <w:tcW w:w="1763" w:type="dxa"/>
          </w:tcPr>
          <w:p w:rsidR="00977054" w:rsidRDefault="00977054" w:rsidP="0085155F">
            <w:pPr>
              <w:spacing w:before="0" w:after="0"/>
              <w:rPr>
                <w:b/>
              </w:rPr>
            </w:pPr>
            <w:r>
              <w:rPr>
                <w:b/>
              </w:rPr>
              <w:t>Distribution</w:t>
            </w:r>
          </w:p>
        </w:tc>
      </w:tr>
      <w:tr w:rsidR="00977054" w:rsidRPr="00977054" w:rsidTr="00B96901">
        <w:tc>
          <w:tcPr>
            <w:tcW w:w="1101" w:type="dxa"/>
          </w:tcPr>
          <w:p w:rsidR="00977054" w:rsidRPr="00977054" w:rsidRDefault="00977054" w:rsidP="0085155F">
            <w:pPr>
              <w:spacing w:before="0" w:after="0"/>
            </w:pPr>
            <w:r>
              <w:t>Draft 0.8</w:t>
            </w:r>
          </w:p>
        </w:tc>
        <w:tc>
          <w:tcPr>
            <w:tcW w:w="1559" w:type="dxa"/>
          </w:tcPr>
          <w:p w:rsidR="00977054" w:rsidRPr="00977054" w:rsidRDefault="00931F26" w:rsidP="00931F26">
            <w:pPr>
              <w:spacing w:before="0" w:after="0"/>
              <w:jc w:val="left"/>
            </w:pPr>
            <w:r>
              <w:t>6 June 2014</w:t>
            </w:r>
          </w:p>
        </w:tc>
        <w:tc>
          <w:tcPr>
            <w:tcW w:w="4819" w:type="dxa"/>
          </w:tcPr>
          <w:p w:rsidR="00977054" w:rsidRPr="00977054" w:rsidRDefault="00977054" w:rsidP="0085155F">
            <w:pPr>
              <w:spacing w:before="0" w:after="0"/>
            </w:pPr>
            <w:r>
              <w:t>Agreed drafting applied in relation to GEA and Connectivity Service contract reviews 2014</w:t>
            </w:r>
          </w:p>
          <w:p w:rsidR="00977054" w:rsidRPr="00977054" w:rsidRDefault="00977054" w:rsidP="0085155F">
            <w:pPr>
              <w:spacing w:before="0" w:after="0"/>
            </w:pPr>
          </w:p>
        </w:tc>
        <w:tc>
          <w:tcPr>
            <w:tcW w:w="1763" w:type="dxa"/>
          </w:tcPr>
          <w:p w:rsidR="00977054" w:rsidRPr="00977054" w:rsidRDefault="00977054" w:rsidP="00977054">
            <w:pPr>
              <w:spacing w:before="0" w:after="0"/>
              <w:jc w:val="left"/>
            </w:pPr>
            <w:r>
              <w:t>GEA &amp; CS Contracts Group</w:t>
            </w:r>
          </w:p>
        </w:tc>
      </w:tr>
      <w:tr w:rsidR="00977054" w:rsidRPr="00977054" w:rsidTr="00B96901">
        <w:tc>
          <w:tcPr>
            <w:tcW w:w="1101" w:type="dxa"/>
          </w:tcPr>
          <w:p w:rsidR="00977054" w:rsidRPr="00977054" w:rsidRDefault="00977054" w:rsidP="0085155F">
            <w:pPr>
              <w:spacing w:before="0" w:after="0"/>
            </w:pPr>
            <w:r w:rsidRPr="00977054">
              <w:t>Draft 0.9</w:t>
            </w:r>
          </w:p>
        </w:tc>
        <w:tc>
          <w:tcPr>
            <w:tcW w:w="1559" w:type="dxa"/>
          </w:tcPr>
          <w:p w:rsidR="00977054" w:rsidRDefault="00931F26" w:rsidP="00931F26">
            <w:pPr>
              <w:spacing w:before="0" w:after="0"/>
              <w:jc w:val="left"/>
            </w:pPr>
            <w:r>
              <w:t>28 October 2014</w:t>
            </w:r>
          </w:p>
          <w:p w:rsidR="00977054" w:rsidRPr="00977054" w:rsidRDefault="00977054" w:rsidP="00931F26">
            <w:pPr>
              <w:spacing w:before="0" w:after="0"/>
              <w:jc w:val="left"/>
            </w:pPr>
          </w:p>
        </w:tc>
        <w:tc>
          <w:tcPr>
            <w:tcW w:w="4819" w:type="dxa"/>
          </w:tcPr>
          <w:p w:rsidR="00977054" w:rsidRDefault="00977054" w:rsidP="0085155F">
            <w:pPr>
              <w:spacing w:before="0" w:after="0"/>
            </w:pPr>
            <w:r>
              <w:t xml:space="preserve">Amendments to </w:t>
            </w:r>
            <w:r w:rsidR="00931F26">
              <w:t xml:space="preserve">document title (Best Practice Guide), </w:t>
            </w:r>
            <w:r>
              <w:t>Background, the Process and introduction of Change Control following CP discussions (23 October)</w:t>
            </w:r>
          </w:p>
          <w:p w:rsidR="00977054" w:rsidRPr="00977054" w:rsidRDefault="00977054" w:rsidP="0085155F">
            <w:pPr>
              <w:spacing w:before="0" w:after="0"/>
            </w:pPr>
          </w:p>
        </w:tc>
        <w:tc>
          <w:tcPr>
            <w:tcW w:w="1763" w:type="dxa"/>
          </w:tcPr>
          <w:p w:rsidR="00977054" w:rsidRPr="00977054" w:rsidRDefault="00977054" w:rsidP="00977054">
            <w:pPr>
              <w:spacing w:before="0" w:after="0"/>
              <w:jc w:val="left"/>
            </w:pPr>
            <w:r>
              <w:t>GEA &amp; CS Contracts Group</w:t>
            </w:r>
          </w:p>
        </w:tc>
      </w:tr>
      <w:tr w:rsidR="00977054" w:rsidTr="00B96901">
        <w:tc>
          <w:tcPr>
            <w:tcW w:w="1101" w:type="dxa"/>
          </w:tcPr>
          <w:p w:rsidR="00977054" w:rsidRDefault="00977054" w:rsidP="0085155F">
            <w:pPr>
              <w:spacing w:before="0" w:after="0"/>
              <w:rPr>
                <w:b/>
              </w:rPr>
            </w:pPr>
            <w:r>
              <w:t>Draft 0.10</w:t>
            </w:r>
          </w:p>
        </w:tc>
        <w:tc>
          <w:tcPr>
            <w:tcW w:w="1559" w:type="dxa"/>
            <w:shd w:val="clear" w:color="auto" w:fill="auto"/>
          </w:tcPr>
          <w:p w:rsidR="00977054" w:rsidRPr="00D8535F" w:rsidRDefault="00D8535F" w:rsidP="00931F26">
            <w:pPr>
              <w:spacing w:before="0" w:after="0"/>
              <w:jc w:val="left"/>
            </w:pPr>
            <w:r w:rsidRPr="00D8535F">
              <w:t>30</w:t>
            </w:r>
            <w:r w:rsidR="00931F26" w:rsidRPr="00D8535F">
              <w:t xml:space="preserve"> October 2014</w:t>
            </w:r>
          </w:p>
        </w:tc>
        <w:tc>
          <w:tcPr>
            <w:tcW w:w="4819" w:type="dxa"/>
          </w:tcPr>
          <w:p w:rsidR="00977054" w:rsidRDefault="00977054" w:rsidP="00977054">
            <w:pPr>
              <w:spacing w:before="0" w:after="0"/>
            </w:pPr>
            <w:r>
              <w:t>Amendments to Background, the Process and Reporting &amp; Notes following CP discussions (30 October)</w:t>
            </w:r>
          </w:p>
          <w:p w:rsidR="00977054" w:rsidRDefault="00977054" w:rsidP="0085155F">
            <w:pPr>
              <w:spacing w:before="0" w:after="0"/>
              <w:rPr>
                <w:b/>
              </w:rPr>
            </w:pPr>
          </w:p>
        </w:tc>
        <w:tc>
          <w:tcPr>
            <w:tcW w:w="1763" w:type="dxa"/>
          </w:tcPr>
          <w:p w:rsidR="00977054" w:rsidRDefault="00977054" w:rsidP="00977054">
            <w:pPr>
              <w:spacing w:before="0" w:after="0"/>
              <w:jc w:val="left"/>
              <w:rPr>
                <w:b/>
              </w:rPr>
            </w:pPr>
            <w:r>
              <w:t>GEA &amp; CS Contracts Group</w:t>
            </w:r>
          </w:p>
        </w:tc>
      </w:tr>
      <w:tr w:rsidR="00B27AC4" w:rsidTr="00B96901">
        <w:tc>
          <w:tcPr>
            <w:tcW w:w="1101" w:type="dxa"/>
          </w:tcPr>
          <w:p w:rsidR="00B27AC4" w:rsidRDefault="00B27AC4" w:rsidP="0085155F">
            <w:pPr>
              <w:spacing w:before="0" w:after="0"/>
            </w:pPr>
            <w:r>
              <w:t>Draft 0.11</w:t>
            </w:r>
          </w:p>
        </w:tc>
        <w:tc>
          <w:tcPr>
            <w:tcW w:w="1559" w:type="dxa"/>
            <w:shd w:val="clear" w:color="auto" w:fill="auto"/>
          </w:tcPr>
          <w:p w:rsidR="00B27AC4" w:rsidRDefault="00B27AC4" w:rsidP="00931F26">
            <w:pPr>
              <w:spacing w:before="0" w:after="0"/>
              <w:jc w:val="left"/>
            </w:pPr>
            <w:r>
              <w:t>21 November 2014</w:t>
            </w:r>
          </w:p>
          <w:p w:rsidR="00B27AC4" w:rsidRPr="00D8535F" w:rsidRDefault="00B27AC4" w:rsidP="00931F26">
            <w:pPr>
              <w:spacing w:before="0" w:after="0"/>
              <w:jc w:val="left"/>
            </w:pPr>
          </w:p>
        </w:tc>
        <w:tc>
          <w:tcPr>
            <w:tcW w:w="4819" w:type="dxa"/>
          </w:tcPr>
          <w:p w:rsidR="00B27AC4" w:rsidRDefault="00B27AC4" w:rsidP="00977054">
            <w:pPr>
              <w:spacing w:before="0" w:after="0"/>
            </w:pPr>
            <w:r>
              <w:t>Amendments to the Reporting &amp; Notes following CP feedback</w:t>
            </w:r>
          </w:p>
        </w:tc>
        <w:tc>
          <w:tcPr>
            <w:tcW w:w="1763" w:type="dxa"/>
          </w:tcPr>
          <w:p w:rsidR="00B27AC4" w:rsidRDefault="00B27AC4" w:rsidP="00977054">
            <w:pPr>
              <w:spacing w:before="0" w:after="0"/>
              <w:jc w:val="left"/>
            </w:pPr>
            <w:r>
              <w:t>GEA &amp; CS Contracts Group</w:t>
            </w:r>
          </w:p>
        </w:tc>
      </w:tr>
      <w:tr w:rsidR="00B27AC4" w:rsidTr="00B96901">
        <w:tc>
          <w:tcPr>
            <w:tcW w:w="1101" w:type="dxa"/>
          </w:tcPr>
          <w:p w:rsidR="00B27AC4" w:rsidRDefault="00B27AC4" w:rsidP="0085155F">
            <w:pPr>
              <w:spacing w:before="0" w:after="0"/>
            </w:pPr>
            <w:r>
              <w:t>Draft 0.12</w:t>
            </w:r>
          </w:p>
        </w:tc>
        <w:tc>
          <w:tcPr>
            <w:tcW w:w="1559" w:type="dxa"/>
            <w:shd w:val="clear" w:color="auto" w:fill="auto"/>
          </w:tcPr>
          <w:p w:rsidR="00B27AC4" w:rsidRDefault="00B27AC4" w:rsidP="00931F26">
            <w:pPr>
              <w:spacing w:before="0" w:after="0"/>
              <w:jc w:val="left"/>
            </w:pPr>
            <w:r>
              <w:t>28 November 2014</w:t>
            </w:r>
          </w:p>
          <w:p w:rsidR="00B27AC4" w:rsidRDefault="00B27AC4" w:rsidP="00931F26">
            <w:pPr>
              <w:spacing w:before="0" w:after="0"/>
              <w:jc w:val="left"/>
            </w:pPr>
          </w:p>
        </w:tc>
        <w:tc>
          <w:tcPr>
            <w:tcW w:w="4819" w:type="dxa"/>
          </w:tcPr>
          <w:p w:rsidR="00B27AC4" w:rsidRDefault="00B27AC4" w:rsidP="00B27AC4">
            <w:pPr>
              <w:spacing w:before="0" w:after="0"/>
            </w:pPr>
            <w:r>
              <w:t>General corrections to drafting, updates to “Changes to the Best Practice Guide”, rearrangement of list in paragraph 3 of “the Process” and new fibre and copper forum title (CFPCG) following CP feedback.</w:t>
            </w:r>
          </w:p>
          <w:p w:rsidR="00B27AC4" w:rsidRDefault="00B27AC4" w:rsidP="00B27AC4">
            <w:pPr>
              <w:spacing w:before="0" w:after="0"/>
            </w:pPr>
          </w:p>
        </w:tc>
        <w:tc>
          <w:tcPr>
            <w:tcW w:w="1763" w:type="dxa"/>
          </w:tcPr>
          <w:p w:rsidR="00B27AC4" w:rsidRDefault="00B27AC4" w:rsidP="00977054">
            <w:pPr>
              <w:spacing w:before="0" w:after="0"/>
              <w:jc w:val="left"/>
            </w:pPr>
            <w:r>
              <w:t>GEA &amp; CS Contracts Group</w:t>
            </w:r>
          </w:p>
        </w:tc>
      </w:tr>
      <w:tr w:rsidR="00B96901" w:rsidTr="00B96901">
        <w:tc>
          <w:tcPr>
            <w:tcW w:w="1101" w:type="dxa"/>
          </w:tcPr>
          <w:p w:rsidR="00B96901" w:rsidRDefault="00B96901" w:rsidP="0085155F">
            <w:pPr>
              <w:spacing w:before="0" w:after="0"/>
            </w:pPr>
            <w:r>
              <w:t>Issue 1.0</w:t>
            </w:r>
          </w:p>
        </w:tc>
        <w:tc>
          <w:tcPr>
            <w:tcW w:w="1559" w:type="dxa"/>
            <w:shd w:val="clear" w:color="auto" w:fill="auto"/>
          </w:tcPr>
          <w:p w:rsidR="00B96901" w:rsidRDefault="00D3626B" w:rsidP="00931F26">
            <w:pPr>
              <w:spacing w:before="0" w:after="0"/>
              <w:jc w:val="left"/>
            </w:pPr>
            <w:r>
              <w:t>8</w:t>
            </w:r>
            <w:r w:rsidR="00B96901">
              <w:t xml:space="preserve"> December 2014</w:t>
            </w:r>
          </w:p>
          <w:p w:rsidR="00B96901" w:rsidRDefault="00B96901" w:rsidP="00931F26">
            <w:pPr>
              <w:spacing w:before="0" w:after="0"/>
              <w:jc w:val="left"/>
            </w:pPr>
          </w:p>
        </w:tc>
        <w:tc>
          <w:tcPr>
            <w:tcW w:w="4819" w:type="dxa"/>
          </w:tcPr>
          <w:p w:rsidR="00B96901" w:rsidRDefault="00B96901" w:rsidP="00B27AC4">
            <w:pPr>
              <w:spacing w:before="0" w:after="0"/>
            </w:pPr>
            <w:r>
              <w:t>Issued</w:t>
            </w:r>
            <w:r w:rsidR="00D3626B">
              <w:t xml:space="preserve"> document</w:t>
            </w:r>
          </w:p>
        </w:tc>
        <w:tc>
          <w:tcPr>
            <w:tcW w:w="1763" w:type="dxa"/>
          </w:tcPr>
          <w:p w:rsidR="00B96901" w:rsidRDefault="00D3626B" w:rsidP="00B96901">
            <w:pPr>
              <w:spacing w:before="0" w:after="0"/>
              <w:jc w:val="left"/>
            </w:pPr>
            <w:r>
              <w:t>All CPs</w:t>
            </w:r>
          </w:p>
        </w:tc>
      </w:tr>
    </w:tbl>
    <w:p w:rsidR="00977054" w:rsidRPr="005A667D" w:rsidRDefault="00977054" w:rsidP="0085155F">
      <w:pPr>
        <w:spacing w:before="0" w:after="0"/>
        <w:rPr>
          <w:b/>
        </w:rPr>
      </w:pPr>
    </w:p>
    <w:sectPr w:rsidR="00977054" w:rsidRPr="005A667D" w:rsidSect="00D040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565" w:rsidRDefault="00573565" w:rsidP="00F37CA1">
      <w:pPr>
        <w:spacing w:after="0"/>
      </w:pPr>
      <w:r>
        <w:separator/>
      </w:r>
    </w:p>
  </w:endnote>
  <w:endnote w:type="continuationSeparator" w:id="0">
    <w:p w:rsidR="00573565" w:rsidRDefault="00573565" w:rsidP="00F37C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E8" w:rsidRDefault="00B96901">
    <w:pPr>
      <w:pStyle w:val="Footer"/>
    </w:pPr>
    <w:r>
      <w:t>Issue 1.0</w:t>
    </w:r>
    <w:r w:rsidR="00EC7F6E">
      <w:t xml:space="preserve"> </w:t>
    </w:r>
    <w:r w:rsidR="00D55EEA">
      <w:t>(</w:t>
    </w:r>
    <w:r w:rsidR="00D3626B">
      <w:t>8</w:t>
    </w:r>
    <w:r>
      <w:t xml:space="preserve"> December 2014</w:t>
    </w:r>
    <w:r w:rsidR="00D55EEA">
      <w:t>)</w:t>
    </w:r>
    <w:r w:rsidR="001E2EE8">
      <w:tab/>
    </w:r>
    <w:r w:rsidR="001E2EE8">
      <w:tab/>
      <w:t xml:space="preserve">Page </w:t>
    </w:r>
    <w:r w:rsidR="001E2EE8">
      <w:rPr>
        <w:b/>
      </w:rPr>
      <w:fldChar w:fldCharType="begin"/>
    </w:r>
    <w:r w:rsidR="001E2EE8">
      <w:rPr>
        <w:b/>
      </w:rPr>
      <w:instrText xml:space="preserve"> PAGE  \* Arabic  \* MERGEFORMAT </w:instrText>
    </w:r>
    <w:r w:rsidR="001E2EE8">
      <w:rPr>
        <w:b/>
      </w:rPr>
      <w:fldChar w:fldCharType="separate"/>
    </w:r>
    <w:r w:rsidR="00D3626B">
      <w:rPr>
        <w:b/>
        <w:noProof/>
      </w:rPr>
      <w:t>1</w:t>
    </w:r>
    <w:r w:rsidR="001E2EE8">
      <w:rPr>
        <w:b/>
      </w:rPr>
      <w:fldChar w:fldCharType="end"/>
    </w:r>
    <w:r w:rsidR="001E2EE8">
      <w:t xml:space="preserve"> of </w:t>
    </w:r>
    <w:r w:rsidR="001E2EE8">
      <w:rPr>
        <w:b/>
      </w:rPr>
      <w:fldChar w:fldCharType="begin"/>
    </w:r>
    <w:r w:rsidR="001E2EE8">
      <w:rPr>
        <w:b/>
      </w:rPr>
      <w:instrText xml:space="preserve"> NUMPAGES  \* Arabic  \* MERGEFORMAT </w:instrText>
    </w:r>
    <w:r w:rsidR="001E2EE8">
      <w:rPr>
        <w:b/>
      </w:rPr>
      <w:fldChar w:fldCharType="separate"/>
    </w:r>
    <w:r w:rsidR="00D3626B">
      <w:rPr>
        <w:b/>
        <w:noProof/>
      </w:rPr>
      <w:t>7</w:t>
    </w:r>
    <w:r w:rsidR="001E2EE8">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565" w:rsidRDefault="00573565" w:rsidP="00F37CA1">
      <w:pPr>
        <w:spacing w:after="0"/>
      </w:pPr>
      <w:r>
        <w:separator/>
      </w:r>
    </w:p>
  </w:footnote>
  <w:footnote w:type="continuationSeparator" w:id="0">
    <w:p w:rsidR="00573565" w:rsidRDefault="00573565" w:rsidP="00F37CA1">
      <w:pPr>
        <w:spacing w:after="0"/>
      </w:pPr>
      <w:r>
        <w:continuationSeparator/>
      </w:r>
    </w:p>
  </w:footnote>
  <w:footnote w:id="1">
    <w:p w:rsidR="00E74EEE" w:rsidRDefault="00E74EEE">
      <w:pPr>
        <w:pStyle w:val="FootnoteText"/>
      </w:pPr>
      <w:r>
        <w:rPr>
          <w:rStyle w:val="FootnoteReference"/>
        </w:rPr>
        <w:footnoteRef/>
      </w:r>
      <w:r>
        <w:t xml:space="preserve"> For purposes of the GEA and Connectivity Services contract reviews, the document version was draft 0.8 dated 6 June 2014</w:t>
      </w:r>
    </w:p>
  </w:footnote>
  <w:footnote w:id="2">
    <w:p w:rsidR="00C41E35" w:rsidRDefault="00C41E35">
      <w:pPr>
        <w:pStyle w:val="FootnoteText"/>
      </w:pPr>
      <w:r>
        <w:rPr>
          <w:rStyle w:val="FootnoteReference"/>
        </w:rPr>
        <w:footnoteRef/>
      </w:r>
      <w:r>
        <w:t xml:space="preserve"> CPCG/NWG (for copper and NGA products) and EPCG (for Ethernet products)</w:t>
      </w:r>
    </w:p>
  </w:footnote>
  <w:footnote w:id="3">
    <w:p w:rsidR="0038273E" w:rsidRDefault="0038273E">
      <w:pPr>
        <w:pStyle w:val="FootnoteText"/>
      </w:pPr>
      <w:r>
        <w:rPr>
          <w:rStyle w:val="FootnoteReference"/>
        </w:rPr>
        <w:footnoteRef/>
      </w:r>
      <w:r>
        <w:t xml:space="preserve"> Discussions convened as part of a “general review” of the contract will be subject to the timescales set out in the relevant contract. For example, for GEA</w:t>
      </w:r>
      <w:r w:rsidR="00AF7129">
        <w:t xml:space="preserve"> and Connectivity Services</w:t>
      </w:r>
      <w:r>
        <w:t xml:space="preserve">, a general review is requested in accordance with clause 17.3 of the Conditions. </w:t>
      </w:r>
    </w:p>
  </w:footnote>
  <w:footnote w:id="4">
    <w:p w:rsidR="004F6509" w:rsidRDefault="004F6509">
      <w:pPr>
        <w:pStyle w:val="FootnoteText"/>
      </w:pPr>
      <w:r>
        <w:rPr>
          <w:rStyle w:val="FootnoteReference"/>
        </w:rPr>
        <w:footnoteRef/>
      </w:r>
      <w:r>
        <w:t xml:space="preserve"> At the time of writing, for LLU and SLU only, </w:t>
      </w:r>
      <w:proofErr w:type="spellStart"/>
      <w:r>
        <w:t>supplementals</w:t>
      </w:r>
      <w:proofErr w:type="spellEnd"/>
      <w:r>
        <w:t xml:space="preserve"> will be issued to the relevant contracting party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CA1" w:rsidRPr="003D2CFE" w:rsidRDefault="003D2CFE" w:rsidP="008E1975">
    <w:pPr>
      <w:pStyle w:val="Header"/>
      <w:tabs>
        <w:tab w:val="clear" w:pos="4513"/>
        <w:tab w:val="clear" w:pos="9026"/>
        <w:tab w:val="left" w:pos="1356"/>
      </w:tabs>
      <w:jc w:val="left"/>
    </w:pPr>
    <w:r w:rsidRPr="003D2CFE">
      <w:t>Contracts Group – Best Practice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75B"/>
    <w:multiLevelType w:val="hybridMultilevel"/>
    <w:tmpl w:val="D45670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7E64A1"/>
    <w:multiLevelType w:val="hybridMultilevel"/>
    <w:tmpl w:val="E4E0EAC4"/>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4E51C0"/>
    <w:multiLevelType w:val="hybridMultilevel"/>
    <w:tmpl w:val="0406BDEA"/>
    <w:lvl w:ilvl="0" w:tplc="08090019">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nsid w:val="08A2671F"/>
    <w:multiLevelType w:val="hybridMultilevel"/>
    <w:tmpl w:val="0E9CC55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6040D5"/>
    <w:multiLevelType w:val="hybridMultilevel"/>
    <w:tmpl w:val="47DAF7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8D4FC4"/>
    <w:multiLevelType w:val="hybridMultilevel"/>
    <w:tmpl w:val="A29A59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07972EF"/>
    <w:multiLevelType w:val="hybridMultilevel"/>
    <w:tmpl w:val="118472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DA439E"/>
    <w:multiLevelType w:val="hybridMultilevel"/>
    <w:tmpl w:val="6C0A146C"/>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C6564A3"/>
    <w:multiLevelType w:val="hybridMultilevel"/>
    <w:tmpl w:val="263654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CFA38D4"/>
    <w:multiLevelType w:val="hybridMultilevel"/>
    <w:tmpl w:val="C37624CE"/>
    <w:lvl w:ilvl="0" w:tplc="D6E470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B90788"/>
    <w:multiLevelType w:val="hybridMultilevel"/>
    <w:tmpl w:val="0406BD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C10620"/>
    <w:multiLevelType w:val="hybridMultilevel"/>
    <w:tmpl w:val="0E9CC55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0A1C8D"/>
    <w:multiLevelType w:val="hybridMultilevel"/>
    <w:tmpl w:val="7FB496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1A6D7C"/>
    <w:multiLevelType w:val="hybridMultilevel"/>
    <w:tmpl w:val="0E9CC55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052655"/>
    <w:multiLevelType w:val="hybridMultilevel"/>
    <w:tmpl w:val="E4E0EAC4"/>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A70209E"/>
    <w:multiLevelType w:val="hybridMultilevel"/>
    <w:tmpl w:val="0E9CC5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8418E7"/>
    <w:multiLevelType w:val="hybridMultilevel"/>
    <w:tmpl w:val="018A78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EC13024"/>
    <w:multiLevelType w:val="hybridMultilevel"/>
    <w:tmpl w:val="0406BDEA"/>
    <w:lvl w:ilvl="0" w:tplc="08090019">
      <w:start w:val="1"/>
      <w:numFmt w:val="lowerLetter"/>
      <w:lvlText w:val="%1."/>
      <w:lvlJc w:val="left"/>
      <w:pPr>
        <w:ind w:left="2421" w:hanging="360"/>
      </w:pPr>
      <w:rPr>
        <w:rFonts w:hint="default"/>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8">
    <w:nsid w:val="4E9E4918"/>
    <w:multiLevelType w:val="hybridMultilevel"/>
    <w:tmpl w:val="673247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2E3E00"/>
    <w:multiLevelType w:val="hybridMultilevel"/>
    <w:tmpl w:val="FC5E3C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ABB738E"/>
    <w:multiLevelType w:val="hybridMultilevel"/>
    <w:tmpl w:val="E1C0306E"/>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61204CD"/>
    <w:multiLevelType w:val="hybridMultilevel"/>
    <w:tmpl w:val="A12A346A"/>
    <w:lvl w:ilvl="0" w:tplc="08090019">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66422CC9"/>
    <w:multiLevelType w:val="hybridMultilevel"/>
    <w:tmpl w:val="95DA68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92A40CB"/>
    <w:multiLevelType w:val="hybridMultilevel"/>
    <w:tmpl w:val="E4148C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F376448"/>
    <w:multiLevelType w:val="hybridMultilevel"/>
    <w:tmpl w:val="0F8852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1C9755A"/>
    <w:multiLevelType w:val="hybridMultilevel"/>
    <w:tmpl w:val="1158C070"/>
    <w:lvl w:ilvl="0" w:tplc="29AE5352">
      <w:start w:val="1"/>
      <w:numFmt w:val="lowerRoman"/>
      <w:lvlText w:val="%1."/>
      <w:lvlJc w:val="left"/>
      <w:pPr>
        <w:ind w:left="720" w:hanging="360"/>
      </w:pPr>
      <w:rPr>
        <w:rFonts w:hint="default"/>
      </w:rPr>
    </w:lvl>
    <w:lvl w:ilvl="1" w:tplc="830CE43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201CDE"/>
    <w:multiLevelType w:val="hybridMultilevel"/>
    <w:tmpl w:val="018A78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53C48CB"/>
    <w:multiLevelType w:val="hybridMultilevel"/>
    <w:tmpl w:val="0E9CC55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A0D0818"/>
    <w:multiLevelType w:val="hybridMultilevel"/>
    <w:tmpl w:val="56B86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7"/>
  </w:num>
  <w:num w:numId="3">
    <w:abstractNumId w:val="21"/>
  </w:num>
  <w:num w:numId="4">
    <w:abstractNumId w:val="15"/>
  </w:num>
  <w:num w:numId="5">
    <w:abstractNumId w:val="12"/>
  </w:num>
  <w:num w:numId="6">
    <w:abstractNumId w:val="6"/>
  </w:num>
  <w:num w:numId="7">
    <w:abstractNumId w:val="18"/>
  </w:num>
  <w:num w:numId="8">
    <w:abstractNumId w:val="19"/>
  </w:num>
  <w:num w:numId="9">
    <w:abstractNumId w:val="23"/>
  </w:num>
  <w:num w:numId="10">
    <w:abstractNumId w:val="24"/>
  </w:num>
  <w:num w:numId="11">
    <w:abstractNumId w:val="8"/>
  </w:num>
  <w:num w:numId="12">
    <w:abstractNumId w:val="22"/>
  </w:num>
  <w:num w:numId="13">
    <w:abstractNumId w:val="16"/>
  </w:num>
  <w:num w:numId="14">
    <w:abstractNumId w:val="4"/>
  </w:num>
  <w:num w:numId="15">
    <w:abstractNumId w:val="28"/>
  </w:num>
  <w:num w:numId="16">
    <w:abstractNumId w:val="0"/>
  </w:num>
  <w:num w:numId="17">
    <w:abstractNumId w:val="25"/>
  </w:num>
  <w:num w:numId="18">
    <w:abstractNumId w:val="9"/>
  </w:num>
  <w:num w:numId="19">
    <w:abstractNumId w:val="7"/>
  </w:num>
  <w:num w:numId="20">
    <w:abstractNumId w:val="20"/>
  </w:num>
  <w:num w:numId="21">
    <w:abstractNumId w:val="27"/>
  </w:num>
  <w:num w:numId="22">
    <w:abstractNumId w:val="26"/>
  </w:num>
  <w:num w:numId="23">
    <w:abstractNumId w:val="1"/>
  </w:num>
  <w:num w:numId="24">
    <w:abstractNumId w:val="11"/>
  </w:num>
  <w:num w:numId="25">
    <w:abstractNumId w:val="3"/>
  </w:num>
  <w:num w:numId="26">
    <w:abstractNumId w:val="13"/>
  </w:num>
  <w:num w:numId="27">
    <w:abstractNumId w:val="10"/>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A1"/>
    <w:rsid w:val="00015BC0"/>
    <w:rsid w:val="00031106"/>
    <w:rsid w:val="0006485B"/>
    <w:rsid w:val="00127290"/>
    <w:rsid w:val="001302D6"/>
    <w:rsid w:val="001426EA"/>
    <w:rsid w:val="001E2EE8"/>
    <w:rsid w:val="00214F85"/>
    <w:rsid w:val="002248BD"/>
    <w:rsid w:val="0029307D"/>
    <w:rsid w:val="003052F2"/>
    <w:rsid w:val="0031432F"/>
    <w:rsid w:val="00350F55"/>
    <w:rsid w:val="00351B3A"/>
    <w:rsid w:val="003656D0"/>
    <w:rsid w:val="003664D6"/>
    <w:rsid w:val="0038273E"/>
    <w:rsid w:val="00383F43"/>
    <w:rsid w:val="00390EB2"/>
    <w:rsid w:val="003D2CFE"/>
    <w:rsid w:val="003D4AA5"/>
    <w:rsid w:val="003D50CD"/>
    <w:rsid w:val="003F1CCF"/>
    <w:rsid w:val="00411F14"/>
    <w:rsid w:val="004511A3"/>
    <w:rsid w:val="00480D56"/>
    <w:rsid w:val="0048108D"/>
    <w:rsid w:val="00483A7C"/>
    <w:rsid w:val="004B0BDA"/>
    <w:rsid w:val="004E1F12"/>
    <w:rsid w:val="004F6509"/>
    <w:rsid w:val="00532273"/>
    <w:rsid w:val="00541C6A"/>
    <w:rsid w:val="00553454"/>
    <w:rsid w:val="00553D20"/>
    <w:rsid w:val="00573565"/>
    <w:rsid w:val="00584196"/>
    <w:rsid w:val="005A667D"/>
    <w:rsid w:val="005B3D30"/>
    <w:rsid w:val="005F2A84"/>
    <w:rsid w:val="00671333"/>
    <w:rsid w:val="006C2373"/>
    <w:rsid w:val="007034ED"/>
    <w:rsid w:val="007101C1"/>
    <w:rsid w:val="007874B8"/>
    <w:rsid w:val="007901CC"/>
    <w:rsid w:val="007C24F6"/>
    <w:rsid w:val="00817F0E"/>
    <w:rsid w:val="0085155F"/>
    <w:rsid w:val="008E1975"/>
    <w:rsid w:val="00931F26"/>
    <w:rsid w:val="00952E6B"/>
    <w:rsid w:val="00977054"/>
    <w:rsid w:val="009A4975"/>
    <w:rsid w:val="00A16AB5"/>
    <w:rsid w:val="00A42303"/>
    <w:rsid w:val="00A427BB"/>
    <w:rsid w:val="00A97443"/>
    <w:rsid w:val="00AC4ACF"/>
    <w:rsid w:val="00AF7129"/>
    <w:rsid w:val="00B0239D"/>
    <w:rsid w:val="00B209C2"/>
    <w:rsid w:val="00B27AC4"/>
    <w:rsid w:val="00B55FC0"/>
    <w:rsid w:val="00B81509"/>
    <w:rsid w:val="00B96901"/>
    <w:rsid w:val="00BD236F"/>
    <w:rsid w:val="00C20535"/>
    <w:rsid w:val="00C41E35"/>
    <w:rsid w:val="00C41F56"/>
    <w:rsid w:val="00C61047"/>
    <w:rsid w:val="00C61A2A"/>
    <w:rsid w:val="00C6656A"/>
    <w:rsid w:val="00C86BD7"/>
    <w:rsid w:val="00C92C53"/>
    <w:rsid w:val="00D040E8"/>
    <w:rsid w:val="00D141F0"/>
    <w:rsid w:val="00D16010"/>
    <w:rsid w:val="00D3626B"/>
    <w:rsid w:val="00D55EEA"/>
    <w:rsid w:val="00D6749E"/>
    <w:rsid w:val="00D8535F"/>
    <w:rsid w:val="00DF5E56"/>
    <w:rsid w:val="00E04F90"/>
    <w:rsid w:val="00E10A08"/>
    <w:rsid w:val="00E455C9"/>
    <w:rsid w:val="00E462BD"/>
    <w:rsid w:val="00E645DC"/>
    <w:rsid w:val="00E64A24"/>
    <w:rsid w:val="00E74EEE"/>
    <w:rsid w:val="00E81686"/>
    <w:rsid w:val="00EC008F"/>
    <w:rsid w:val="00EC7F6E"/>
    <w:rsid w:val="00F252AD"/>
    <w:rsid w:val="00F34503"/>
    <w:rsid w:val="00F37CA1"/>
    <w:rsid w:val="00F41247"/>
    <w:rsid w:val="00F65652"/>
    <w:rsid w:val="00FA675C"/>
    <w:rsid w:val="00FE7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67D"/>
    <w:pPr>
      <w:spacing w:before="120" w:after="12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CA1"/>
    <w:pPr>
      <w:tabs>
        <w:tab w:val="center" w:pos="4513"/>
        <w:tab w:val="right" w:pos="9026"/>
      </w:tabs>
      <w:spacing w:after="0"/>
    </w:pPr>
  </w:style>
  <w:style w:type="character" w:customStyle="1" w:styleId="HeaderChar">
    <w:name w:val="Header Char"/>
    <w:basedOn w:val="DefaultParagraphFont"/>
    <w:link w:val="Header"/>
    <w:uiPriority w:val="99"/>
    <w:rsid w:val="00F37CA1"/>
  </w:style>
  <w:style w:type="paragraph" w:styleId="Footer">
    <w:name w:val="footer"/>
    <w:basedOn w:val="Normal"/>
    <w:link w:val="FooterChar"/>
    <w:uiPriority w:val="99"/>
    <w:unhideWhenUsed/>
    <w:rsid w:val="00F37CA1"/>
    <w:pPr>
      <w:tabs>
        <w:tab w:val="center" w:pos="4513"/>
        <w:tab w:val="right" w:pos="9026"/>
      </w:tabs>
      <w:spacing w:after="0"/>
    </w:pPr>
  </w:style>
  <w:style w:type="character" w:customStyle="1" w:styleId="FooterChar">
    <w:name w:val="Footer Char"/>
    <w:basedOn w:val="DefaultParagraphFont"/>
    <w:link w:val="Footer"/>
    <w:uiPriority w:val="99"/>
    <w:rsid w:val="00F37CA1"/>
  </w:style>
  <w:style w:type="paragraph" w:styleId="ListParagraph">
    <w:name w:val="List Paragraph"/>
    <w:basedOn w:val="Normal"/>
    <w:uiPriority w:val="34"/>
    <w:qFormat/>
    <w:rsid w:val="00F37CA1"/>
    <w:pPr>
      <w:ind w:left="720"/>
      <w:contextualSpacing/>
    </w:pPr>
  </w:style>
  <w:style w:type="paragraph" w:styleId="FootnoteText">
    <w:name w:val="footnote text"/>
    <w:basedOn w:val="Normal"/>
    <w:link w:val="FootnoteTextChar"/>
    <w:uiPriority w:val="99"/>
    <w:semiHidden/>
    <w:unhideWhenUsed/>
    <w:rsid w:val="001E2EE8"/>
    <w:pPr>
      <w:spacing w:after="0"/>
    </w:pPr>
    <w:rPr>
      <w:sz w:val="20"/>
      <w:szCs w:val="20"/>
    </w:rPr>
  </w:style>
  <w:style w:type="character" w:customStyle="1" w:styleId="FootnoteTextChar">
    <w:name w:val="Footnote Text Char"/>
    <w:basedOn w:val="DefaultParagraphFont"/>
    <w:link w:val="FootnoteText"/>
    <w:uiPriority w:val="99"/>
    <w:semiHidden/>
    <w:rsid w:val="001E2EE8"/>
    <w:rPr>
      <w:sz w:val="20"/>
      <w:szCs w:val="20"/>
    </w:rPr>
  </w:style>
  <w:style w:type="character" w:styleId="FootnoteReference">
    <w:name w:val="footnote reference"/>
    <w:basedOn w:val="DefaultParagraphFont"/>
    <w:uiPriority w:val="99"/>
    <w:semiHidden/>
    <w:unhideWhenUsed/>
    <w:rsid w:val="001E2EE8"/>
    <w:rPr>
      <w:vertAlign w:val="superscript"/>
    </w:rPr>
  </w:style>
  <w:style w:type="paragraph" w:styleId="BalloonText">
    <w:name w:val="Balloon Text"/>
    <w:basedOn w:val="Normal"/>
    <w:link w:val="BalloonTextChar"/>
    <w:uiPriority w:val="99"/>
    <w:semiHidden/>
    <w:unhideWhenUsed/>
    <w:rsid w:val="009A49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975"/>
    <w:rPr>
      <w:rFonts w:ascii="Tahoma" w:hAnsi="Tahoma" w:cs="Tahoma"/>
      <w:sz w:val="16"/>
      <w:szCs w:val="16"/>
    </w:rPr>
  </w:style>
  <w:style w:type="character" w:styleId="CommentReference">
    <w:name w:val="annotation reference"/>
    <w:basedOn w:val="DefaultParagraphFont"/>
    <w:uiPriority w:val="99"/>
    <w:semiHidden/>
    <w:unhideWhenUsed/>
    <w:rsid w:val="00553454"/>
    <w:rPr>
      <w:sz w:val="16"/>
      <w:szCs w:val="16"/>
    </w:rPr>
  </w:style>
  <w:style w:type="paragraph" w:styleId="CommentText">
    <w:name w:val="annotation text"/>
    <w:basedOn w:val="Normal"/>
    <w:link w:val="CommentTextChar"/>
    <w:uiPriority w:val="99"/>
    <w:semiHidden/>
    <w:unhideWhenUsed/>
    <w:rsid w:val="00553454"/>
    <w:rPr>
      <w:sz w:val="20"/>
      <w:szCs w:val="20"/>
    </w:rPr>
  </w:style>
  <w:style w:type="character" w:customStyle="1" w:styleId="CommentTextChar">
    <w:name w:val="Comment Text Char"/>
    <w:basedOn w:val="DefaultParagraphFont"/>
    <w:link w:val="CommentText"/>
    <w:uiPriority w:val="99"/>
    <w:semiHidden/>
    <w:rsid w:val="00553454"/>
    <w:rPr>
      <w:sz w:val="20"/>
      <w:szCs w:val="20"/>
    </w:rPr>
  </w:style>
  <w:style w:type="paragraph" w:styleId="CommentSubject">
    <w:name w:val="annotation subject"/>
    <w:basedOn w:val="CommentText"/>
    <w:next w:val="CommentText"/>
    <w:link w:val="CommentSubjectChar"/>
    <w:uiPriority w:val="99"/>
    <w:semiHidden/>
    <w:unhideWhenUsed/>
    <w:rsid w:val="00553454"/>
    <w:rPr>
      <w:b/>
      <w:bCs/>
    </w:rPr>
  </w:style>
  <w:style w:type="character" w:customStyle="1" w:styleId="CommentSubjectChar">
    <w:name w:val="Comment Subject Char"/>
    <w:basedOn w:val="CommentTextChar"/>
    <w:link w:val="CommentSubject"/>
    <w:uiPriority w:val="99"/>
    <w:semiHidden/>
    <w:rsid w:val="00553454"/>
    <w:rPr>
      <w:b/>
      <w:bCs/>
      <w:sz w:val="20"/>
      <w:szCs w:val="20"/>
    </w:rPr>
  </w:style>
  <w:style w:type="paragraph" w:styleId="NoSpacing">
    <w:name w:val="No Spacing"/>
    <w:uiPriority w:val="1"/>
    <w:qFormat/>
    <w:rsid w:val="00C6656A"/>
    <w:pPr>
      <w:spacing w:after="0" w:line="240" w:lineRule="auto"/>
    </w:pPr>
    <w:rPr>
      <w:rFonts w:asciiTheme="minorHAnsi" w:eastAsiaTheme="minorEastAsia" w:hAnsiTheme="minorHAnsi"/>
      <w:sz w:val="22"/>
      <w:lang w:eastAsia="en-GB"/>
    </w:rPr>
  </w:style>
  <w:style w:type="table" w:styleId="TableGrid">
    <w:name w:val="Table Grid"/>
    <w:basedOn w:val="TableNormal"/>
    <w:rsid w:val="00C6656A"/>
    <w:pPr>
      <w:spacing w:after="0" w:line="240" w:lineRule="auto"/>
    </w:pPr>
    <w:rPr>
      <w:rFonts w:asciiTheme="minorHAnsi" w:eastAsiaTheme="minorEastAsia" w:hAnsiTheme="minorHAnsi"/>
      <w:sz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Cstandard">
    <w:name w:val="THC standard"/>
    <w:basedOn w:val="Normal"/>
    <w:link w:val="THCstandardChar"/>
    <w:qFormat/>
    <w:rsid w:val="00C6656A"/>
    <w:pPr>
      <w:spacing w:before="80" w:after="80" w:line="288" w:lineRule="auto"/>
    </w:pPr>
    <w:rPr>
      <w:rFonts w:ascii="Microsoft Sans Serif" w:eastAsia="Times New Roman" w:hAnsi="Microsoft Sans Serif" w:cs="Times New Roman"/>
      <w:sz w:val="22"/>
      <w:szCs w:val="20"/>
      <w:lang w:eastAsia="en-GB"/>
    </w:rPr>
  </w:style>
  <w:style w:type="character" w:customStyle="1" w:styleId="THCstandardChar">
    <w:name w:val="THC standard Char"/>
    <w:link w:val="THCstandard"/>
    <w:rsid w:val="00C6656A"/>
    <w:rPr>
      <w:rFonts w:ascii="Microsoft Sans Serif" w:eastAsia="Times New Roman" w:hAnsi="Microsoft Sans Serif" w:cs="Times New Roman"/>
      <w:sz w:val="22"/>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67D"/>
    <w:pPr>
      <w:spacing w:before="120" w:after="12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CA1"/>
    <w:pPr>
      <w:tabs>
        <w:tab w:val="center" w:pos="4513"/>
        <w:tab w:val="right" w:pos="9026"/>
      </w:tabs>
      <w:spacing w:after="0"/>
    </w:pPr>
  </w:style>
  <w:style w:type="character" w:customStyle="1" w:styleId="HeaderChar">
    <w:name w:val="Header Char"/>
    <w:basedOn w:val="DefaultParagraphFont"/>
    <w:link w:val="Header"/>
    <w:uiPriority w:val="99"/>
    <w:rsid w:val="00F37CA1"/>
  </w:style>
  <w:style w:type="paragraph" w:styleId="Footer">
    <w:name w:val="footer"/>
    <w:basedOn w:val="Normal"/>
    <w:link w:val="FooterChar"/>
    <w:uiPriority w:val="99"/>
    <w:unhideWhenUsed/>
    <w:rsid w:val="00F37CA1"/>
    <w:pPr>
      <w:tabs>
        <w:tab w:val="center" w:pos="4513"/>
        <w:tab w:val="right" w:pos="9026"/>
      </w:tabs>
      <w:spacing w:after="0"/>
    </w:pPr>
  </w:style>
  <w:style w:type="character" w:customStyle="1" w:styleId="FooterChar">
    <w:name w:val="Footer Char"/>
    <w:basedOn w:val="DefaultParagraphFont"/>
    <w:link w:val="Footer"/>
    <w:uiPriority w:val="99"/>
    <w:rsid w:val="00F37CA1"/>
  </w:style>
  <w:style w:type="paragraph" w:styleId="ListParagraph">
    <w:name w:val="List Paragraph"/>
    <w:basedOn w:val="Normal"/>
    <w:uiPriority w:val="34"/>
    <w:qFormat/>
    <w:rsid w:val="00F37CA1"/>
    <w:pPr>
      <w:ind w:left="720"/>
      <w:contextualSpacing/>
    </w:pPr>
  </w:style>
  <w:style w:type="paragraph" w:styleId="FootnoteText">
    <w:name w:val="footnote text"/>
    <w:basedOn w:val="Normal"/>
    <w:link w:val="FootnoteTextChar"/>
    <w:uiPriority w:val="99"/>
    <w:semiHidden/>
    <w:unhideWhenUsed/>
    <w:rsid w:val="001E2EE8"/>
    <w:pPr>
      <w:spacing w:after="0"/>
    </w:pPr>
    <w:rPr>
      <w:sz w:val="20"/>
      <w:szCs w:val="20"/>
    </w:rPr>
  </w:style>
  <w:style w:type="character" w:customStyle="1" w:styleId="FootnoteTextChar">
    <w:name w:val="Footnote Text Char"/>
    <w:basedOn w:val="DefaultParagraphFont"/>
    <w:link w:val="FootnoteText"/>
    <w:uiPriority w:val="99"/>
    <w:semiHidden/>
    <w:rsid w:val="001E2EE8"/>
    <w:rPr>
      <w:sz w:val="20"/>
      <w:szCs w:val="20"/>
    </w:rPr>
  </w:style>
  <w:style w:type="character" w:styleId="FootnoteReference">
    <w:name w:val="footnote reference"/>
    <w:basedOn w:val="DefaultParagraphFont"/>
    <w:uiPriority w:val="99"/>
    <w:semiHidden/>
    <w:unhideWhenUsed/>
    <w:rsid w:val="001E2EE8"/>
    <w:rPr>
      <w:vertAlign w:val="superscript"/>
    </w:rPr>
  </w:style>
  <w:style w:type="paragraph" w:styleId="BalloonText">
    <w:name w:val="Balloon Text"/>
    <w:basedOn w:val="Normal"/>
    <w:link w:val="BalloonTextChar"/>
    <w:uiPriority w:val="99"/>
    <w:semiHidden/>
    <w:unhideWhenUsed/>
    <w:rsid w:val="009A49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975"/>
    <w:rPr>
      <w:rFonts w:ascii="Tahoma" w:hAnsi="Tahoma" w:cs="Tahoma"/>
      <w:sz w:val="16"/>
      <w:szCs w:val="16"/>
    </w:rPr>
  </w:style>
  <w:style w:type="character" w:styleId="CommentReference">
    <w:name w:val="annotation reference"/>
    <w:basedOn w:val="DefaultParagraphFont"/>
    <w:uiPriority w:val="99"/>
    <w:semiHidden/>
    <w:unhideWhenUsed/>
    <w:rsid w:val="00553454"/>
    <w:rPr>
      <w:sz w:val="16"/>
      <w:szCs w:val="16"/>
    </w:rPr>
  </w:style>
  <w:style w:type="paragraph" w:styleId="CommentText">
    <w:name w:val="annotation text"/>
    <w:basedOn w:val="Normal"/>
    <w:link w:val="CommentTextChar"/>
    <w:uiPriority w:val="99"/>
    <w:semiHidden/>
    <w:unhideWhenUsed/>
    <w:rsid w:val="00553454"/>
    <w:rPr>
      <w:sz w:val="20"/>
      <w:szCs w:val="20"/>
    </w:rPr>
  </w:style>
  <w:style w:type="character" w:customStyle="1" w:styleId="CommentTextChar">
    <w:name w:val="Comment Text Char"/>
    <w:basedOn w:val="DefaultParagraphFont"/>
    <w:link w:val="CommentText"/>
    <w:uiPriority w:val="99"/>
    <w:semiHidden/>
    <w:rsid w:val="00553454"/>
    <w:rPr>
      <w:sz w:val="20"/>
      <w:szCs w:val="20"/>
    </w:rPr>
  </w:style>
  <w:style w:type="paragraph" w:styleId="CommentSubject">
    <w:name w:val="annotation subject"/>
    <w:basedOn w:val="CommentText"/>
    <w:next w:val="CommentText"/>
    <w:link w:val="CommentSubjectChar"/>
    <w:uiPriority w:val="99"/>
    <w:semiHidden/>
    <w:unhideWhenUsed/>
    <w:rsid w:val="00553454"/>
    <w:rPr>
      <w:b/>
      <w:bCs/>
    </w:rPr>
  </w:style>
  <w:style w:type="character" w:customStyle="1" w:styleId="CommentSubjectChar">
    <w:name w:val="Comment Subject Char"/>
    <w:basedOn w:val="CommentTextChar"/>
    <w:link w:val="CommentSubject"/>
    <w:uiPriority w:val="99"/>
    <w:semiHidden/>
    <w:rsid w:val="00553454"/>
    <w:rPr>
      <w:b/>
      <w:bCs/>
      <w:sz w:val="20"/>
      <w:szCs w:val="20"/>
    </w:rPr>
  </w:style>
  <w:style w:type="paragraph" w:styleId="NoSpacing">
    <w:name w:val="No Spacing"/>
    <w:uiPriority w:val="1"/>
    <w:qFormat/>
    <w:rsid w:val="00C6656A"/>
    <w:pPr>
      <w:spacing w:after="0" w:line="240" w:lineRule="auto"/>
    </w:pPr>
    <w:rPr>
      <w:rFonts w:asciiTheme="minorHAnsi" w:eastAsiaTheme="minorEastAsia" w:hAnsiTheme="minorHAnsi"/>
      <w:sz w:val="22"/>
      <w:lang w:eastAsia="en-GB"/>
    </w:rPr>
  </w:style>
  <w:style w:type="table" w:styleId="TableGrid">
    <w:name w:val="Table Grid"/>
    <w:basedOn w:val="TableNormal"/>
    <w:rsid w:val="00C6656A"/>
    <w:pPr>
      <w:spacing w:after="0" w:line="240" w:lineRule="auto"/>
    </w:pPr>
    <w:rPr>
      <w:rFonts w:asciiTheme="minorHAnsi" w:eastAsiaTheme="minorEastAsia" w:hAnsiTheme="minorHAnsi"/>
      <w:sz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Cstandard">
    <w:name w:val="THC standard"/>
    <w:basedOn w:val="Normal"/>
    <w:link w:val="THCstandardChar"/>
    <w:qFormat/>
    <w:rsid w:val="00C6656A"/>
    <w:pPr>
      <w:spacing w:before="80" w:after="80" w:line="288" w:lineRule="auto"/>
    </w:pPr>
    <w:rPr>
      <w:rFonts w:ascii="Microsoft Sans Serif" w:eastAsia="Times New Roman" w:hAnsi="Microsoft Sans Serif" w:cs="Times New Roman"/>
      <w:sz w:val="22"/>
      <w:szCs w:val="20"/>
      <w:lang w:eastAsia="en-GB"/>
    </w:rPr>
  </w:style>
  <w:style w:type="character" w:customStyle="1" w:styleId="THCstandardChar">
    <w:name w:val="THC standard Char"/>
    <w:link w:val="THCstandard"/>
    <w:rsid w:val="00C6656A"/>
    <w:rPr>
      <w:rFonts w:ascii="Microsoft Sans Serif" w:eastAsia="Times New Roman" w:hAnsi="Microsoft Sans Serif"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Excel_97-2003_Work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ED32E69-C0C6-4545-8487-4C8BCA13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2014-12-05T15:39:00Z</dcterms:created>
  <dcterms:modified xsi:type="dcterms:W3CDTF">2014-12-05T15:39:00Z</dcterms:modified>
</cp:coreProperties>
</file>