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152" w:firstLine="0"/>
        <w:spacing w:before="0" w:after="0" w:line="264" w:lineRule="auto"/>
        <w:jc w:val="left"/>
        <w:tabs>
          <w:tab w:val="left" w:leader="none" w:pos="1800"/>
        </w:tabs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66.	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(Currently Amended) A method for preparing an aqueous self-</w:t>
      </w:r>
      <w:r>
        <w:rPr>
          <w:b w:val="true"/>
          <w:color w:val="#000000"/>
          <w:sz w:val="19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72" w:after="0" w:line="240" w:lineRule="auto"/>
        <w:jc w:val="left"/>
        <w:rPr>
          <w:color w:val="#000000"/>
          <w:sz w:val="19"/>
          <w:lang w:val="en-US"/>
          <w:spacing w:val="3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"/>
          <w:w w:val="100"/>
          <w:strike w:val="false"/>
          <w:u w:val="single"/>
          <w:vertAlign w:val="baseline"/>
          <w:rFonts w:ascii="Times New Roman" w:hAnsi="Times New Roman"/>
        </w:rPr>
        <w:t xml:space="preserve">buffering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 formulation of a pharmaceutical antibody, </w:t>
      </w: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comprising</w:t>
      </w:r>
    </w:p>
    <w:p>
      <w:pPr>
        <w:ind w:right="0" w:left="0" w:firstLine="1152"/>
        <w:spacing w:before="180" w:after="0" w:line="360" w:lineRule="auto"/>
        <w:jc w:val="left"/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using a </w:t>
      </w:r>
      <w:r>
        <w:rPr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technique selected from the </w:t>
      </w:r>
      <w:r>
        <w:rPr>
          <w:b w:val="true"/>
          <w:color w:val="#000000"/>
          <w:sz w:val="19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group consisting of dialysis, ion exchange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chromatography, and size exclusion chromatography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to remove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residual buffer from a first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solution[[,]]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comprising said pharmaceutical antibody, a buffering agent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other 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than said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pharmaceutical antibody, and water, until said first solution is substantially free of any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buffering agent other than said pharmaceutical antibody, thereby generating a second solution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that (i) comprises said pharmaceutical antibody and water, and (ii) is substantially free of any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buffering agent other than said pharmaceutical antibody, wherein said pharmaceutical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antibody is adalirnutnab or an antibody to OPGL.</w:t>
      </w:r>
    </w:p>
    <w:sectPr>
      <w:pgSz w:w="12240" w:h="15840" w:orient="portrait"/>
      <w:type w:val="nextPage"/>
      <w:textDirection w:val="lrTb"/>
      <w:pgMar w:bottom="10726" w:top="1424" w:right="3180" w:left="144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