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AE5" w:rsidRPr="00124A3E" w:rsidRDefault="004E4010" w:rsidP="00124A3E">
      <w:pPr>
        <w:pStyle w:val="Heading1"/>
      </w:pPr>
      <w:r w:rsidRPr="00124A3E">
        <w:t xml:space="preserve">Agency </w:t>
      </w:r>
      <w:r w:rsidR="00124A3E">
        <w:t xml:space="preserve">ERA </w:t>
      </w:r>
      <w:r w:rsidRPr="00124A3E">
        <w:t>Adoption Report</w:t>
      </w:r>
    </w:p>
    <w:p w:rsidR="004E4010" w:rsidRDefault="004E4010"/>
    <w:p w:rsidR="004E4010" w:rsidRDefault="00045280" w:rsidP="00124A3E">
      <w:pPr>
        <w:pStyle w:val="IntenseQuote"/>
      </w:pPr>
      <w:r>
        <w:t xml:space="preserve">Adoption </w:t>
      </w:r>
      <w:r w:rsidR="004E4010">
        <w:t>Goal</w:t>
      </w:r>
    </w:p>
    <w:p w:rsidR="004E4010" w:rsidRDefault="00220FFD" w:rsidP="004E4010">
      <w:pPr>
        <w:ind w:left="1440"/>
      </w:pPr>
      <w:r>
        <w:t>Accord</w:t>
      </w:r>
      <w:r w:rsidR="00B5780C">
        <w:t>ing to NARA Strategic Goal 3, NARA</w:t>
      </w:r>
      <w:r w:rsidRPr="00220FFD">
        <w:t xml:space="preserve"> will address the challenges of electronic records in Government to ensure success in fulfilling NARA’s mission in the digital</w:t>
      </w:r>
      <w:r>
        <w:t xml:space="preserve"> era.  Central to achieving this goal is the </w:t>
      </w:r>
      <w:r w:rsidR="004E4010" w:rsidRPr="004E4010">
        <w:t>acceptance and use of ERA by Federal agencies</w:t>
      </w:r>
      <w:r>
        <w:t xml:space="preserve">.  </w:t>
      </w:r>
      <w:r w:rsidR="004E4010" w:rsidRPr="004E4010">
        <w:t>Th</w:t>
      </w:r>
      <w:r w:rsidR="004D7442">
        <w:t xml:space="preserve">e </w:t>
      </w:r>
      <w:r w:rsidR="004E4010" w:rsidRPr="004E4010">
        <w:t>increased use of ERA to schedule, ingest, process, and store electronic records from Federal agencies, Congress, and the Executive Office of the President</w:t>
      </w:r>
      <w:r w:rsidR="00196EB8">
        <w:t xml:space="preserve"> will result in better management of Federal records, in particular the preservation of permanent electronic records</w:t>
      </w:r>
      <w:r w:rsidR="004E4010" w:rsidRPr="004E4010">
        <w:t>.</w:t>
      </w:r>
    </w:p>
    <w:p w:rsidR="004E4010" w:rsidRDefault="00045280" w:rsidP="00124A3E">
      <w:pPr>
        <w:pStyle w:val="IntenseQuote"/>
      </w:pPr>
      <w:r>
        <w:t xml:space="preserve">Adoption </w:t>
      </w:r>
      <w:r w:rsidR="004E4010">
        <w:t>Plan</w:t>
      </w:r>
    </w:p>
    <w:p w:rsidR="00F82C40" w:rsidRDefault="00F82C40" w:rsidP="004E4010">
      <w:pPr>
        <w:ind w:left="1440"/>
      </w:pPr>
      <w:r>
        <w:t>With the concurrence of OMB, NARA established the following targets in the fall of 2009:</w:t>
      </w:r>
    </w:p>
    <w:p w:rsidR="006C38AE" w:rsidRDefault="00F82C40" w:rsidP="004E4010">
      <w:pPr>
        <w:ind w:left="1440"/>
      </w:pPr>
      <w:r>
        <w:t xml:space="preserve"> </w:t>
      </w:r>
    </w:p>
    <w:p w:rsidR="006C38AE" w:rsidRDefault="004E4010" w:rsidP="006C38AE">
      <w:pPr>
        <w:pStyle w:val="ListParagraph"/>
        <w:numPr>
          <w:ilvl w:val="0"/>
          <w:numId w:val="1"/>
        </w:numPr>
      </w:pPr>
      <w:r w:rsidRPr="004E4010">
        <w:t xml:space="preserve">ERA </w:t>
      </w:r>
      <w:r w:rsidR="00196EB8">
        <w:t xml:space="preserve">will be the preferred method </w:t>
      </w:r>
      <w:r w:rsidR="00FE558D" w:rsidRPr="00196EB8">
        <w:t>for scheduling records in any media regardless of classification and transferring permanent records to NARA</w:t>
      </w:r>
      <w:r w:rsidR="00196EB8">
        <w:t xml:space="preserve"> </w:t>
      </w:r>
      <w:r w:rsidRPr="004E4010">
        <w:t xml:space="preserve">by July 2011 and will be </w:t>
      </w:r>
      <w:r w:rsidR="00196EB8">
        <w:t xml:space="preserve">the </w:t>
      </w:r>
      <w:r w:rsidRPr="004E4010">
        <w:t xml:space="preserve">mandatory </w:t>
      </w:r>
      <w:r w:rsidR="00196EB8">
        <w:t xml:space="preserve">method </w:t>
      </w:r>
      <w:r w:rsidRPr="004E4010">
        <w:t xml:space="preserve">for agencies in 2012.  </w:t>
      </w:r>
    </w:p>
    <w:p w:rsidR="004E4010" w:rsidRDefault="004E4010" w:rsidP="006C38AE">
      <w:pPr>
        <w:pStyle w:val="ListParagraph"/>
        <w:numPr>
          <w:ilvl w:val="0"/>
          <w:numId w:val="1"/>
        </w:numPr>
      </w:pPr>
      <w:r w:rsidRPr="004E4010">
        <w:t xml:space="preserve">NARA current </w:t>
      </w:r>
      <w:r w:rsidR="00196EB8">
        <w:t xml:space="preserve">strategy for achieving full deployment of ERA </w:t>
      </w:r>
      <w:r w:rsidRPr="004E4010">
        <w:t xml:space="preserve">is to add the 30 </w:t>
      </w:r>
      <w:r w:rsidR="00196EB8">
        <w:t xml:space="preserve">member agencies of the </w:t>
      </w:r>
      <w:r w:rsidRPr="004E4010">
        <w:t xml:space="preserve">CIO Council to ERA during the period from March 2011 through November </w:t>
      </w:r>
      <w:r w:rsidR="006C38AE">
        <w:t xml:space="preserve">2011 (ERA Adoption Phase 1) and </w:t>
      </w:r>
      <w:r w:rsidRPr="004E4010">
        <w:t>the rest of the agencies from July 2011 through September 201</w:t>
      </w:r>
      <w:r w:rsidR="006C38AE">
        <w:t>2</w:t>
      </w:r>
      <w:r w:rsidRPr="004E4010">
        <w:t xml:space="preserve"> (ERA Adoption Phase 2).  </w:t>
      </w:r>
    </w:p>
    <w:p w:rsidR="00F60609" w:rsidRDefault="00F60609" w:rsidP="00124A3E">
      <w:pPr>
        <w:pStyle w:val="IntenseQuote"/>
      </w:pPr>
      <w:r>
        <w:t>Strategy</w:t>
      </w:r>
    </w:p>
    <w:p w:rsidR="00F60609" w:rsidRDefault="00F60609" w:rsidP="00F60609">
      <w:pPr>
        <w:ind w:left="1440"/>
      </w:pPr>
      <w:r>
        <w:t>ERA Adoption Phase 1</w:t>
      </w:r>
    </w:p>
    <w:p w:rsidR="00F60609" w:rsidRDefault="00F60609" w:rsidP="00F60609">
      <w:pPr>
        <w:ind w:left="1440"/>
      </w:pPr>
    </w:p>
    <w:p w:rsidR="00F60609" w:rsidRDefault="00F60609" w:rsidP="00141C48">
      <w:pPr>
        <w:ind w:left="1440"/>
      </w:pPr>
      <w:r>
        <w:t>NARA assigned a start month to each of 30 CIO Council Agencies</w:t>
      </w:r>
      <w:r w:rsidR="00681B44">
        <w:t>:</w:t>
      </w:r>
      <w:r>
        <w:t xml:space="preserve"> 25 agencies were assigned a specific month</w:t>
      </w:r>
      <w:r w:rsidR="00F82C40">
        <w:t xml:space="preserve"> from March 2011 until November 2011and</w:t>
      </w:r>
      <w:r>
        <w:t xml:space="preserve"> five could start at anytime </w:t>
      </w:r>
      <w:r w:rsidR="00681B44">
        <w:t xml:space="preserve">during the time period </w:t>
      </w:r>
      <w:r>
        <w:t xml:space="preserve">because they had participated in earlier ERA pilots.  NARA sent letters to the 30 agencies on November 15, 2010.  The ERA User Adoption Coordinator contacted the agencies separately and </w:t>
      </w:r>
      <w:r w:rsidR="00681B44">
        <w:t xml:space="preserve">arranged kick off meetings.  An internal NARA User Adoption Steering Group established a </w:t>
      </w:r>
      <w:hyperlink r:id="rId6" w:history="1">
        <w:r w:rsidR="00681B44" w:rsidRPr="00681B44">
          <w:rPr>
            <w:rStyle w:val="Hyperlink"/>
          </w:rPr>
          <w:t>web site</w:t>
        </w:r>
      </w:hyperlink>
      <w:r w:rsidR="00681B44">
        <w:t xml:space="preserve">, created </w:t>
      </w:r>
      <w:hyperlink r:id="rId7" w:history="1">
        <w:r w:rsidR="00681B44" w:rsidRPr="00681B44">
          <w:rPr>
            <w:rStyle w:val="Hyperlink"/>
          </w:rPr>
          <w:t>online training</w:t>
        </w:r>
      </w:hyperlink>
      <w:r w:rsidR="00681B44">
        <w:t xml:space="preserve">, and developed </w:t>
      </w:r>
      <w:hyperlink r:id="rId8" w:history="1">
        <w:r w:rsidR="00681B44" w:rsidRPr="00681B44">
          <w:rPr>
            <w:rStyle w:val="Hyperlink"/>
          </w:rPr>
          <w:t>manuals</w:t>
        </w:r>
      </w:hyperlink>
      <w:r w:rsidR="00681B44">
        <w:t xml:space="preserve"> and </w:t>
      </w:r>
      <w:hyperlink r:id="rId9" w:history="1">
        <w:r w:rsidR="00681B44" w:rsidRPr="00681B44">
          <w:rPr>
            <w:rStyle w:val="Hyperlink"/>
          </w:rPr>
          <w:t>FAQs</w:t>
        </w:r>
      </w:hyperlink>
      <w:r w:rsidR="00681B44">
        <w:t xml:space="preserve">.  </w:t>
      </w:r>
      <w:r w:rsidR="00141C48">
        <w:t>Kick off meetings included NARA staff working most closely with the agencies.</w:t>
      </w:r>
      <w:r>
        <w:t xml:space="preserve"> </w:t>
      </w:r>
    </w:p>
    <w:p w:rsidR="00F60609" w:rsidRDefault="00F60609" w:rsidP="00F60609">
      <w:pPr>
        <w:ind w:left="1440"/>
      </w:pPr>
    </w:p>
    <w:tbl>
      <w:tblPr>
        <w:tblW w:w="6920" w:type="dxa"/>
        <w:tblInd w:w="1440" w:type="dxa"/>
        <w:tblLook w:val="04A0"/>
      </w:tblPr>
      <w:tblGrid>
        <w:gridCol w:w="2160"/>
        <w:gridCol w:w="4760"/>
      </w:tblGrid>
      <w:tr w:rsidR="00F60609" w:rsidTr="00141C48">
        <w:trPr>
          <w:trHeight w:val="1830"/>
        </w:trPr>
        <w:tc>
          <w:tcPr>
            <w:tcW w:w="2160" w:type="dxa"/>
            <w:tcBorders>
              <w:top w:val="single" w:sz="12" w:space="0" w:color="auto"/>
              <w:left w:val="single" w:sz="12" w:space="0" w:color="auto"/>
              <w:bottom w:val="single" w:sz="12" w:space="0" w:color="auto"/>
              <w:right w:val="single" w:sz="4" w:space="0" w:color="auto"/>
            </w:tcBorders>
            <w:shd w:val="clear" w:color="auto" w:fill="auto"/>
            <w:vAlign w:val="center"/>
            <w:hideMark/>
          </w:tcPr>
          <w:p w:rsidR="00F60609" w:rsidRDefault="00F60609">
            <w:pPr>
              <w:jc w:val="center"/>
              <w:rPr>
                <w:rFonts w:ascii="Calibri" w:hAnsi="Calibri"/>
                <w:color w:val="000000"/>
                <w:sz w:val="22"/>
                <w:szCs w:val="22"/>
              </w:rPr>
            </w:pPr>
            <w:r>
              <w:rPr>
                <w:rFonts w:ascii="Calibri" w:hAnsi="Calibri"/>
                <w:color w:val="000000"/>
                <w:sz w:val="22"/>
                <w:szCs w:val="22"/>
              </w:rPr>
              <w:lastRenderedPageBreak/>
              <w:t>Rollout Month</w:t>
            </w:r>
          </w:p>
        </w:tc>
        <w:tc>
          <w:tcPr>
            <w:tcW w:w="4760" w:type="dxa"/>
            <w:tcBorders>
              <w:top w:val="single" w:sz="12" w:space="0" w:color="auto"/>
              <w:left w:val="nil"/>
              <w:bottom w:val="single" w:sz="12" w:space="0" w:color="auto"/>
              <w:right w:val="single" w:sz="4" w:space="0" w:color="auto"/>
            </w:tcBorders>
            <w:shd w:val="clear" w:color="auto" w:fill="auto"/>
            <w:noWrap/>
            <w:vAlign w:val="center"/>
            <w:hideMark/>
          </w:tcPr>
          <w:p w:rsidR="00F60609" w:rsidRDefault="00F60609">
            <w:pPr>
              <w:jc w:val="center"/>
              <w:rPr>
                <w:rFonts w:ascii="Calibri" w:hAnsi="Calibri"/>
                <w:color w:val="000000"/>
                <w:sz w:val="22"/>
                <w:szCs w:val="22"/>
              </w:rPr>
            </w:pPr>
            <w:r>
              <w:rPr>
                <w:rFonts w:ascii="Calibri" w:hAnsi="Calibri"/>
                <w:color w:val="000000"/>
                <w:sz w:val="22"/>
                <w:szCs w:val="22"/>
              </w:rPr>
              <w:t>Agency Name</w:t>
            </w:r>
          </w:p>
        </w:tc>
      </w:tr>
      <w:tr w:rsidR="00F60609" w:rsidTr="00141C48">
        <w:trPr>
          <w:trHeight w:val="285"/>
        </w:trPr>
        <w:tc>
          <w:tcPr>
            <w:tcW w:w="2160" w:type="dxa"/>
            <w:vMerge w:val="restart"/>
            <w:tcBorders>
              <w:top w:val="nil"/>
              <w:left w:val="single" w:sz="12" w:space="0" w:color="auto"/>
              <w:bottom w:val="single" w:sz="12" w:space="0" w:color="000000"/>
              <w:right w:val="single" w:sz="4" w:space="0" w:color="auto"/>
            </w:tcBorders>
            <w:shd w:val="clear" w:color="auto" w:fill="auto"/>
            <w:vAlign w:val="center"/>
            <w:hideMark/>
          </w:tcPr>
          <w:p w:rsidR="00F60609" w:rsidRDefault="00F60609">
            <w:pPr>
              <w:jc w:val="center"/>
              <w:rPr>
                <w:rFonts w:ascii="Calibri" w:hAnsi="Calibri"/>
                <w:color w:val="000000"/>
                <w:sz w:val="22"/>
                <w:szCs w:val="22"/>
              </w:rPr>
            </w:pPr>
            <w:r>
              <w:rPr>
                <w:rFonts w:ascii="Calibri" w:hAnsi="Calibri"/>
                <w:color w:val="000000"/>
                <w:sz w:val="22"/>
                <w:szCs w:val="22"/>
              </w:rPr>
              <w:t>March 2011</w:t>
            </w: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Department of Health and Human Services</w:t>
            </w:r>
          </w:p>
        </w:tc>
      </w:tr>
      <w:tr w:rsidR="00F60609" w:rsidTr="00141C48">
        <w:trPr>
          <w:trHeight w:val="285"/>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Department of State</w:t>
            </w:r>
          </w:p>
        </w:tc>
      </w:tr>
      <w:tr w:rsidR="00F60609" w:rsidTr="00141C48">
        <w:trPr>
          <w:trHeight w:val="285"/>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12"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Department of Justice</w:t>
            </w:r>
          </w:p>
        </w:tc>
      </w:tr>
      <w:tr w:rsidR="00F60609" w:rsidTr="00141C48">
        <w:trPr>
          <w:trHeight w:val="285"/>
        </w:trPr>
        <w:tc>
          <w:tcPr>
            <w:tcW w:w="2160" w:type="dxa"/>
            <w:vMerge w:val="restart"/>
            <w:tcBorders>
              <w:top w:val="nil"/>
              <w:left w:val="single" w:sz="12" w:space="0" w:color="auto"/>
              <w:bottom w:val="single" w:sz="12" w:space="0" w:color="000000"/>
              <w:right w:val="single" w:sz="4" w:space="0" w:color="auto"/>
            </w:tcBorders>
            <w:shd w:val="clear" w:color="auto" w:fill="auto"/>
            <w:vAlign w:val="center"/>
            <w:hideMark/>
          </w:tcPr>
          <w:p w:rsidR="00F60609" w:rsidRDefault="00F60609">
            <w:pPr>
              <w:jc w:val="center"/>
              <w:rPr>
                <w:rFonts w:ascii="Calibri" w:hAnsi="Calibri"/>
                <w:color w:val="000000"/>
                <w:sz w:val="22"/>
                <w:szCs w:val="22"/>
              </w:rPr>
            </w:pPr>
            <w:r>
              <w:rPr>
                <w:rFonts w:ascii="Calibri" w:hAnsi="Calibri"/>
                <w:color w:val="000000"/>
                <w:sz w:val="22"/>
                <w:szCs w:val="22"/>
              </w:rPr>
              <w:t>April 2011</w:t>
            </w: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Environmental Protection Agency</w:t>
            </w:r>
          </w:p>
        </w:tc>
      </w:tr>
      <w:tr w:rsidR="00F60609" w:rsidTr="00141C48">
        <w:trPr>
          <w:trHeight w:val="285"/>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Small Business Administration</w:t>
            </w:r>
          </w:p>
        </w:tc>
      </w:tr>
      <w:tr w:rsidR="00F60609" w:rsidTr="00141C48">
        <w:trPr>
          <w:trHeight w:val="285"/>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12"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Department of Transportation</w:t>
            </w:r>
          </w:p>
        </w:tc>
      </w:tr>
      <w:tr w:rsidR="00F60609" w:rsidTr="00141C48">
        <w:trPr>
          <w:trHeight w:val="285"/>
        </w:trPr>
        <w:tc>
          <w:tcPr>
            <w:tcW w:w="2160" w:type="dxa"/>
            <w:vMerge w:val="restart"/>
            <w:tcBorders>
              <w:top w:val="nil"/>
              <w:left w:val="single" w:sz="12" w:space="0" w:color="auto"/>
              <w:bottom w:val="single" w:sz="12" w:space="0" w:color="000000"/>
              <w:right w:val="single" w:sz="4" w:space="0" w:color="auto"/>
            </w:tcBorders>
            <w:shd w:val="clear" w:color="auto" w:fill="auto"/>
            <w:vAlign w:val="center"/>
            <w:hideMark/>
          </w:tcPr>
          <w:p w:rsidR="00F60609" w:rsidRDefault="00F60609">
            <w:pPr>
              <w:jc w:val="center"/>
              <w:rPr>
                <w:rFonts w:ascii="Calibri" w:hAnsi="Calibri"/>
                <w:color w:val="000000"/>
                <w:sz w:val="22"/>
                <w:szCs w:val="22"/>
              </w:rPr>
            </w:pPr>
            <w:r>
              <w:rPr>
                <w:rFonts w:ascii="Calibri" w:hAnsi="Calibri"/>
                <w:color w:val="000000"/>
                <w:sz w:val="22"/>
                <w:szCs w:val="22"/>
              </w:rPr>
              <w:t>May 2011</w:t>
            </w: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Department of the Army</w:t>
            </w:r>
          </w:p>
        </w:tc>
      </w:tr>
      <w:tr w:rsidR="00F60609" w:rsidTr="00141C48">
        <w:trPr>
          <w:trHeight w:val="285"/>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Department of Commerce</w:t>
            </w:r>
          </w:p>
        </w:tc>
      </w:tr>
      <w:tr w:rsidR="00F60609" w:rsidTr="00141C48">
        <w:trPr>
          <w:trHeight w:val="285"/>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12"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Nuclear Regulatory Commission</w:t>
            </w:r>
          </w:p>
        </w:tc>
      </w:tr>
      <w:tr w:rsidR="00F60609" w:rsidTr="00141C48">
        <w:trPr>
          <w:trHeight w:val="285"/>
        </w:trPr>
        <w:tc>
          <w:tcPr>
            <w:tcW w:w="2160" w:type="dxa"/>
            <w:vMerge w:val="restart"/>
            <w:tcBorders>
              <w:top w:val="nil"/>
              <w:left w:val="single" w:sz="12" w:space="0" w:color="auto"/>
              <w:bottom w:val="single" w:sz="12" w:space="0" w:color="000000"/>
              <w:right w:val="single" w:sz="4" w:space="0" w:color="auto"/>
            </w:tcBorders>
            <w:shd w:val="clear" w:color="auto" w:fill="auto"/>
            <w:vAlign w:val="center"/>
            <w:hideMark/>
          </w:tcPr>
          <w:p w:rsidR="00F60609" w:rsidRDefault="00F60609">
            <w:pPr>
              <w:jc w:val="center"/>
              <w:rPr>
                <w:rFonts w:ascii="Calibri" w:hAnsi="Calibri"/>
                <w:color w:val="000000"/>
                <w:sz w:val="22"/>
                <w:szCs w:val="22"/>
              </w:rPr>
            </w:pPr>
            <w:r>
              <w:rPr>
                <w:rFonts w:ascii="Calibri" w:hAnsi="Calibri"/>
                <w:color w:val="000000"/>
                <w:sz w:val="22"/>
                <w:szCs w:val="22"/>
              </w:rPr>
              <w:t>June 2011</w:t>
            </w: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Department of Treasury</w:t>
            </w:r>
          </w:p>
        </w:tc>
      </w:tr>
      <w:tr w:rsidR="00F60609" w:rsidTr="00141C48">
        <w:trPr>
          <w:trHeight w:val="285"/>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Department of Interior</w:t>
            </w:r>
          </w:p>
        </w:tc>
      </w:tr>
      <w:tr w:rsidR="00F60609" w:rsidTr="00141C48">
        <w:trPr>
          <w:trHeight w:val="315"/>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12"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Department of Housing and Urban Development</w:t>
            </w:r>
          </w:p>
        </w:tc>
      </w:tr>
      <w:tr w:rsidR="00F60609" w:rsidTr="00141C48">
        <w:trPr>
          <w:trHeight w:val="615"/>
        </w:trPr>
        <w:tc>
          <w:tcPr>
            <w:tcW w:w="2160" w:type="dxa"/>
            <w:vMerge w:val="restart"/>
            <w:tcBorders>
              <w:top w:val="nil"/>
              <w:left w:val="single" w:sz="12" w:space="0" w:color="auto"/>
              <w:bottom w:val="single" w:sz="12" w:space="0" w:color="000000"/>
              <w:right w:val="single" w:sz="4" w:space="0" w:color="auto"/>
            </w:tcBorders>
            <w:shd w:val="clear" w:color="auto" w:fill="auto"/>
            <w:vAlign w:val="center"/>
            <w:hideMark/>
          </w:tcPr>
          <w:p w:rsidR="00F60609" w:rsidRDefault="00F60609">
            <w:pPr>
              <w:jc w:val="center"/>
              <w:rPr>
                <w:rFonts w:ascii="Calibri" w:hAnsi="Calibri"/>
                <w:color w:val="000000"/>
                <w:sz w:val="22"/>
                <w:szCs w:val="22"/>
              </w:rPr>
            </w:pPr>
            <w:r>
              <w:rPr>
                <w:rFonts w:ascii="Calibri" w:hAnsi="Calibri"/>
                <w:color w:val="000000"/>
                <w:sz w:val="22"/>
                <w:szCs w:val="22"/>
              </w:rPr>
              <w:t>July 2011</w:t>
            </w:r>
          </w:p>
        </w:tc>
        <w:tc>
          <w:tcPr>
            <w:tcW w:w="4760" w:type="dxa"/>
            <w:tcBorders>
              <w:top w:val="nil"/>
              <w:left w:val="nil"/>
              <w:bottom w:val="single" w:sz="4" w:space="0" w:color="auto"/>
              <w:right w:val="single" w:sz="4" w:space="0" w:color="auto"/>
            </w:tcBorders>
            <w:shd w:val="clear" w:color="auto" w:fill="auto"/>
            <w:vAlign w:val="bottom"/>
            <w:hideMark/>
          </w:tcPr>
          <w:p w:rsidR="00F60609" w:rsidRDefault="00F60609">
            <w:pPr>
              <w:rPr>
                <w:rFonts w:ascii="Calibri" w:hAnsi="Calibri"/>
                <w:color w:val="000000"/>
                <w:sz w:val="22"/>
                <w:szCs w:val="22"/>
              </w:rPr>
            </w:pPr>
            <w:r>
              <w:rPr>
                <w:rFonts w:ascii="Calibri" w:hAnsi="Calibri"/>
                <w:color w:val="000000"/>
                <w:sz w:val="22"/>
                <w:szCs w:val="22"/>
              </w:rPr>
              <w:t>Executive Office of the President, OMB, and other Federal White House agencies</w:t>
            </w:r>
          </w:p>
        </w:tc>
      </w:tr>
      <w:tr w:rsidR="00F60609" w:rsidTr="00141C48">
        <w:trPr>
          <w:trHeight w:val="300"/>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Department of Energy</w:t>
            </w:r>
          </w:p>
        </w:tc>
      </w:tr>
      <w:tr w:rsidR="00F60609" w:rsidTr="00141C48">
        <w:trPr>
          <w:trHeight w:val="315"/>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12"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Department of Labor</w:t>
            </w:r>
          </w:p>
        </w:tc>
      </w:tr>
      <w:tr w:rsidR="00F60609" w:rsidTr="00141C48">
        <w:trPr>
          <w:trHeight w:val="315"/>
        </w:trPr>
        <w:tc>
          <w:tcPr>
            <w:tcW w:w="2160" w:type="dxa"/>
            <w:vMerge w:val="restart"/>
            <w:tcBorders>
              <w:top w:val="nil"/>
              <w:left w:val="single" w:sz="12" w:space="0" w:color="auto"/>
              <w:bottom w:val="single" w:sz="12" w:space="0" w:color="000000"/>
              <w:right w:val="single" w:sz="4" w:space="0" w:color="auto"/>
            </w:tcBorders>
            <w:shd w:val="clear" w:color="auto" w:fill="auto"/>
            <w:vAlign w:val="center"/>
            <w:hideMark/>
          </w:tcPr>
          <w:p w:rsidR="00F60609" w:rsidRDefault="00F60609">
            <w:pPr>
              <w:jc w:val="center"/>
              <w:rPr>
                <w:rFonts w:ascii="Calibri" w:hAnsi="Calibri"/>
                <w:color w:val="000000"/>
                <w:sz w:val="22"/>
                <w:szCs w:val="22"/>
              </w:rPr>
            </w:pPr>
            <w:r>
              <w:rPr>
                <w:rFonts w:ascii="Calibri" w:hAnsi="Calibri"/>
                <w:color w:val="000000"/>
                <w:sz w:val="22"/>
                <w:szCs w:val="22"/>
              </w:rPr>
              <w:t>August 2011</w:t>
            </w: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Department of Veterans Affairs</w:t>
            </w:r>
          </w:p>
        </w:tc>
      </w:tr>
      <w:tr w:rsidR="00F60609" w:rsidTr="00141C48">
        <w:trPr>
          <w:trHeight w:val="300"/>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U.S. Agency for International Development</w:t>
            </w:r>
          </w:p>
        </w:tc>
      </w:tr>
      <w:tr w:rsidR="00F60609" w:rsidTr="00141C48">
        <w:trPr>
          <w:trHeight w:val="315"/>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12"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National Science Foundation</w:t>
            </w:r>
          </w:p>
        </w:tc>
      </w:tr>
      <w:tr w:rsidR="00F60609" w:rsidTr="00141C48">
        <w:trPr>
          <w:trHeight w:val="300"/>
        </w:trPr>
        <w:tc>
          <w:tcPr>
            <w:tcW w:w="2160" w:type="dxa"/>
            <w:vMerge w:val="restart"/>
            <w:tcBorders>
              <w:top w:val="nil"/>
              <w:left w:val="single" w:sz="12" w:space="0" w:color="auto"/>
              <w:bottom w:val="single" w:sz="12" w:space="0" w:color="000000"/>
              <w:right w:val="single" w:sz="4" w:space="0" w:color="auto"/>
            </w:tcBorders>
            <w:shd w:val="clear" w:color="auto" w:fill="auto"/>
            <w:vAlign w:val="center"/>
            <w:hideMark/>
          </w:tcPr>
          <w:p w:rsidR="00F60609" w:rsidRDefault="00F60609">
            <w:pPr>
              <w:jc w:val="center"/>
              <w:rPr>
                <w:rFonts w:ascii="Calibri" w:hAnsi="Calibri"/>
                <w:color w:val="000000"/>
                <w:sz w:val="22"/>
                <w:szCs w:val="22"/>
              </w:rPr>
            </w:pPr>
            <w:r>
              <w:rPr>
                <w:rFonts w:ascii="Calibri" w:hAnsi="Calibri"/>
                <w:color w:val="000000"/>
                <w:sz w:val="22"/>
                <w:szCs w:val="22"/>
              </w:rPr>
              <w:t>September 2011</w:t>
            </w: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Department of Defense</w:t>
            </w:r>
          </w:p>
        </w:tc>
      </w:tr>
      <w:tr w:rsidR="00F60609" w:rsidTr="00141C48">
        <w:trPr>
          <w:trHeight w:val="315"/>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12"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Office of Personnel Management</w:t>
            </w:r>
          </w:p>
        </w:tc>
      </w:tr>
      <w:tr w:rsidR="00F60609" w:rsidTr="00141C48">
        <w:trPr>
          <w:trHeight w:val="315"/>
        </w:trPr>
        <w:tc>
          <w:tcPr>
            <w:tcW w:w="2160" w:type="dxa"/>
            <w:vMerge w:val="restart"/>
            <w:tcBorders>
              <w:top w:val="nil"/>
              <w:left w:val="single" w:sz="12" w:space="0" w:color="auto"/>
              <w:bottom w:val="single" w:sz="12" w:space="0" w:color="000000"/>
              <w:right w:val="single" w:sz="4" w:space="0" w:color="auto"/>
            </w:tcBorders>
            <w:shd w:val="clear" w:color="auto" w:fill="auto"/>
            <w:vAlign w:val="center"/>
            <w:hideMark/>
          </w:tcPr>
          <w:p w:rsidR="00F60609" w:rsidRDefault="00F60609">
            <w:pPr>
              <w:jc w:val="center"/>
              <w:rPr>
                <w:rFonts w:ascii="Calibri" w:hAnsi="Calibri"/>
                <w:color w:val="000000"/>
                <w:sz w:val="22"/>
                <w:szCs w:val="22"/>
              </w:rPr>
            </w:pPr>
            <w:r>
              <w:rPr>
                <w:rFonts w:ascii="Calibri" w:hAnsi="Calibri"/>
                <w:color w:val="000000"/>
                <w:sz w:val="22"/>
                <w:szCs w:val="22"/>
              </w:rPr>
              <w:t>October 2011</w:t>
            </w: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Department of Homeland Security</w:t>
            </w:r>
          </w:p>
        </w:tc>
      </w:tr>
      <w:tr w:rsidR="00F60609" w:rsidTr="00141C48">
        <w:trPr>
          <w:trHeight w:val="315"/>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12"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General Services Administration</w:t>
            </w:r>
          </w:p>
        </w:tc>
      </w:tr>
      <w:tr w:rsidR="00F60609" w:rsidTr="00141C48">
        <w:trPr>
          <w:trHeight w:val="315"/>
        </w:trPr>
        <w:tc>
          <w:tcPr>
            <w:tcW w:w="2160" w:type="dxa"/>
            <w:vMerge w:val="restart"/>
            <w:tcBorders>
              <w:top w:val="nil"/>
              <w:left w:val="single" w:sz="12" w:space="0" w:color="auto"/>
              <w:bottom w:val="single" w:sz="12" w:space="0" w:color="000000"/>
              <w:right w:val="single" w:sz="4" w:space="0" w:color="auto"/>
            </w:tcBorders>
            <w:shd w:val="clear" w:color="auto" w:fill="auto"/>
            <w:vAlign w:val="center"/>
            <w:hideMark/>
          </w:tcPr>
          <w:p w:rsidR="00F60609" w:rsidRDefault="00F60609">
            <w:pPr>
              <w:jc w:val="center"/>
              <w:rPr>
                <w:rFonts w:ascii="Calibri" w:hAnsi="Calibri"/>
                <w:color w:val="000000"/>
                <w:sz w:val="22"/>
                <w:szCs w:val="22"/>
              </w:rPr>
            </w:pPr>
            <w:r>
              <w:rPr>
                <w:rFonts w:ascii="Calibri" w:hAnsi="Calibri"/>
                <w:color w:val="000000"/>
                <w:sz w:val="22"/>
                <w:szCs w:val="22"/>
              </w:rPr>
              <w:t>November 2011</w:t>
            </w: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Office of the Director of National Intelligence</w:t>
            </w:r>
          </w:p>
        </w:tc>
      </w:tr>
      <w:tr w:rsidR="00F60609" w:rsidTr="00141C48">
        <w:trPr>
          <w:trHeight w:val="300"/>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Department of the Air Force</w:t>
            </w:r>
          </w:p>
        </w:tc>
      </w:tr>
      <w:tr w:rsidR="00F60609" w:rsidTr="00141C48">
        <w:trPr>
          <w:trHeight w:val="315"/>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12"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Department of Agriculture</w:t>
            </w:r>
          </w:p>
        </w:tc>
      </w:tr>
      <w:tr w:rsidR="00F60609" w:rsidTr="00141C48">
        <w:trPr>
          <w:trHeight w:val="180"/>
        </w:trPr>
        <w:tc>
          <w:tcPr>
            <w:tcW w:w="2160" w:type="dxa"/>
            <w:tcBorders>
              <w:top w:val="nil"/>
              <w:left w:val="single" w:sz="12" w:space="0" w:color="auto"/>
              <w:bottom w:val="single" w:sz="12" w:space="0" w:color="auto"/>
              <w:right w:val="nil"/>
            </w:tcBorders>
            <w:shd w:val="clear" w:color="000000" w:fill="808080"/>
            <w:vAlign w:val="center"/>
            <w:hideMark/>
          </w:tcPr>
          <w:p w:rsidR="00F60609" w:rsidRDefault="00F60609">
            <w:pPr>
              <w:jc w:val="center"/>
              <w:rPr>
                <w:rFonts w:ascii="Calibri" w:hAnsi="Calibri"/>
                <w:color w:val="000000"/>
                <w:sz w:val="22"/>
                <w:szCs w:val="22"/>
              </w:rPr>
            </w:pPr>
            <w:r>
              <w:rPr>
                <w:rFonts w:ascii="Calibri" w:hAnsi="Calibri"/>
                <w:color w:val="000000"/>
                <w:sz w:val="22"/>
                <w:szCs w:val="22"/>
              </w:rPr>
              <w:t> </w:t>
            </w:r>
          </w:p>
        </w:tc>
        <w:tc>
          <w:tcPr>
            <w:tcW w:w="4760" w:type="dxa"/>
            <w:tcBorders>
              <w:top w:val="nil"/>
              <w:left w:val="nil"/>
              <w:bottom w:val="single" w:sz="12" w:space="0" w:color="auto"/>
              <w:right w:val="nil"/>
            </w:tcBorders>
            <w:shd w:val="clear" w:color="000000" w:fill="808080"/>
            <w:noWrap/>
            <w:vAlign w:val="bottom"/>
            <w:hideMark/>
          </w:tcPr>
          <w:p w:rsidR="00F60609" w:rsidRDefault="00F60609">
            <w:pPr>
              <w:rPr>
                <w:rFonts w:ascii="Calibri" w:hAnsi="Calibri"/>
                <w:color w:val="000000"/>
                <w:sz w:val="22"/>
                <w:szCs w:val="22"/>
              </w:rPr>
            </w:pPr>
            <w:r>
              <w:rPr>
                <w:rFonts w:ascii="Calibri" w:hAnsi="Calibri"/>
                <w:color w:val="000000"/>
                <w:sz w:val="22"/>
                <w:szCs w:val="22"/>
              </w:rPr>
              <w:t> </w:t>
            </w:r>
          </w:p>
        </w:tc>
      </w:tr>
      <w:tr w:rsidR="00F60609" w:rsidTr="00141C48">
        <w:trPr>
          <w:trHeight w:val="300"/>
        </w:trPr>
        <w:tc>
          <w:tcPr>
            <w:tcW w:w="2160" w:type="dxa"/>
            <w:vMerge w:val="restart"/>
            <w:tcBorders>
              <w:top w:val="nil"/>
              <w:left w:val="single" w:sz="12" w:space="0" w:color="auto"/>
              <w:bottom w:val="single" w:sz="12" w:space="0" w:color="000000"/>
              <w:right w:val="single" w:sz="4" w:space="0" w:color="auto"/>
            </w:tcBorders>
            <w:shd w:val="clear" w:color="auto" w:fill="auto"/>
            <w:vAlign w:val="center"/>
            <w:hideMark/>
          </w:tcPr>
          <w:p w:rsidR="00F60609" w:rsidRDefault="00F60609">
            <w:pPr>
              <w:jc w:val="center"/>
              <w:rPr>
                <w:rFonts w:ascii="Calibri" w:hAnsi="Calibri"/>
                <w:color w:val="000000"/>
                <w:sz w:val="22"/>
                <w:szCs w:val="22"/>
              </w:rPr>
            </w:pPr>
            <w:r>
              <w:rPr>
                <w:rFonts w:ascii="Calibri" w:hAnsi="Calibri"/>
                <w:color w:val="000000"/>
                <w:sz w:val="22"/>
                <w:szCs w:val="22"/>
              </w:rPr>
              <w:t>Anytime Starting March 2011: FY 2010 Pilot Agencies</w:t>
            </w: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National Archives and Records Administration</w:t>
            </w:r>
          </w:p>
        </w:tc>
      </w:tr>
      <w:tr w:rsidR="00F60609" w:rsidTr="00141C48">
        <w:trPr>
          <w:trHeight w:val="300"/>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Department of the Navy</w:t>
            </w:r>
          </w:p>
        </w:tc>
      </w:tr>
      <w:tr w:rsidR="00F60609" w:rsidTr="00141C48">
        <w:trPr>
          <w:trHeight w:val="300"/>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National Aeronautics and Space Administration</w:t>
            </w:r>
          </w:p>
        </w:tc>
      </w:tr>
      <w:tr w:rsidR="00F60609" w:rsidTr="00141C48">
        <w:trPr>
          <w:trHeight w:val="300"/>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4"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Department of Education</w:t>
            </w:r>
          </w:p>
        </w:tc>
      </w:tr>
      <w:tr w:rsidR="00F60609" w:rsidTr="00141C48">
        <w:trPr>
          <w:trHeight w:val="315"/>
        </w:trPr>
        <w:tc>
          <w:tcPr>
            <w:tcW w:w="2160" w:type="dxa"/>
            <w:vMerge/>
            <w:tcBorders>
              <w:top w:val="nil"/>
              <w:left w:val="single" w:sz="12" w:space="0" w:color="auto"/>
              <w:bottom w:val="single" w:sz="12" w:space="0" w:color="000000"/>
              <w:right w:val="single" w:sz="4" w:space="0" w:color="auto"/>
            </w:tcBorders>
            <w:vAlign w:val="center"/>
            <w:hideMark/>
          </w:tcPr>
          <w:p w:rsidR="00F60609" w:rsidRDefault="00F60609">
            <w:pPr>
              <w:rPr>
                <w:rFonts w:ascii="Calibri" w:hAnsi="Calibri"/>
                <w:color w:val="000000"/>
                <w:sz w:val="22"/>
                <w:szCs w:val="22"/>
              </w:rPr>
            </w:pPr>
          </w:p>
        </w:tc>
        <w:tc>
          <w:tcPr>
            <w:tcW w:w="4760" w:type="dxa"/>
            <w:tcBorders>
              <w:top w:val="nil"/>
              <w:left w:val="nil"/>
              <w:bottom w:val="single" w:sz="12" w:space="0" w:color="auto"/>
              <w:right w:val="single" w:sz="4" w:space="0" w:color="auto"/>
            </w:tcBorders>
            <w:shd w:val="clear" w:color="auto" w:fill="auto"/>
            <w:noWrap/>
            <w:vAlign w:val="bottom"/>
            <w:hideMark/>
          </w:tcPr>
          <w:p w:rsidR="00F60609" w:rsidRDefault="00F60609">
            <w:pPr>
              <w:rPr>
                <w:rFonts w:ascii="Calibri" w:hAnsi="Calibri"/>
                <w:color w:val="000000"/>
                <w:sz w:val="22"/>
                <w:szCs w:val="22"/>
              </w:rPr>
            </w:pPr>
            <w:r>
              <w:rPr>
                <w:rFonts w:ascii="Calibri" w:hAnsi="Calibri"/>
                <w:color w:val="000000"/>
                <w:sz w:val="22"/>
                <w:szCs w:val="22"/>
              </w:rPr>
              <w:t>Social Security Administration</w:t>
            </w:r>
          </w:p>
        </w:tc>
      </w:tr>
    </w:tbl>
    <w:p w:rsidR="00F60609" w:rsidRDefault="00F60609" w:rsidP="00F60609">
      <w:pPr>
        <w:ind w:left="1440"/>
      </w:pPr>
    </w:p>
    <w:p w:rsidR="00F60609" w:rsidRDefault="00F60609" w:rsidP="006C38AE"/>
    <w:p w:rsidR="006C38AE" w:rsidRDefault="006C38AE" w:rsidP="006C38AE">
      <w:pPr>
        <w:ind w:left="1440"/>
      </w:pPr>
      <w:r>
        <w:lastRenderedPageBreak/>
        <w:t xml:space="preserve">ERA Adoption Phase </w:t>
      </w:r>
      <w:r w:rsidR="00141C48">
        <w:t>2</w:t>
      </w:r>
    </w:p>
    <w:p w:rsidR="00141C48" w:rsidRDefault="00141C48" w:rsidP="006C38AE">
      <w:pPr>
        <w:ind w:left="1440"/>
      </w:pPr>
    </w:p>
    <w:p w:rsidR="00141C48" w:rsidRDefault="00141C48" w:rsidP="006C38AE">
      <w:pPr>
        <w:ind w:left="1440"/>
      </w:pPr>
      <w:r>
        <w:t xml:space="preserve">Because there are </w:t>
      </w:r>
      <w:r w:rsidR="006F7903">
        <w:t>about</w:t>
      </w:r>
      <w:r>
        <w:t xml:space="preserve"> </w:t>
      </w:r>
      <w:r w:rsidR="006F7903">
        <w:t>160</w:t>
      </w:r>
      <w:r>
        <w:t xml:space="preserve"> other agencies </w:t>
      </w:r>
      <w:r w:rsidR="006F7903">
        <w:t xml:space="preserve">and agency components </w:t>
      </w:r>
      <w:r>
        <w:t xml:space="preserve">of the Federal Government, </w:t>
      </w:r>
      <w:r w:rsidR="00F82C40">
        <w:t xml:space="preserve">NARA </w:t>
      </w:r>
      <w:r>
        <w:t xml:space="preserve">asked the other agencies to select a month between July 2011 and September 2012 in which to start using ERA.  NARA established an online sign-up process.  Throughout the third quarter of FY 2011, NARA </w:t>
      </w:r>
      <w:r w:rsidR="005D7643">
        <w:t xml:space="preserve">distributed user ids and temporary passwords and </w:t>
      </w:r>
      <w:r>
        <w:t>asked the agencies to log on to the</w:t>
      </w:r>
      <w:r w:rsidR="005D7643">
        <w:t xml:space="preserve"> site and sign up for a start month.  The sign up process </w:t>
      </w:r>
      <w:r w:rsidR="00F82C40">
        <w:t xml:space="preserve">initially </w:t>
      </w:r>
      <w:r w:rsidR="005D7643">
        <w:t xml:space="preserve">captured 75% of the agency population.  </w:t>
      </w:r>
      <w:r w:rsidR="00F82C40">
        <w:t xml:space="preserve">NARA subsequently </w:t>
      </w:r>
      <w:r w:rsidR="005D7643">
        <w:t>assigned the non-respondents to months of its choosing.</w:t>
      </w:r>
      <w:r>
        <w:t xml:space="preserve"> </w:t>
      </w:r>
    </w:p>
    <w:p w:rsidR="005E60F1" w:rsidRDefault="005E60F1" w:rsidP="006C38AE">
      <w:pPr>
        <w:ind w:left="1440"/>
      </w:pPr>
    </w:p>
    <w:p w:rsidR="0095311A" w:rsidRDefault="0095311A" w:rsidP="006C38AE">
      <w:pPr>
        <w:ind w:left="1440"/>
      </w:pPr>
      <w:r>
        <w:t xml:space="preserve">In a departure from the ERA Adoption Phase 1 approach, the User Adoption Coordinator schedules one </w:t>
      </w:r>
      <w:r w:rsidR="00F82C40">
        <w:t xml:space="preserve">kickoff </w:t>
      </w:r>
      <w:r>
        <w:t xml:space="preserve">meeting </w:t>
      </w:r>
      <w:r w:rsidR="00F82C40">
        <w:t xml:space="preserve">with all of the agencies </w:t>
      </w:r>
      <w:r>
        <w:t>scheduled to start during a particular month.  The meeting is a virtual meeting where the participants call in and access any presentation materials.</w:t>
      </w:r>
    </w:p>
    <w:p w:rsidR="0095311A" w:rsidRDefault="006F7903" w:rsidP="00124A3E">
      <w:pPr>
        <w:pStyle w:val="IntenseQuote"/>
      </w:pPr>
      <w:r>
        <w:t xml:space="preserve">Adoption </w:t>
      </w:r>
      <w:r w:rsidR="0095311A">
        <w:t>Progress (as of September 30, 2011)</w:t>
      </w:r>
    </w:p>
    <w:p w:rsidR="0095311A" w:rsidRDefault="0095311A" w:rsidP="006C38AE">
      <w:pPr>
        <w:ind w:left="1440"/>
      </w:pPr>
      <w:r>
        <w:t>ERA Adoption Phase 1,</w:t>
      </w:r>
    </w:p>
    <w:p w:rsidR="0095311A" w:rsidRDefault="0095311A" w:rsidP="006C38AE">
      <w:pPr>
        <w:ind w:left="1440"/>
      </w:pPr>
      <w:r>
        <w:t xml:space="preserve"> </w:t>
      </w:r>
    </w:p>
    <w:p w:rsidR="00124A3E" w:rsidRDefault="0095311A" w:rsidP="006C38AE">
      <w:pPr>
        <w:ind w:left="1440"/>
      </w:pPr>
      <w:r>
        <w:t>Through September</w:t>
      </w:r>
      <w:r w:rsidR="005C604C">
        <w:t xml:space="preserve"> 2011</w:t>
      </w:r>
      <w:r w:rsidR="006B118D">
        <w:t>, 23</w:t>
      </w:r>
      <w:r>
        <w:t xml:space="preserve"> out of the 30 agencies have started using ERA</w:t>
      </w:r>
      <w:r w:rsidR="006B118D">
        <w:t>, a 77</w:t>
      </w:r>
      <w:r w:rsidR="00124A3E">
        <w:t>% adoption rate</w:t>
      </w:r>
      <w:r>
        <w:t xml:space="preserve">.  </w:t>
      </w:r>
      <w:r w:rsidR="00124A3E">
        <w:t>NARA</w:t>
      </w:r>
      <w:r>
        <w:t xml:space="preserve"> define</w:t>
      </w:r>
      <w:r w:rsidR="00124A3E">
        <w:t>s</w:t>
      </w:r>
      <w:r>
        <w:t xml:space="preserve"> a “start” </w:t>
      </w:r>
      <w:r w:rsidR="00124A3E">
        <w:t xml:space="preserve">as at least having </w:t>
      </w:r>
      <w:r>
        <w:t xml:space="preserve">staff members go through the training and obtain user accounts.  As </w:t>
      </w:r>
      <w:r w:rsidR="00124A3E">
        <w:t>shown in the chart below</w:t>
      </w:r>
      <w:r w:rsidR="00872994">
        <w:t xml:space="preserve">, </w:t>
      </w:r>
      <w:r>
        <w:t xml:space="preserve">a number of agencies </w:t>
      </w:r>
      <w:r w:rsidR="00124A3E">
        <w:t>have done more than obtain user accounts; they have performed an extensive amount of work.</w:t>
      </w:r>
    </w:p>
    <w:p w:rsidR="00124A3E" w:rsidRDefault="00124A3E" w:rsidP="006C38AE">
      <w:pPr>
        <w:ind w:left="1440"/>
      </w:pPr>
    </w:p>
    <w:tbl>
      <w:tblPr>
        <w:tblW w:w="10640" w:type="dxa"/>
        <w:tblInd w:w="100" w:type="dxa"/>
        <w:tblLook w:val="04A0"/>
      </w:tblPr>
      <w:tblGrid>
        <w:gridCol w:w="4840"/>
        <w:gridCol w:w="1900"/>
        <w:gridCol w:w="1940"/>
        <w:gridCol w:w="1960"/>
      </w:tblGrid>
      <w:tr w:rsidR="006B118D" w:rsidRPr="006B118D" w:rsidTr="006B118D">
        <w:trPr>
          <w:trHeight w:val="300"/>
        </w:trPr>
        <w:tc>
          <w:tcPr>
            <w:tcW w:w="4840" w:type="dxa"/>
            <w:tcBorders>
              <w:top w:val="nil"/>
              <w:left w:val="nil"/>
              <w:bottom w:val="nil"/>
              <w:right w:val="nil"/>
            </w:tcBorders>
            <w:shd w:val="clear" w:color="auto" w:fill="auto"/>
            <w:noWrap/>
            <w:vAlign w:val="bottom"/>
            <w:hideMark/>
          </w:tcPr>
          <w:p w:rsidR="006B118D" w:rsidRPr="006B118D" w:rsidRDefault="006B118D" w:rsidP="006B118D">
            <w:pPr>
              <w:rPr>
                <w:rFonts w:ascii="Calibri" w:hAnsi="Calibri"/>
                <w:color w:val="000000"/>
                <w:sz w:val="22"/>
                <w:szCs w:val="22"/>
              </w:rPr>
            </w:pPr>
          </w:p>
        </w:tc>
        <w:tc>
          <w:tcPr>
            <w:tcW w:w="1900" w:type="dxa"/>
            <w:tcBorders>
              <w:top w:val="nil"/>
              <w:left w:val="nil"/>
              <w:bottom w:val="nil"/>
              <w:right w:val="nil"/>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ERA Users?</w:t>
            </w:r>
          </w:p>
        </w:tc>
        <w:tc>
          <w:tcPr>
            <w:tcW w:w="1940" w:type="dxa"/>
            <w:tcBorders>
              <w:top w:val="nil"/>
              <w:left w:val="nil"/>
              <w:bottom w:val="nil"/>
              <w:right w:val="nil"/>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Scheduled Records?</w:t>
            </w:r>
          </w:p>
        </w:tc>
        <w:tc>
          <w:tcPr>
            <w:tcW w:w="1960" w:type="dxa"/>
            <w:tcBorders>
              <w:top w:val="nil"/>
              <w:left w:val="nil"/>
              <w:bottom w:val="nil"/>
              <w:right w:val="nil"/>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Transferred Records?</w:t>
            </w:r>
          </w:p>
        </w:tc>
      </w:tr>
      <w:tr w:rsidR="006B118D" w:rsidRPr="006B118D" w:rsidTr="006B118D">
        <w:trPr>
          <w:trHeight w:val="315"/>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Department of Health and Human Services</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6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r>
      <w:tr w:rsidR="006B118D" w:rsidRPr="006B118D" w:rsidTr="006B118D">
        <w:trPr>
          <w:trHeight w:val="315"/>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Department of State</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6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r>
      <w:tr w:rsidR="006B118D" w:rsidRPr="006B118D" w:rsidTr="006B118D">
        <w:trPr>
          <w:trHeight w:val="315"/>
        </w:trPr>
        <w:tc>
          <w:tcPr>
            <w:tcW w:w="4840" w:type="dxa"/>
            <w:tcBorders>
              <w:top w:val="nil"/>
              <w:left w:val="nil"/>
              <w:bottom w:val="single" w:sz="12"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Department of Justice</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6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r>
      <w:tr w:rsidR="006B118D" w:rsidRPr="006B118D" w:rsidTr="006B118D">
        <w:trPr>
          <w:trHeight w:val="330"/>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Environmental Protection Agency</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6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r>
      <w:tr w:rsidR="006B118D" w:rsidRPr="006B118D" w:rsidTr="006B118D">
        <w:trPr>
          <w:trHeight w:val="315"/>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Small Business Administration</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r>
      <w:tr w:rsidR="006B118D" w:rsidRPr="006B118D" w:rsidTr="006B118D">
        <w:trPr>
          <w:trHeight w:val="315"/>
        </w:trPr>
        <w:tc>
          <w:tcPr>
            <w:tcW w:w="4840" w:type="dxa"/>
            <w:tcBorders>
              <w:top w:val="nil"/>
              <w:left w:val="nil"/>
              <w:bottom w:val="single" w:sz="12"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Department of Transportation</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6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r>
      <w:tr w:rsidR="006B118D" w:rsidRPr="006B118D" w:rsidTr="006B118D">
        <w:trPr>
          <w:trHeight w:val="330"/>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Department of the Army</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r>
      <w:tr w:rsidR="006B118D" w:rsidRPr="006B118D" w:rsidTr="006B118D">
        <w:trPr>
          <w:trHeight w:val="315"/>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Department of Commerce</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r>
      <w:tr w:rsidR="006B118D" w:rsidRPr="006B118D" w:rsidTr="006B118D">
        <w:trPr>
          <w:trHeight w:val="315"/>
        </w:trPr>
        <w:tc>
          <w:tcPr>
            <w:tcW w:w="4840" w:type="dxa"/>
            <w:tcBorders>
              <w:top w:val="nil"/>
              <w:left w:val="nil"/>
              <w:bottom w:val="single" w:sz="12"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Nuclear Regulatory Commission</w:t>
            </w:r>
          </w:p>
        </w:tc>
        <w:tc>
          <w:tcPr>
            <w:tcW w:w="190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r>
      <w:tr w:rsidR="006B118D" w:rsidRPr="006B118D" w:rsidTr="006B118D">
        <w:trPr>
          <w:trHeight w:val="330"/>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Department of Treasury</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r>
      <w:tr w:rsidR="006B118D" w:rsidRPr="006B118D" w:rsidTr="006B118D">
        <w:trPr>
          <w:trHeight w:val="315"/>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Department of Interior</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6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r>
      <w:tr w:rsidR="006B118D" w:rsidRPr="006B118D" w:rsidTr="006B118D">
        <w:trPr>
          <w:trHeight w:val="315"/>
        </w:trPr>
        <w:tc>
          <w:tcPr>
            <w:tcW w:w="4840" w:type="dxa"/>
            <w:tcBorders>
              <w:top w:val="nil"/>
              <w:left w:val="nil"/>
              <w:bottom w:val="single" w:sz="12"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Department of Housing and Urban Development</w:t>
            </w:r>
          </w:p>
        </w:tc>
        <w:tc>
          <w:tcPr>
            <w:tcW w:w="190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r>
      <w:tr w:rsidR="006B118D" w:rsidRPr="006B118D" w:rsidTr="006B118D">
        <w:trPr>
          <w:trHeight w:val="330"/>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Executive Office of the President</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r>
      <w:tr w:rsidR="006B118D" w:rsidRPr="006B118D" w:rsidTr="006B118D">
        <w:trPr>
          <w:trHeight w:val="315"/>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lastRenderedPageBreak/>
              <w:t>Department of Energy</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r>
      <w:tr w:rsidR="006B118D" w:rsidRPr="006B118D" w:rsidTr="006B118D">
        <w:trPr>
          <w:trHeight w:val="315"/>
        </w:trPr>
        <w:tc>
          <w:tcPr>
            <w:tcW w:w="4840" w:type="dxa"/>
            <w:tcBorders>
              <w:top w:val="nil"/>
              <w:left w:val="nil"/>
              <w:bottom w:val="single" w:sz="12"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Department of Labor</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6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r>
      <w:tr w:rsidR="006B118D" w:rsidRPr="006B118D" w:rsidTr="006B118D">
        <w:trPr>
          <w:trHeight w:val="330"/>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Department of Veterans Affairs</w:t>
            </w:r>
          </w:p>
        </w:tc>
        <w:tc>
          <w:tcPr>
            <w:tcW w:w="190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r>
      <w:tr w:rsidR="006B118D" w:rsidRPr="006B118D" w:rsidTr="006B118D">
        <w:trPr>
          <w:trHeight w:val="315"/>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U.S. Agency for International Development</w:t>
            </w:r>
          </w:p>
        </w:tc>
        <w:tc>
          <w:tcPr>
            <w:tcW w:w="190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r>
      <w:tr w:rsidR="006B118D" w:rsidRPr="006B118D" w:rsidTr="006B118D">
        <w:trPr>
          <w:trHeight w:val="315"/>
        </w:trPr>
        <w:tc>
          <w:tcPr>
            <w:tcW w:w="4840" w:type="dxa"/>
            <w:tcBorders>
              <w:top w:val="nil"/>
              <w:left w:val="nil"/>
              <w:bottom w:val="single" w:sz="12"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National Science Foundation</w:t>
            </w:r>
          </w:p>
        </w:tc>
        <w:tc>
          <w:tcPr>
            <w:tcW w:w="190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r>
      <w:tr w:rsidR="006B118D" w:rsidRPr="006B118D" w:rsidTr="006B118D">
        <w:trPr>
          <w:trHeight w:val="330"/>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Department of Defense</w:t>
            </w:r>
          </w:p>
        </w:tc>
        <w:tc>
          <w:tcPr>
            <w:tcW w:w="190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r>
      <w:tr w:rsidR="006B118D" w:rsidRPr="006B118D" w:rsidTr="006B118D">
        <w:trPr>
          <w:trHeight w:val="315"/>
        </w:trPr>
        <w:tc>
          <w:tcPr>
            <w:tcW w:w="4840" w:type="dxa"/>
            <w:tcBorders>
              <w:top w:val="nil"/>
              <w:left w:val="nil"/>
              <w:bottom w:val="single" w:sz="12"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Office of Personnel Management</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r>
      <w:tr w:rsidR="006B118D" w:rsidRPr="006B118D" w:rsidTr="006B118D">
        <w:trPr>
          <w:trHeight w:val="330"/>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Department of Homeland Security</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r>
      <w:tr w:rsidR="006B118D" w:rsidRPr="006B118D" w:rsidTr="006B118D">
        <w:trPr>
          <w:trHeight w:val="315"/>
        </w:trPr>
        <w:tc>
          <w:tcPr>
            <w:tcW w:w="4840" w:type="dxa"/>
            <w:tcBorders>
              <w:top w:val="nil"/>
              <w:left w:val="nil"/>
              <w:bottom w:val="single" w:sz="12"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General Services Administration</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r>
      <w:tr w:rsidR="006B118D" w:rsidRPr="006B118D" w:rsidTr="006B118D">
        <w:trPr>
          <w:trHeight w:val="330"/>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Office of the Director of National Intelligence</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r>
      <w:tr w:rsidR="006B118D" w:rsidRPr="006B118D" w:rsidTr="006B118D">
        <w:trPr>
          <w:trHeight w:val="315"/>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Department of the Air Force</w:t>
            </w:r>
          </w:p>
        </w:tc>
        <w:tc>
          <w:tcPr>
            <w:tcW w:w="190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r>
      <w:tr w:rsidR="006B118D" w:rsidRPr="006B118D" w:rsidTr="006B118D">
        <w:trPr>
          <w:trHeight w:val="330"/>
        </w:trPr>
        <w:tc>
          <w:tcPr>
            <w:tcW w:w="4840" w:type="dxa"/>
            <w:tcBorders>
              <w:top w:val="nil"/>
              <w:left w:val="nil"/>
              <w:bottom w:val="single" w:sz="12"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Department of Agriculture</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r>
      <w:tr w:rsidR="006B118D" w:rsidRPr="006B118D" w:rsidTr="006B118D">
        <w:trPr>
          <w:trHeight w:val="330"/>
        </w:trPr>
        <w:tc>
          <w:tcPr>
            <w:tcW w:w="4840" w:type="dxa"/>
            <w:tcBorders>
              <w:top w:val="nil"/>
              <w:left w:val="nil"/>
              <w:bottom w:val="single" w:sz="12" w:space="0" w:color="auto"/>
              <w:right w:val="nil"/>
            </w:tcBorders>
            <w:shd w:val="clear" w:color="000000" w:fill="808080"/>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 </w:t>
            </w:r>
          </w:p>
        </w:tc>
        <w:tc>
          <w:tcPr>
            <w:tcW w:w="1900" w:type="dxa"/>
            <w:tcBorders>
              <w:top w:val="nil"/>
              <w:left w:val="nil"/>
              <w:bottom w:val="nil"/>
              <w:right w:val="nil"/>
            </w:tcBorders>
            <w:shd w:val="clear" w:color="auto" w:fill="auto"/>
            <w:noWrap/>
            <w:vAlign w:val="bottom"/>
            <w:hideMark/>
          </w:tcPr>
          <w:p w:rsidR="006B118D" w:rsidRPr="006B118D" w:rsidRDefault="006B118D" w:rsidP="006B118D">
            <w:pPr>
              <w:rPr>
                <w:rFonts w:ascii="Calibri" w:hAnsi="Calibri"/>
                <w:color w:val="000000"/>
                <w:sz w:val="22"/>
                <w:szCs w:val="22"/>
              </w:rPr>
            </w:pPr>
          </w:p>
        </w:tc>
        <w:tc>
          <w:tcPr>
            <w:tcW w:w="1940" w:type="dxa"/>
            <w:tcBorders>
              <w:top w:val="nil"/>
              <w:left w:val="nil"/>
              <w:bottom w:val="nil"/>
              <w:right w:val="nil"/>
            </w:tcBorders>
            <w:shd w:val="clear" w:color="auto" w:fill="auto"/>
            <w:noWrap/>
            <w:vAlign w:val="bottom"/>
            <w:hideMark/>
          </w:tcPr>
          <w:p w:rsidR="006B118D" w:rsidRPr="006B118D" w:rsidRDefault="006B118D" w:rsidP="006B118D">
            <w:pPr>
              <w:rPr>
                <w:rFonts w:ascii="Calibri" w:hAnsi="Calibri"/>
                <w:color w:val="000000"/>
                <w:sz w:val="22"/>
                <w:szCs w:val="22"/>
              </w:rPr>
            </w:pPr>
          </w:p>
        </w:tc>
        <w:tc>
          <w:tcPr>
            <w:tcW w:w="1960" w:type="dxa"/>
            <w:tcBorders>
              <w:top w:val="nil"/>
              <w:left w:val="nil"/>
              <w:bottom w:val="nil"/>
              <w:right w:val="nil"/>
            </w:tcBorders>
            <w:shd w:val="clear" w:color="auto" w:fill="auto"/>
            <w:noWrap/>
            <w:vAlign w:val="bottom"/>
            <w:hideMark/>
          </w:tcPr>
          <w:p w:rsidR="006B118D" w:rsidRPr="006B118D" w:rsidRDefault="006B118D" w:rsidP="006B118D">
            <w:pPr>
              <w:rPr>
                <w:rFonts w:ascii="Calibri" w:hAnsi="Calibri"/>
                <w:color w:val="000000"/>
                <w:sz w:val="22"/>
                <w:szCs w:val="22"/>
              </w:rPr>
            </w:pPr>
          </w:p>
        </w:tc>
      </w:tr>
      <w:tr w:rsidR="006B118D" w:rsidRPr="006B118D" w:rsidTr="006B118D">
        <w:trPr>
          <w:trHeight w:val="330"/>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National Archives and Records Administration</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6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r>
      <w:tr w:rsidR="006B118D" w:rsidRPr="006B118D" w:rsidTr="006B118D">
        <w:trPr>
          <w:trHeight w:val="315"/>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Department of the Navy</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6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r>
      <w:tr w:rsidR="006B118D" w:rsidRPr="006B118D" w:rsidTr="006B118D">
        <w:trPr>
          <w:trHeight w:val="315"/>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National Aeronautics and Space Administration</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6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r>
      <w:tr w:rsidR="006B118D" w:rsidRPr="006B118D" w:rsidTr="006B118D">
        <w:trPr>
          <w:trHeight w:val="315"/>
        </w:trPr>
        <w:tc>
          <w:tcPr>
            <w:tcW w:w="4840" w:type="dxa"/>
            <w:tcBorders>
              <w:top w:val="nil"/>
              <w:left w:val="nil"/>
              <w:bottom w:val="single" w:sz="8"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Department of Education</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c>
          <w:tcPr>
            <w:tcW w:w="196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r>
      <w:tr w:rsidR="006B118D" w:rsidRPr="006B118D" w:rsidTr="006B118D">
        <w:trPr>
          <w:trHeight w:val="315"/>
        </w:trPr>
        <w:tc>
          <w:tcPr>
            <w:tcW w:w="4840" w:type="dxa"/>
            <w:tcBorders>
              <w:top w:val="nil"/>
              <w:left w:val="nil"/>
              <w:bottom w:val="single" w:sz="12" w:space="0" w:color="auto"/>
              <w:right w:val="single" w:sz="8" w:space="0" w:color="auto"/>
            </w:tcBorders>
            <w:shd w:val="clear" w:color="auto" w:fill="auto"/>
            <w:noWrap/>
            <w:vAlign w:val="bottom"/>
            <w:hideMark/>
          </w:tcPr>
          <w:p w:rsidR="006B118D" w:rsidRPr="006B118D" w:rsidRDefault="006B118D" w:rsidP="006B118D">
            <w:pPr>
              <w:rPr>
                <w:rFonts w:ascii="Calibri" w:hAnsi="Calibri"/>
                <w:color w:val="000000"/>
                <w:sz w:val="22"/>
                <w:szCs w:val="22"/>
              </w:rPr>
            </w:pPr>
            <w:r w:rsidRPr="006B118D">
              <w:rPr>
                <w:rFonts w:ascii="Calibri" w:hAnsi="Calibri"/>
                <w:color w:val="000000"/>
                <w:sz w:val="22"/>
                <w:szCs w:val="22"/>
              </w:rPr>
              <w:t>Social Security Administration</w:t>
            </w:r>
          </w:p>
        </w:tc>
        <w:tc>
          <w:tcPr>
            <w:tcW w:w="190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40" w:type="dxa"/>
            <w:tcBorders>
              <w:top w:val="nil"/>
              <w:left w:val="nil"/>
              <w:bottom w:val="nil"/>
              <w:right w:val="nil"/>
            </w:tcBorders>
            <w:shd w:val="clear" w:color="000000" w:fill="C6EFCE"/>
            <w:noWrap/>
            <w:vAlign w:val="bottom"/>
            <w:hideMark/>
          </w:tcPr>
          <w:p w:rsidR="006B118D" w:rsidRPr="006B118D" w:rsidRDefault="006B118D" w:rsidP="006B118D">
            <w:pPr>
              <w:rPr>
                <w:rFonts w:ascii="Calibri" w:hAnsi="Calibri"/>
                <w:color w:val="006100"/>
                <w:sz w:val="22"/>
                <w:szCs w:val="22"/>
              </w:rPr>
            </w:pPr>
            <w:r w:rsidRPr="006B118D">
              <w:rPr>
                <w:rFonts w:ascii="Calibri" w:hAnsi="Calibri"/>
                <w:color w:val="006100"/>
                <w:sz w:val="22"/>
                <w:szCs w:val="22"/>
              </w:rPr>
              <w:t>Yes</w:t>
            </w:r>
          </w:p>
        </w:tc>
        <w:tc>
          <w:tcPr>
            <w:tcW w:w="1960" w:type="dxa"/>
            <w:tcBorders>
              <w:top w:val="nil"/>
              <w:left w:val="nil"/>
              <w:bottom w:val="nil"/>
              <w:right w:val="nil"/>
            </w:tcBorders>
            <w:shd w:val="clear" w:color="000000" w:fill="FFC7CE"/>
            <w:noWrap/>
            <w:vAlign w:val="bottom"/>
            <w:hideMark/>
          </w:tcPr>
          <w:p w:rsidR="006B118D" w:rsidRPr="006B118D" w:rsidRDefault="006B118D" w:rsidP="006B118D">
            <w:pPr>
              <w:rPr>
                <w:rFonts w:ascii="Calibri" w:hAnsi="Calibri"/>
                <w:color w:val="9C0006"/>
                <w:sz w:val="22"/>
                <w:szCs w:val="22"/>
              </w:rPr>
            </w:pPr>
            <w:r w:rsidRPr="006B118D">
              <w:rPr>
                <w:rFonts w:ascii="Calibri" w:hAnsi="Calibri"/>
                <w:color w:val="9C0006"/>
                <w:sz w:val="22"/>
                <w:szCs w:val="22"/>
              </w:rPr>
              <w:t>No</w:t>
            </w:r>
          </w:p>
        </w:tc>
      </w:tr>
    </w:tbl>
    <w:p w:rsidR="006C38AE" w:rsidRDefault="006C38AE" w:rsidP="006C38AE">
      <w:pPr>
        <w:ind w:left="1440"/>
      </w:pPr>
    </w:p>
    <w:p w:rsidR="006B118D" w:rsidRDefault="006B118D" w:rsidP="006C38AE">
      <w:pPr>
        <w:ind w:left="1440"/>
      </w:pPr>
    </w:p>
    <w:p w:rsidR="006C38AE" w:rsidRDefault="001F198C" w:rsidP="001F198C">
      <w:pPr>
        <w:ind w:left="1440"/>
      </w:pPr>
      <w:r>
        <w:t>ERA Adoption Phase 2</w:t>
      </w:r>
    </w:p>
    <w:p w:rsidR="001F198C" w:rsidRDefault="001F198C" w:rsidP="001F198C">
      <w:pPr>
        <w:ind w:left="1440"/>
      </w:pPr>
    </w:p>
    <w:p w:rsidR="001F198C" w:rsidRDefault="001F198C" w:rsidP="001F198C">
      <w:pPr>
        <w:ind w:left="1440"/>
      </w:pPr>
      <w:r>
        <w:t>Through September</w:t>
      </w:r>
      <w:r w:rsidR="005C604C">
        <w:t xml:space="preserve"> 2011</w:t>
      </w:r>
      <w:r w:rsidR="006F7903">
        <w:t>, nine</w:t>
      </w:r>
      <w:r>
        <w:t xml:space="preserve"> out of the </w:t>
      </w:r>
      <w:r w:rsidR="006F7903">
        <w:t>160</w:t>
      </w:r>
      <w:r>
        <w:t xml:space="preserve"> agencies have started using ERA</w:t>
      </w:r>
      <w:r w:rsidR="006F7903">
        <w:t>, a 6</w:t>
      </w:r>
      <w:r w:rsidR="00872994">
        <w:t>% adoption rate.  O</w:t>
      </w:r>
      <w:r w:rsidR="006F7903">
        <w:t xml:space="preserve">nly a handful of agencies </w:t>
      </w:r>
      <w:r>
        <w:t>have done more than obtain user accounts</w:t>
      </w:r>
      <w:r w:rsidR="006F7903">
        <w:t xml:space="preserve">.  Contributing to the slow start was the delay in deploying ERA Increment 5.  Because Increment 5 was not deployed until August 29, NARA encouraged the agencies </w:t>
      </w:r>
      <w:r w:rsidR="00F82C40">
        <w:t xml:space="preserve">with </w:t>
      </w:r>
      <w:r w:rsidR="006F7903">
        <w:t xml:space="preserve">July and August </w:t>
      </w:r>
      <w:r w:rsidR="00F82C40">
        <w:t xml:space="preserve">start months </w:t>
      </w:r>
      <w:r w:rsidR="006F7903">
        <w:t>to actually begin work in ERA in September.</w:t>
      </w:r>
    </w:p>
    <w:p w:rsidR="006F7903" w:rsidRDefault="006F7903" w:rsidP="001F198C">
      <w:pPr>
        <w:ind w:left="1440"/>
      </w:pPr>
    </w:p>
    <w:p w:rsidR="006F7903" w:rsidRDefault="006F7903" w:rsidP="001F198C">
      <w:pPr>
        <w:ind w:left="1440"/>
      </w:pPr>
      <w:r>
        <w:t>Although 160 agencies, combined with components within the CIO Council Agencies, represent the majority of the Federal Government, some agencies have not yet been assigned start dates yet.  During the first quarter of FY 2012, NARA will analyze the list and schedule any agencies that do not yet have a start date.</w:t>
      </w:r>
    </w:p>
    <w:p w:rsidR="006F7903" w:rsidRDefault="006F7903" w:rsidP="006F7903">
      <w:pPr>
        <w:pStyle w:val="IntenseQuote"/>
      </w:pPr>
      <w:r>
        <w:t xml:space="preserve"> Feedback from the Users</w:t>
      </w:r>
    </w:p>
    <w:p w:rsidR="006F7903" w:rsidRDefault="006F7903" w:rsidP="001F198C">
      <w:pPr>
        <w:ind w:left="1440"/>
      </w:pPr>
      <w:r>
        <w:t xml:space="preserve">NARA has </w:t>
      </w:r>
      <w:r w:rsidR="00F82C40">
        <w:t xml:space="preserve">twice </w:t>
      </w:r>
      <w:r>
        <w:t xml:space="preserve">systematically solicited feedback </w:t>
      </w:r>
      <w:r w:rsidR="00045280">
        <w:t>from ERA users:</w:t>
      </w:r>
    </w:p>
    <w:p w:rsidR="00045280" w:rsidRDefault="00045280" w:rsidP="001F198C">
      <w:pPr>
        <w:ind w:left="1440"/>
      </w:pPr>
    </w:p>
    <w:p w:rsidR="00045280" w:rsidRDefault="00045280" w:rsidP="00045280">
      <w:pPr>
        <w:ind w:left="1440"/>
      </w:pPr>
      <w:r>
        <w:t xml:space="preserve">ERA User Experience Focus Group, June 2, 2011.  The focus group consisted of eight agency users of ERA from the Departments of Navy, </w:t>
      </w:r>
      <w:r>
        <w:lastRenderedPageBreak/>
        <w:t>State, Justice, Treasury, and Interior.  The participants were asked five questions over a two-hour period:</w:t>
      </w:r>
    </w:p>
    <w:p w:rsidR="00045280" w:rsidRPr="00045280" w:rsidRDefault="00045280" w:rsidP="00045280">
      <w:pPr>
        <w:pStyle w:val="ListParagraph"/>
        <w:numPr>
          <w:ilvl w:val="0"/>
          <w:numId w:val="3"/>
        </w:numPr>
        <w:rPr>
          <w:rFonts w:ascii="Georgia" w:hAnsi="Georgia" w:cs="Arial"/>
        </w:rPr>
      </w:pPr>
      <w:r w:rsidRPr="00045280">
        <w:rPr>
          <w:rFonts w:ascii="Georgia" w:hAnsi="Georgia" w:cs="Arial"/>
        </w:rPr>
        <w:t>What has your experience been with ERA?</w:t>
      </w:r>
    </w:p>
    <w:p w:rsidR="00045280" w:rsidRPr="00045280" w:rsidRDefault="00045280" w:rsidP="00045280">
      <w:pPr>
        <w:pStyle w:val="ListParagraph"/>
        <w:numPr>
          <w:ilvl w:val="0"/>
          <w:numId w:val="3"/>
        </w:numPr>
        <w:rPr>
          <w:rFonts w:ascii="Georgia" w:hAnsi="Georgia" w:cs="Arial"/>
        </w:rPr>
      </w:pPr>
      <w:r w:rsidRPr="00045280">
        <w:rPr>
          <w:rFonts w:ascii="Georgia" w:hAnsi="Georgia" w:cs="Arial"/>
        </w:rPr>
        <w:t>What has worked well and not so well with scheduling records in ERA?</w:t>
      </w:r>
    </w:p>
    <w:p w:rsidR="00045280" w:rsidRPr="00045280" w:rsidRDefault="00045280" w:rsidP="00045280">
      <w:pPr>
        <w:pStyle w:val="ListParagraph"/>
        <w:numPr>
          <w:ilvl w:val="0"/>
          <w:numId w:val="3"/>
        </w:numPr>
        <w:rPr>
          <w:rFonts w:ascii="Georgia" w:hAnsi="Georgia" w:cs="Arial"/>
        </w:rPr>
      </w:pPr>
      <w:r w:rsidRPr="00045280">
        <w:rPr>
          <w:rFonts w:ascii="Georgia" w:hAnsi="Georgia" w:cs="Arial"/>
        </w:rPr>
        <w:t>What has worked well and not so well with transferring records in ERA?</w:t>
      </w:r>
    </w:p>
    <w:p w:rsidR="00045280" w:rsidRPr="00045280" w:rsidRDefault="00045280" w:rsidP="00045280">
      <w:pPr>
        <w:pStyle w:val="ListParagraph"/>
        <w:numPr>
          <w:ilvl w:val="0"/>
          <w:numId w:val="3"/>
        </w:numPr>
        <w:rPr>
          <w:rFonts w:ascii="Georgia" w:hAnsi="Georgia" w:cs="Arial"/>
        </w:rPr>
      </w:pPr>
      <w:r w:rsidRPr="00045280">
        <w:rPr>
          <w:rFonts w:ascii="Georgia" w:hAnsi="Georgia" w:cs="Arial"/>
        </w:rPr>
        <w:t>What has worked well and not so well with the Help Desk and NARA staff support?</w:t>
      </w:r>
    </w:p>
    <w:p w:rsidR="00045280" w:rsidRPr="00045280" w:rsidRDefault="00045280" w:rsidP="00045280">
      <w:pPr>
        <w:pStyle w:val="ListParagraph"/>
        <w:numPr>
          <w:ilvl w:val="0"/>
          <w:numId w:val="3"/>
        </w:numPr>
        <w:rPr>
          <w:rFonts w:ascii="Georgia" w:hAnsi="Georgia" w:cs="Arial"/>
        </w:rPr>
      </w:pPr>
      <w:r w:rsidRPr="00045280">
        <w:rPr>
          <w:rFonts w:ascii="Georgia" w:hAnsi="Georgia" w:cs="Arial"/>
        </w:rPr>
        <w:t>What has worked well and not so well with the website?</w:t>
      </w:r>
    </w:p>
    <w:p w:rsidR="00045280" w:rsidRDefault="00045280" w:rsidP="00045280"/>
    <w:p w:rsidR="00045280" w:rsidRDefault="001935EC" w:rsidP="00685A76">
      <w:pPr>
        <w:ind w:left="1440"/>
        <w:rPr>
          <w:rFonts w:ascii="Georgia" w:hAnsi="Georgia" w:cs="Arial"/>
        </w:rPr>
      </w:pPr>
      <w:r>
        <w:rPr>
          <w:rFonts w:ascii="Georgia" w:hAnsi="Georgia" w:cs="Arial"/>
        </w:rPr>
        <w:t>The group gave high marks to the Help D</w:t>
      </w:r>
      <w:r w:rsidR="00045280">
        <w:rPr>
          <w:rFonts w:ascii="Georgia" w:hAnsi="Georgia" w:cs="Arial"/>
        </w:rPr>
        <w:t>esk and NARA staff support as positive aspect</w:t>
      </w:r>
      <w:r>
        <w:rPr>
          <w:rFonts w:ascii="Georgia" w:hAnsi="Georgia" w:cs="Arial"/>
        </w:rPr>
        <w:t>s</w:t>
      </w:r>
      <w:r w:rsidR="00045280">
        <w:rPr>
          <w:rFonts w:ascii="Georgia" w:hAnsi="Georgia" w:cs="Arial"/>
        </w:rPr>
        <w:t xml:space="preserve"> of the ERA experience.  On the negative side, the group characterized ERA as </w:t>
      </w:r>
      <w:r w:rsidR="00685A76">
        <w:rPr>
          <w:rFonts w:ascii="Georgia" w:hAnsi="Georgia" w:cs="Arial"/>
        </w:rPr>
        <w:t xml:space="preserve">an </w:t>
      </w:r>
      <w:r w:rsidR="00045280">
        <w:rPr>
          <w:rFonts w:ascii="Georgia" w:hAnsi="Georgia" w:cs="Arial"/>
        </w:rPr>
        <w:t>overly complicated and confusing system to use</w:t>
      </w:r>
      <w:r w:rsidR="00685A76">
        <w:rPr>
          <w:rFonts w:ascii="Georgia" w:hAnsi="Georgia" w:cs="Arial"/>
        </w:rPr>
        <w:t>.  T</w:t>
      </w:r>
      <w:r w:rsidR="00045280">
        <w:rPr>
          <w:rFonts w:ascii="Georgia" w:hAnsi="Georgia" w:cs="Arial"/>
        </w:rPr>
        <w:t xml:space="preserve">he most common complaint was the lack of a </w:t>
      </w:r>
      <w:r>
        <w:rPr>
          <w:rFonts w:ascii="Georgia" w:hAnsi="Georgia" w:cs="Arial"/>
        </w:rPr>
        <w:t xml:space="preserve">user </w:t>
      </w:r>
      <w:r w:rsidR="00045280">
        <w:rPr>
          <w:rFonts w:ascii="Georgia" w:hAnsi="Georgia" w:cs="Arial"/>
        </w:rPr>
        <w:t>manual that c</w:t>
      </w:r>
      <w:r>
        <w:rPr>
          <w:rFonts w:ascii="Georgia" w:hAnsi="Georgia" w:cs="Arial"/>
        </w:rPr>
        <w:t>ould</w:t>
      </w:r>
      <w:r w:rsidR="00045280">
        <w:rPr>
          <w:rFonts w:ascii="Georgia" w:hAnsi="Georgia" w:cs="Arial"/>
        </w:rPr>
        <w:t xml:space="preserve"> be printed out and </w:t>
      </w:r>
      <w:r>
        <w:rPr>
          <w:rFonts w:ascii="Georgia" w:hAnsi="Georgia" w:cs="Arial"/>
        </w:rPr>
        <w:t xml:space="preserve">referenced </w:t>
      </w:r>
      <w:r w:rsidR="00045280">
        <w:rPr>
          <w:rFonts w:ascii="Georgia" w:hAnsi="Georgia" w:cs="Arial"/>
        </w:rPr>
        <w:t>wh</w:t>
      </w:r>
      <w:r>
        <w:rPr>
          <w:rFonts w:ascii="Georgia" w:hAnsi="Georgia" w:cs="Arial"/>
        </w:rPr>
        <w:t>ile</w:t>
      </w:r>
      <w:r w:rsidR="00045280">
        <w:rPr>
          <w:rFonts w:ascii="Georgia" w:hAnsi="Georgia" w:cs="Arial"/>
        </w:rPr>
        <w:t xml:space="preserve"> </w:t>
      </w:r>
      <w:r>
        <w:rPr>
          <w:rFonts w:ascii="Georgia" w:hAnsi="Georgia" w:cs="Arial"/>
        </w:rPr>
        <w:t>accessing</w:t>
      </w:r>
      <w:r w:rsidR="00045280">
        <w:rPr>
          <w:rFonts w:ascii="Georgia" w:hAnsi="Georgia" w:cs="Arial"/>
        </w:rPr>
        <w:t xml:space="preserve"> the system.  </w:t>
      </w:r>
      <w:r w:rsidR="00685A76">
        <w:rPr>
          <w:rFonts w:ascii="Georgia" w:hAnsi="Georgia" w:cs="Arial"/>
        </w:rPr>
        <w:t xml:space="preserve"> They thought the system had and overly complicated workflow and that it took numerous </w:t>
      </w:r>
      <w:r>
        <w:rPr>
          <w:rFonts w:ascii="Georgia" w:hAnsi="Georgia" w:cs="Arial"/>
        </w:rPr>
        <w:t xml:space="preserve">steps </w:t>
      </w:r>
      <w:r w:rsidR="00045280">
        <w:rPr>
          <w:rFonts w:ascii="Georgia" w:hAnsi="Georgia" w:cs="Arial"/>
        </w:rPr>
        <w:t xml:space="preserve">to create, submit, and subsequently manage the schedules and transfer requests.  </w:t>
      </w:r>
      <w:r w:rsidR="00685A76">
        <w:rPr>
          <w:rFonts w:ascii="Georgia" w:hAnsi="Georgia" w:cs="Arial"/>
        </w:rPr>
        <w:t xml:space="preserve">Some </w:t>
      </w:r>
      <w:r>
        <w:rPr>
          <w:rFonts w:ascii="Georgia" w:hAnsi="Georgia" w:cs="Arial"/>
        </w:rPr>
        <w:t xml:space="preserve">time </w:t>
      </w:r>
      <w:r w:rsidR="00685A76">
        <w:rPr>
          <w:rFonts w:ascii="Georgia" w:hAnsi="Georgia" w:cs="Arial"/>
        </w:rPr>
        <w:t xml:space="preserve">consuming aspects of the system included </w:t>
      </w:r>
      <w:r>
        <w:rPr>
          <w:rFonts w:ascii="Georgia" w:hAnsi="Georgia" w:cs="Arial"/>
        </w:rPr>
        <w:t xml:space="preserve">the </w:t>
      </w:r>
      <w:r w:rsidR="00685A76">
        <w:rPr>
          <w:rFonts w:ascii="Georgia" w:hAnsi="Georgia" w:cs="Arial"/>
        </w:rPr>
        <w:t xml:space="preserve">inability to find business objects, the process of populating the system with already approved records schedules, and communication with them </w:t>
      </w:r>
      <w:r>
        <w:rPr>
          <w:rFonts w:ascii="Georgia" w:hAnsi="Georgia" w:cs="Arial"/>
        </w:rPr>
        <w:t xml:space="preserve">from NARA </w:t>
      </w:r>
      <w:r w:rsidR="00685A76">
        <w:rPr>
          <w:rFonts w:ascii="Georgia" w:hAnsi="Georgia" w:cs="Arial"/>
        </w:rPr>
        <w:t>about the status of ERA actions.</w:t>
      </w:r>
    </w:p>
    <w:p w:rsidR="00685A76" w:rsidRDefault="00685A76" w:rsidP="00685A76">
      <w:pPr>
        <w:ind w:left="1440"/>
        <w:rPr>
          <w:rFonts w:ascii="Georgia" w:hAnsi="Georgia" w:cs="Arial"/>
        </w:rPr>
      </w:pPr>
    </w:p>
    <w:p w:rsidR="00685A76" w:rsidRDefault="00685A76" w:rsidP="00685A76">
      <w:pPr>
        <w:ind w:left="1440"/>
        <w:rPr>
          <w:rFonts w:ascii="Georgia" w:hAnsi="Georgia" w:cs="Arial"/>
        </w:rPr>
      </w:pPr>
      <w:r>
        <w:rPr>
          <w:rFonts w:ascii="Georgia" w:hAnsi="Georgia" w:cs="Arial"/>
        </w:rPr>
        <w:t>NARA followed up with an individual response to each participant indicating the actions NARA would take to address their concerns.  Many of the concerns have been resolved, such as, a printable users’ manual, and other concerns were addressed in the most recent Increment 5 deployment.</w:t>
      </w:r>
    </w:p>
    <w:p w:rsidR="00685A76" w:rsidRDefault="00685A76" w:rsidP="00685A76">
      <w:pPr>
        <w:ind w:left="1440"/>
        <w:rPr>
          <w:rFonts w:ascii="Georgia" w:hAnsi="Georgia" w:cs="Arial"/>
        </w:rPr>
      </w:pPr>
    </w:p>
    <w:p w:rsidR="00685A76" w:rsidRDefault="00685A76" w:rsidP="00685A76">
      <w:pPr>
        <w:ind w:left="1440"/>
        <w:rPr>
          <w:rFonts w:ascii="Georgia" w:hAnsi="Georgia" w:cs="Arial"/>
        </w:rPr>
      </w:pPr>
      <w:r>
        <w:rPr>
          <w:rFonts w:ascii="Georgia" w:hAnsi="Georgia" w:cs="Arial"/>
        </w:rPr>
        <w:t>ERA User Experience Survey, September 30, 2011.  From September 15 until September 30, 2011, NARA surveyed all of the active users of ERA.  The online survey solicited feedback in a number of different ERA areas:</w:t>
      </w:r>
    </w:p>
    <w:p w:rsidR="00685A76" w:rsidRDefault="00685A76" w:rsidP="00685A76">
      <w:pPr>
        <w:ind w:left="1440"/>
        <w:rPr>
          <w:rFonts w:ascii="Georgia" w:hAnsi="Georgia" w:cs="Arial"/>
        </w:rPr>
      </w:pPr>
    </w:p>
    <w:p w:rsidR="00685A76" w:rsidRDefault="00685A76" w:rsidP="00685A76">
      <w:pPr>
        <w:pStyle w:val="ListParagraph"/>
        <w:numPr>
          <w:ilvl w:val="0"/>
          <w:numId w:val="5"/>
        </w:numPr>
        <w:rPr>
          <w:rFonts w:ascii="Georgia" w:hAnsi="Georgia" w:cs="Arial"/>
        </w:rPr>
      </w:pPr>
      <w:r>
        <w:rPr>
          <w:rFonts w:ascii="Georgia" w:hAnsi="Georgia" w:cs="Arial"/>
        </w:rPr>
        <w:t>Scheduling records using ERA</w:t>
      </w:r>
    </w:p>
    <w:p w:rsidR="00685A76" w:rsidRDefault="00685A76" w:rsidP="00685A76">
      <w:pPr>
        <w:pStyle w:val="ListParagraph"/>
        <w:numPr>
          <w:ilvl w:val="0"/>
          <w:numId w:val="5"/>
        </w:numPr>
        <w:rPr>
          <w:rFonts w:ascii="Georgia" w:hAnsi="Georgia" w:cs="Arial"/>
        </w:rPr>
      </w:pPr>
      <w:r>
        <w:rPr>
          <w:rFonts w:ascii="Georgia" w:hAnsi="Georgia" w:cs="Arial"/>
        </w:rPr>
        <w:t>Transferring records using ERA</w:t>
      </w:r>
    </w:p>
    <w:p w:rsidR="00685A76" w:rsidRDefault="003606EC" w:rsidP="00685A76">
      <w:pPr>
        <w:pStyle w:val="ListParagraph"/>
        <w:numPr>
          <w:ilvl w:val="0"/>
          <w:numId w:val="5"/>
        </w:numPr>
        <w:rPr>
          <w:rFonts w:ascii="Georgia" w:hAnsi="Georgia" w:cs="Arial"/>
        </w:rPr>
      </w:pPr>
      <w:r>
        <w:rPr>
          <w:rFonts w:ascii="Georgia" w:hAnsi="Georgia" w:cs="Arial"/>
        </w:rPr>
        <w:t>Seeking assistance from the Help desk</w:t>
      </w:r>
    </w:p>
    <w:p w:rsidR="003606EC" w:rsidRDefault="003606EC" w:rsidP="00685A76">
      <w:pPr>
        <w:pStyle w:val="ListParagraph"/>
        <w:numPr>
          <w:ilvl w:val="0"/>
          <w:numId w:val="5"/>
        </w:numPr>
        <w:rPr>
          <w:rFonts w:ascii="Georgia" w:hAnsi="Georgia" w:cs="Arial"/>
        </w:rPr>
      </w:pPr>
      <w:r>
        <w:rPr>
          <w:rFonts w:ascii="Georgia" w:hAnsi="Georgia" w:cs="Arial"/>
        </w:rPr>
        <w:t>Seeking assistance from NARA staff</w:t>
      </w:r>
    </w:p>
    <w:p w:rsidR="003606EC" w:rsidRDefault="003606EC" w:rsidP="00685A76">
      <w:pPr>
        <w:pStyle w:val="ListParagraph"/>
        <w:numPr>
          <w:ilvl w:val="0"/>
          <w:numId w:val="5"/>
        </w:numPr>
        <w:rPr>
          <w:rFonts w:ascii="Georgia" w:hAnsi="Georgia" w:cs="Arial"/>
        </w:rPr>
      </w:pPr>
      <w:r>
        <w:rPr>
          <w:rFonts w:ascii="Georgia" w:hAnsi="Georgia" w:cs="Arial"/>
        </w:rPr>
        <w:t>Seeking assistance on NARA’s web site</w:t>
      </w:r>
    </w:p>
    <w:p w:rsidR="003606EC" w:rsidRDefault="003606EC" w:rsidP="00685A76">
      <w:pPr>
        <w:pStyle w:val="ListParagraph"/>
        <w:numPr>
          <w:ilvl w:val="0"/>
          <w:numId w:val="5"/>
        </w:numPr>
        <w:rPr>
          <w:rFonts w:ascii="Georgia" w:hAnsi="Georgia" w:cs="Arial"/>
        </w:rPr>
      </w:pPr>
      <w:r>
        <w:rPr>
          <w:rFonts w:ascii="Georgia" w:hAnsi="Georgia" w:cs="Arial"/>
        </w:rPr>
        <w:t>Account sign up process</w:t>
      </w:r>
    </w:p>
    <w:p w:rsidR="003606EC" w:rsidRPr="00685A76" w:rsidRDefault="003606EC" w:rsidP="003606EC">
      <w:pPr>
        <w:pStyle w:val="ListParagraph"/>
        <w:ind w:left="2209"/>
        <w:rPr>
          <w:rFonts w:ascii="Georgia" w:hAnsi="Georgia" w:cs="Arial"/>
        </w:rPr>
      </w:pPr>
    </w:p>
    <w:p w:rsidR="00045280" w:rsidRDefault="003606EC" w:rsidP="00045280">
      <w:pPr>
        <w:ind w:left="1440"/>
        <w:rPr>
          <w:rFonts w:ascii="Georgia" w:hAnsi="Georgia" w:cs="Arial"/>
        </w:rPr>
      </w:pPr>
      <w:r>
        <w:rPr>
          <w:rFonts w:ascii="Georgia" w:hAnsi="Georgia" w:cs="Arial"/>
        </w:rPr>
        <w:t xml:space="preserve">Users were asked to rank </w:t>
      </w:r>
      <w:r w:rsidR="001935EC">
        <w:rPr>
          <w:rFonts w:ascii="Georgia" w:hAnsi="Georgia" w:cs="Arial"/>
        </w:rPr>
        <w:t xml:space="preserve">their </w:t>
      </w:r>
      <w:r>
        <w:rPr>
          <w:rFonts w:ascii="Georgia" w:hAnsi="Georgia" w:cs="Arial"/>
        </w:rPr>
        <w:t xml:space="preserve">levels </w:t>
      </w:r>
      <w:r w:rsidR="001935EC">
        <w:rPr>
          <w:rFonts w:ascii="Georgia" w:hAnsi="Georgia" w:cs="Arial"/>
        </w:rPr>
        <w:t xml:space="preserve">of satisfaction in the above in a range </w:t>
      </w:r>
      <w:r>
        <w:rPr>
          <w:rFonts w:ascii="Georgia" w:hAnsi="Georgia" w:cs="Arial"/>
        </w:rPr>
        <w:t xml:space="preserve">from </w:t>
      </w:r>
      <w:r w:rsidR="001935EC">
        <w:rPr>
          <w:rFonts w:ascii="Georgia" w:hAnsi="Georgia" w:cs="Arial"/>
        </w:rPr>
        <w:t>“</w:t>
      </w:r>
      <w:r>
        <w:rPr>
          <w:rFonts w:ascii="Georgia" w:hAnsi="Georgia" w:cs="Arial"/>
        </w:rPr>
        <w:t>very satisfied</w:t>
      </w:r>
      <w:r w:rsidR="001935EC">
        <w:rPr>
          <w:rFonts w:ascii="Georgia" w:hAnsi="Georgia" w:cs="Arial"/>
        </w:rPr>
        <w:t>”</w:t>
      </w:r>
      <w:r>
        <w:rPr>
          <w:rFonts w:ascii="Georgia" w:hAnsi="Georgia" w:cs="Arial"/>
        </w:rPr>
        <w:t xml:space="preserve"> to </w:t>
      </w:r>
      <w:r w:rsidR="001935EC">
        <w:rPr>
          <w:rFonts w:ascii="Georgia" w:hAnsi="Georgia" w:cs="Arial"/>
        </w:rPr>
        <w:t>“</w:t>
      </w:r>
      <w:r>
        <w:rPr>
          <w:rFonts w:ascii="Georgia" w:hAnsi="Georgia" w:cs="Arial"/>
        </w:rPr>
        <w:t>very unsatisfied.</w:t>
      </w:r>
      <w:r w:rsidR="001935EC">
        <w:rPr>
          <w:rFonts w:ascii="Georgia" w:hAnsi="Georgia" w:cs="Arial"/>
        </w:rPr>
        <w:t>”</w:t>
      </w:r>
      <w:r>
        <w:rPr>
          <w:rFonts w:ascii="Georgia" w:hAnsi="Georgia" w:cs="Arial"/>
        </w:rPr>
        <w:t xml:space="preserve">  If users ranked a certain element </w:t>
      </w:r>
      <w:r w:rsidR="001935EC">
        <w:rPr>
          <w:rFonts w:ascii="Georgia" w:hAnsi="Georgia" w:cs="Arial"/>
        </w:rPr>
        <w:t>“</w:t>
      </w:r>
      <w:r>
        <w:rPr>
          <w:rFonts w:ascii="Georgia" w:hAnsi="Georgia" w:cs="Arial"/>
        </w:rPr>
        <w:t>neutral</w:t>
      </w:r>
      <w:r w:rsidR="001935EC">
        <w:rPr>
          <w:rFonts w:ascii="Georgia" w:hAnsi="Georgia" w:cs="Arial"/>
        </w:rPr>
        <w:t>”</w:t>
      </w:r>
      <w:r>
        <w:rPr>
          <w:rFonts w:ascii="Georgia" w:hAnsi="Georgia" w:cs="Arial"/>
        </w:rPr>
        <w:t xml:space="preserve"> to </w:t>
      </w:r>
      <w:r w:rsidR="001935EC">
        <w:rPr>
          <w:rFonts w:ascii="Georgia" w:hAnsi="Georgia" w:cs="Arial"/>
        </w:rPr>
        <w:t>“</w:t>
      </w:r>
      <w:r>
        <w:rPr>
          <w:rFonts w:ascii="Georgia" w:hAnsi="Georgia" w:cs="Arial"/>
        </w:rPr>
        <w:t>very unsatisfied</w:t>
      </w:r>
      <w:r w:rsidR="001935EC">
        <w:rPr>
          <w:rFonts w:ascii="Georgia" w:hAnsi="Georgia" w:cs="Arial"/>
        </w:rPr>
        <w:t>,”</w:t>
      </w:r>
      <w:r>
        <w:rPr>
          <w:rFonts w:ascii="Georgia" w:hAnsi="Georgia" w:cs="Arial"/>
        </w:rPr>
        <w:t xml:space="preserve"> they were asked why </w:t>
      </w:r>
      <w:r>
        <w:rPr>
          <w:rFonts w:ascii="Georgia" w:hAnsi="Georgia" w:cs="Arial"/>
        </w:rPr>
        <w:lastRenderedPageBreak/>
        <w:t xml:space="preserve">they gave a negative rating.  </w:t>
      </w:r>
      <w:r w:rsidR="001935EC">
        <w:rPr>
          <w:rFonts w:ascii="Georgia" w:hAnsi="Georgia" w:cs="Arial"/>
        </w:rPr>
        <w:t>NARA</w:t>
      </w:r>
      <w:r>
        <w:rPr>
          <w:rFonts w:ascii="Georgia" w:hAnsi="Georgia" w:cs="Arial"/>
        </w:rPr>
        <w:t xml:space="preserve"> asked for feedback regarding </w:t>
      </w:r>
      <w:r w:rsidR="004735EE">
        <w:rPr>
          <w:rFonts w:ascii="Georgia" w:hAnsi="Georgia" w:cs="Arial"/>
        </w:rPr>
        <w:t xml:space="preserve">their </w:t>
      </w:r>
      <w:r w:rsidR="001935EC">
        <w:rPr>
          <w:rFonts w:ascii="Georgia" w:hAnsi="Georgia" w:cs="Arial"/>
        </w:rPr>
        <w:t>thought</w:t>
      </w:r>
      <w:r w:rsidR="004735EE">
        <w:rPr>
          <w:rFonts w:ascii="Georgia" w:hAnsi="Georgia" w:cs="Arial"/>
        </w:rPr>
        <w:t xml:space="preserve">s on </w:t>
      </w:r>
      <w:r>
        <w:rPr>
          <w:rFonts w:ascii="Georgia" w:hAnsi="Georgia" w:cs="Arial"/>
        </w:rPr>
        <w:t xml:space="preserve">positive aspects </w:t>
      </w:r>
      <w:r w:rsidR="004735EE">
        <w:rPr>
          <w:rFonts w:ascii="Georgia" w:hAnsi="Georgia" w:cs="Arial"/>
        </w:rPr>
        <w:t xml:space="preserve">of system </w:t>
      </w:r>
      <w:r>
        <w:rPr>
          <w:rFonts w:ascii="Georgia" w:hAnsi="Georgia" w:cs="Arial"/>
        </w:rPr>
        <w:t xml:space="preserve">and </w:t>
      </w:r>
      <w:r w:rsidR="004735EE">
        <w:rPr>
          <w:rFonts w:ascii="Georgia" w:hAnsi="Georgia" w:cs="Arial"/>
        </w:rPr>
        <w:t xml:space="preserve">their </w:t>
      </w:r>
      <w:r>
        <w:rPr>
          <w:rFonts w:ascii="Georgia" w:hAnsi="Georgia" w:cs="Arial"/>
        </w:rPr>
        <w:t>suggestions for improvement.  Finally, they were asked to give their overall level of satisfaction with the system.</w:t>
      </w:r>
    </w:p>
    <w:p w:rsidR="003606EC" w:rsidRDefault="003606EC" w:rsidP="00045280">
      <w:pPr>
        <w:ind w:left="1440"/>
        <w:rPr>
          <w:rFonts w:ascii="Georgia" w:hAnsi="Georgia" w:cs="Arial"/>
        </w:rPr>
      </w:pPr>
    </w:p>
    <w:p w:rsidR="003606EC" w:rsidRDefault="003606EC" w:rsidP="00045280">
      <w:pPr>
        <w:ind w:left="1440"/>
        <w:rPr>
          <w:rFonts w:ascii="Georgia" w:hAnsi="Georgia" w:cs="Arial"/>
        </w:rPr>
      </w:pPr>
      <w:r>
        <w:rPr>
          <w:rFonts w:ascii="Georgia" w:hAnsi="Georgia" w:cs="Arial"/>
        </w:rPr>
        <w:t>As of the writing of this report, when asked the question:</w:t>
      </w:r>
    </w:p>
    <w:p w:rsidR="003606EC" w:rsidRDefault="003606EC" w:rsidP="00045280">
      <w:pPr>
        <w:ind w:left="1440"/>
        <w:rPr>
          <w:rFonts w:ascii="Georgia" w:hAnsi="Georgia" w:cs="Arial"/>
        </w:rPr>
      </w:pPr>
    </w:p>
    <w:p w:rsidR="003606EC" w:rsidRPr="006B118D" w:rsidRDefault="003606EC" w:rsidP="00045280">
      <w:pPr>
        <w:ind w:left="1440"/>
        <w:rPr>
          <w:rFonts w:ascii="Georgia" w:hAnsi="Georgia" w:cs="Arial"/>
        </w:rPr>
      </w:pPr>
      <w:r w:rsidRPr="006B118D">
        <w:rPr>
          <w:rFonts w:ascii="Georgia" w:hAnsi="Georgia" w:cs="Arial"/>
        </w:rPr>
        <w:t>Overall, how would you rate your level of satisfaction with ERA?</w:t>
      </w:r>
      <w:r w:rsidR="006B118D">
        <w:rPr>
          <w:rFonts w:ascii="Georgia" w:hAnsi="Georgia" w:cs="Arial"/>
        </w:rPr>
        <w:t xml:space="preserve">  A total of 44% of the survey respondents were satisfied with ERA overall, with another 44% neutral about their ERA experience.  Only 12% were unsatisfied with ERA.</w:t>
      </w:r>
    </w:p>
    <w:p w:rsidR="003606EC" w:rsidRDefault="003606EC" w:rsidP="00045280">
      <w:pPr>
        <w:ind w:left="1440"/>
        <w:rPr>
          <w:rFonts w:ascii="Georgia" w:hAnsi="Georgia" w:cs="Arial"/>
        </w:rPr>
      </w:pPr>
    </w:p>
    <w:tbl>
      <w:tblPr>
        <w:tblStyle w:val="LightShading-Accent11"/>
        <w:tblpPr w:leftFromText="180" w:rightFromText="180" w:vertAnchor="text" w:horzAnchor="page" w:tblpX="3293" w:tblpY="41"/>
        <w:tblW w:w="3793" w:type="pct"/>
        <w:tblLook w:val="04A0"/>
      </w:tblPr>
      <w:tblGrid>
        <w:gridCol w:w="936"/>
        <w:gridCol w:w="1310"/>
        <w:gridCol w:w="963"/>
        <w:gridCol w:w="3509"/>
      </w:tblGrid>
      <w:tr w:rsidR="00DD3214" w:rsidTr="00FE558D">
        <w:trPr>
          <w:cnfStyle w:val="100000000000"/>
        </w:trPr>
        <w:tc>
          <w:tcPr>
            <w:cnfStyle w:val="001000000000"/>
            <w:tcW w:w="717" w:type="dxa"/>
            <w:hideMark/>
          </w:tcPr>
          <w:p w:rsidR="00DD3214" w:rsidRPr="00FE558D" w:rsidRDefault="00DD3214" w:rsidP="00DD3214">
            <w:pPr>
              <w:spacing w:line="336" w:lineRule="atLeast"/>
              <w:rPr>
                <w:rStyle w:val="IntenseEmphasis"/>
              </w:rPr>
            </w:pPr>
            <w:r w:rsidRPr="00FE558D">
              <w:rPr>
                <w:rStyle w:val="IntenseEmphasis"/>
              </w:rPr>
              <w:t xml:space="preserve">Answer </w:t>
            </w:r>
          </w:p>
        </w:tc>
        <w:tc>
          <w:tcPr>
            <w:tcW w:w="957" w:type="dxa"/>
            <w:hideMark/>
          </w:tcPr>
          <w:p w:rsidR="00DD3214" w:rsidRPr="00FE558D" w:rsidRDefault="00DD3214" w:rsidP="00DD3214">
            <w:pPr>
              <w:spacing w:line="336" w:lineRule="atLeast"/>
              <w:jc w:val="center"/>
              <w:cnfStyle w:val="100000000000"/>
              <w:rPr>
                <w:rStyle w:val="IntenseEmphasis"/>
              </w:rPr>
            </w:pPr>
            <w:r w:rsidRPr="00FE558D">
              <w:rPr>
                <w:rStyle w:val="IntenseEmphasis"/>
              </w:rPr>
              <w:t>Count</w:t>
            </w:r>
          </w:p>
        </w:tc>
        <w:tc>
          <w:tcPr>
            <w:tcW w:w="727" w:type="dxa"/>
            <w:hideMark/>
          </w:tcPr>
          <w:p w:rsidR="00DD3214" w:rsidRPr="00FE558D" w:rsidRDefault="00DD3214" w:rsidP="00DD3214">
            <w:pPr>
              <w:spacing w:line="336" w:lineRule="atLeast"/>
              <w:jc w:val="center"/>
              <w:cnfStyle w:val="100000000000"/>
              <w:rPr>
                <w:rStyle w:val="IntenseEmphasis"/>
              </w:rPr>
            </w:pPr>
            <w:r w:rsidRPr="00FE558D">
              <w:rPr>
                <w:rStyle w:val="IntenseEmphasis"/>
              </w:rPr>
              <w:t>Percent</w:t>
            </w:r>
          </w:p>
        </w:tc>
        <w:tc>
          <w:tcPr>
            <w:tcW w:w="4203" w:type="dxa"/>
            <w:hideMark/>
          </w:tcPr>
          <w:tbl>
            <w:tblPr>
              <w:tblW w:w="5000" w:type="pct"/>
              <w:tblCellSpacing w:w="15" w:type="dxa"/>
              <w:tblCellMar>
                <w:top w:w="15" w:type="dxa"/>
                <w:left w:w="15" w:type="dxa"/>
                <w:bottom w:w="15" w:type="dxa"/>
                <w:right w:w="15" w:type="dxa"/>
              </w:tblCellMar>
              <w:tblLook w:val="04A0"/>
            </w:tblPr>
            <w:tblGrid>
              <w:gridCol w:w="666"/>
              <w:gridCol w:w="652"/>
              <w:gridCol w:w="652"/>
              <w:gridCol w:w="652"/>
              <w:gridCol w:w="671"/>
            </w:tblGrid>
            <w:tr w:rsidR="00DD3214" w:rsidRPr="00FE558D" w:rsidTr="007F3520">
              <w:trPr>
                <w:tblCellSpacing w:w="15" w:type="dxa"/>
              </w:trPr>
              <w:tc>
                <w:tcPr>
                  <w:tcW w:w="1000" w:type="pct"/>
                  <w:tcBorders>
                    <w:top w:val="nil"/>
                    <w:left w:val="nil"/>
                    <w:bottom w:val="nil"/>
                    <w:right w:val="nil"/>
                  </w:tcBorders>
                  <w:tcMar>
                    <w:top w:w="25" w:type="dxa"/>
                    <w:left w:w="33" w:type="dxa"/>
                    <w:bottom w:w="25" w:type="dxa"/>
                    <w:right w:w="33" w:type="dxa"/>
                  </w:tcMar>
                  <w:vAlign w:val="center"/>
                  <w:hideMark/>
                </w:tcPr>
                <w:p w:rsidR="00DD3214" w:rsidRPr="00FE558D" w:rsidRDefault="00DD3214" w:rsidP="00C70455">
                  <w:pPr>
                    <w:framePr w:hSpace="180" w:wrap="around" w:vAnchor="text" w:hAnchor="page" w:x="3293" w:y="41"/>
                    <w:spacing w:line="336" w:lineRule="atLeast"/>
                    <w:jc w:val="right"/>
                    <w:rPr>
                      <w:rStyle w:val="IntenseEmphasis"/>
                    </w:rPr>
                  </w:pPr>
                  <w:r w:rsidRPr="00FE558D">
                    <w:rPr>
                      <w:rStyle w:val="IntenseEmphasis"/>
                    </w:rPr>
                    <w:t>20%</w:t>
                  </w:r>
                </w:p>
              </w:tc>
              <w:tc>
                <w:tcPr>
                  <w:tcW w:w="1000" w:type="pct"/>
                  <w:tcBorders>
                    <w:top w:val="nil"/>
                    <w:left w:val="nil"/>
                    <w:bottom w:val="nil"/>
                    <w:right w:val="nil"/>
                  </w:tcBorders>
                  <w:tcMar>
                    <w:top w:w="25" w:type="dxa"/>
                    <w:left w:w="33" w:type="dxa"/>
                    <w:bottom w:w="25" w:type="dxa"/>
                    <w:right w:w="33" w:type="dxa"/>
                  </w:tcMar>
                  <w:vAlign w:val="center"/>
                  <w:hideMark/>
                </w:tcPr>
                <w:p w:rsidR="00DD3214" w:rsidRPr="00FE558D" w:rsidRDefault="00DD3214" w:rsidP="00C70455">
                  <w:pPr>
                    <w:framePr w:hSpace="180" w:wrap="around" w:vAnchor="text" w:hAnchor="page" w:x="3293" w:y="41"/>
                    <w:spacing w:line="336" w:lineRule="atLeast"/>
                    <w:jc w:val="right"/>
                    <w:rPr>
                      <w:rStyle w:val="IntenseEmphasis"/>
                    </w:rPr>
                  </w:pPr>
                  <w:r w:rsidRPr="00FE558D">
                    <w:rPr>
                      <w:rStyle w:val="IntenseEmphasis"/>
                    </w:rPr>
                    <w:t>40%</w:t>
                  </w:r>
                </w:p>
              </w:tc>
              <w:tc>
                <w:tcPr>
                  <w:tcW w:w="1000" w:type="pct"/>
                  <w:tcBorders>
                    <w:top w:val="nil"/>
                    <w:left w:val="nil"/>
                    <w:bottom w:val="nil"/>
                    <w:right w:val="nil"/>
                  </w:tcBorders>
                  <w:tcMar>
                    <w:top w:w="25" w:type="dxa"/>
                    <w:left w:w="33" w:type="dxa"/>
                    <w:bottom w:w="25" w:type="dxa"/>
                    <w:right w:w="33" w:type="dxa"/>
                  </w:tcMar>
                  <w:vAlign w:val="center"/>
                  <w:hideMark/>
                </w:tcPr>
                <w:p w:rsidR="00DD3214" w:rsidRPr="00FE558D" w:rsidRDefault="00DD3214" w:rsidP="00C70455">
                  <w:pPr>
                    <w:framePr w:hSpace="180" w:wrap="around" w:vAnchor="text" w:hAnchor="page" w:x="3293" w:y="41"/>
                    <w:spacing w:line="336" w:lineRule="atLeast"/>
                    <w:jc w:val="right"/>
                    <w:rPr>
                      <w:rStyle w:val="IntenseEmphasis"/>
                    </w:rPr>
                  </w:pPr>
                  <w:r w:rsidRPr="00FE558D">
                    <w:rPr>
                      <w:rStyle w:val="IntenseEmphasis"/>
                    </w:rPr>
                    <w:t>60%</w:t>
                  </w:r>
                </w:p>
              </w:tc>
              <w:tc>
                <w:tcPr>
                  <w:tcW w:w="1000" w:type="pct"/>
                  <w:tcBorders>
                    <w:top w:val="nil"/>
                    <w:left w:val="nil"/>
                    <w:bottom w:val="nil"/>
                    <w:right w:val="nil"/>
                  </w:tcBorders>
                  <w:tcMar>
                    <w:top w:w="25" w:type="dxa"/>
                    <w:left w:w="33" w:type="dxa"/>
                    <w:bottom w:w="25" w:type="dxa"/>
                    <w:right w:w="33" w:type="dxa"/>
                  </w:tcMar>
                  <w:vAlign w:val="center"/>
                  <w:hideMark/>
                </w:tcPr>
                <w:p w:rsidR="00DD3214" w:rsidRPr="00FE558D" w:rsidRDefault="00DD3214" w:rsidP="00C70455">
                  <w:pPr>
                    <w:framePr w:hSpace="180" w:wrap="around" w:vAnchor="text" w:hAnchor="page" w:x="3293" w:y="41"/>
                    <w:spacing w:line="336" w:lineRule="atLeast"/>
                    <w:jc w:val="right"/>
                    <w:rPr>
                      <w:rStyle w:val="IntenseEmphasis"/>
                    </w:rPr>
                  </w:pPr>
                  <w:r w:rsidRPr="00FE558D">
                    <w:rPr>
                      <w:rStyle w:val="IntenseEmphasis"/>
                    </w:rPr>
                    <w:t>80%</w:t>
                  </w:r>
                </w:p>
              </w:tc>
              <w:tc>
                <w:tcPr>
                  <w:tcW w:w="1000" w:type="pct"/>
                  <w:tcBorders>
                    <w:top w:val="nil"/>
                    <w:left w:val="nil"/>
                    <w:bottom w:val="nil"/>
                    <w:right w:val="nil"/>
                  </w:tcBorders>
                  <w:tcMar>
                    <w:top w:w="25" w:type="dxa"/>
                    <w:left w:w="33" w:type="dxa"/>
                    <w:bottom w:w="25" w:type="dxa"/>
                    <w:right w:w="33" w:type="dxa"/>
                  </w:tcMar>
                  <w:vAlign w:val="center"/>
                  <w:hideMark/>
                </w:tcPr>
                <w:p w:rsidR="00DD3214" w:rsidRPr="00FE558D" w:rsidRDefault="00DD3214" w:rsidP="00C70455">
                  <w:pPr>
                    <w:framePr w:hSpace="180" w:wrap="around" w:vAnchor="text" w:hAnchor="page" w:x="3293" w:y="41"/>
                    <w:spacing w:line="336" w:lineRule="atLeast"/>
                    <w:jc w:val="right"/>
                    <w:rPr>
                      <w:rStyle w:val="IntenseEmphasis"/>
                    </w:rPr>
                  </w:pPr>
                  <w:r w:rsidRPr="00FE558D">
                    <w:rPr>
                      <w:rStyle w:val="IntenseEmphasis"/>
                    </w:rPr>
                    <w:t>100%</w:t>
                  </w:r>
                </w:p>
              </w:tc>
            </w:tr>
          </w:tbl>
          <w:p w:rsidR="00DD3214" w:rsidRPr="00FE558D" w:rsidRDefault="00DD3214" w:rsidP="00DD3214">
            <w:pPr>
              <w:spacing w:line="336" w:lineRule="atLeast"/>
              <w:cnfStyle w:val="100000000000"/>
              <w:rPr>
                <w:rStyle w:val="IntenseEmphasis"/>
              </w:rPr>
            </w:pPr>
          </w:p>
        </w:tc>
      </w:tr>
      <w:tr w:rsidR="00DD3214" w:rsidTr="00FE558D">
        <w:trPr>
          <w:cnfStyle w:val="000000100000"/>
        </w:trPr>
        <w:tc>
          <w:tcPr>
            <w:cnfStyle w:val="001000000000"/>
            <w:tcW w:w="717" w:type="dxa"/>
            <w:hideMark/>
          </w:tcPr>
          <w:p w:rsidR="00DD3214" w:rsidRPr="00FE558D" w:rsidRDefault="00DD3214" w:rsidP="00DD3214">
            <w:pPr>
              <w:spacing w:line="336" w:lineRule="atLeast"/>
              <w:jc w:val="right"/>
              <w:rPr>
                <w:rStyle w:val="Emphasis"/>
              </w:rPr>
            </w:pPr>
            <w:r w:rsidRPr="00FE558D">
              <w:rPr>
                <w:rStyle w:val="Emphasis"/>
              </w:rPr>
              <w:t>1.</w:t>
            </w:r>
          </w:p>
        </w:tc>
        <w:tc>
          <w:tcPr>
            <w:tcW w:w="957" w:type="dxa"/>
            <w:hideMark/>
          </w:tcPr>
          <w:p w:rsidR="00DD3214" w:rsidRPr="00FE558D" w:rsidRDefault="00DD3214" w:rsidP="00DD3214">
            <w:pPr>
              <w:spacing w:line="336" w:lineRule="atLeast"/>
              <w:cnfStyle w:val="000000100000"/>
              <w:rPr>
                <w:rStyle w:val="Emphasis"/>
              </w:rPr>
            </w:pPr>
            <w:r w:rsidRPr="00FE558D">
              <w:rPr>
                <w:rStyle w:val="Emphasis"/>
              </w:rPr>
              <w:t>Very Satisfied</w:t>
            </w:r>
          </w:p>
        </w:tc>
        <w:tc>
          <w:tcPr>
            <w:tcW w:w="727" w:type="dxa"/>
            <w:hideMark/>
          </w:tcPr>
          <w:p w:rsidR="00DD3214" w:rsidRPr="00FE558D" w:rsidRDefault="00DD3214" w:rsidP="00DD3214">
            <w:pPr>
              <w:spacing w:line="336" w:lineRule="atLeast"/>
              <w:jc w:val="right"/>
              <w:cnfStyle w:val="000000100000"/>
              <w:rPr>
                <w:rStyle w:val="Emphasis"/>
              </w:rPr>
            </w:pPr>
            <w:r w:rsidRPr="00FE558D">
              <w:rPr>
                <w:rStyle w:val="Emphasis"/>
              </w:rPr>
              <w:t>0</w:t>
            </w:r>
          </w:p>
        </w:tc>
        <w:tc>
          <w:tcPr>
            <w:tcW w:w="4203" w:type="dxa"/>
            <w:hideMark/>
          </w:tcPr>
          <w:p w:rsidR="00DD3214" w:rsidRPr="00FE558D" w:rsidRDefault="00DD3214" w:rsidP="00DD3214">
            <w:pPr>
              <w:spacing w:line="336" w:lineRule="atLeast"/>
              <w:jc w:val="right"/>
              <w:cnfStyle w:val="000000100000"/>
              <w:rPr>
                <w:rStyle w:val="Emphasis"/>
              </w:rPr>
            </w:pPr>
            <w:r w:rsidRPr="00FE558D">
              <w:rPr>
                <w:rStyle w:val="Emphasis"/>
              </w:rPr>
              <w:t>0.00%</w:t>
            </w:r>
          </w:p>
        </w:tc>
      </w:tr>
      <w:tr w:rsidR="00DD3214" w:rsidTr="00FE558D">
        <w:tc>
          <w:tcPr>
            <w:cnfStyle w:val="001000000000"/>
            <w:tcW w:w="717" w:type="dxa"/>
            <w:hideMark/>
          </w:tcPr>
          <w:p w:rsidR="00DD3214" w:rsidRPr="00FE558D" w:rsidRDefault="00DD3214" w:rsidP="00DD3214">
            <w:pPr>
              <w:spacing w:line="336" w:lineRule="atLeast"/>
              <w:jc w:val="right"/>
              <w:rPr>
                <w:rStyle w:val="Emphasis"/>
              </w:rPr>
            </w:pPr>
            <w:r w:rsidRPr="00FE558D">
              <w:rPr>
                <w:rStyle w:val="Emphasis"/>
              </w:rPr>
              <w:t>2.</w:t>
            </w:r>
          </w:p>
        </w:tc>
        <w:tc>
          <w:tcPr>
            <w:tcW w:w="957" w:type="dxa"/>
            <w:hideMark/>
          </w:tcPr>
          <w:p w:rsidR="00DD3214" w:rsidRPr="00FE558D" w:rsidRDefault="00DD3214" w:rsidP="00DD3214">
            <w:pPr>
              <w:spacing w:line="336" w:lineRule="atLeast"/>
              <w:cnfStyle w:val="000000000000"/>
              <w:rPr>
                <w:rStyle w:val="Emphasis"/>
              </w:rPr>
            </w:pPr>
            <w:r w:rsidRPr="00FE558D">
              <w:rPr>
                <w:rStyle w:val="Emphasis"/>
              </w:rPr>
              <w:t>Satisfied</w:t>
            </w:r>
          </w:p>
        </w:tc>
        <w:tc>
          <w:tcPr>
            <w:tcW w:w="727" w:type="dxa"/>
            <w:hideMark/>
          </w:tcPr>
          <w:p w:rsidR="00DD3214" w:rsidRPr="00FE558D" w:rsidRDefault="00DD3214" w:rsidP="00DD3214">
            <w:pPr>
              <w:spacing w:line="336" w:lineRule="atLeast"/>
              <w:jc w:val="right"/>
              <w:cnfStyle w:val="000000000000"/>
              <w:rPr>
                <w:rStyle w:val="Emphasis"/>
              </w:rPr>
            </w:pPr>
            <w:r w:rsidRPr="00FE558D">
              <w:rPr>
                <w:rStyle w:val="Emphasis"/>
              </w:rPr>
              <w:t>11</w:t>
            </w:r>
          </w:p>
        </w:tc>
        <w:tc>
          <w:tcPr>
            <w:tcW w:w="4203" w:type="dxa"/>
            <w:hideMark/>
          </w:tcPr>
          <w:p w:rsidR="00DD3214" w:rsidRPr="00FE558D" w:rsidRDefault="00DD3214" w:rsidP="00DD3214">
            <w:pPr>
              <w:spacing w:line="336" w:lineRule="atLeast"/>
              <w:jc w:val="right"/>
              <w:cnfStyle w:val="000000000000"/>
              <w:rPr>
                <w:rStyle w:val="Emphasis"/>
              </w:rPr>
            </w:pPr>
            <w:r w:rsidRPr="00FE558D">
              <w:rPr>
                <w:rStyle w:val="Emphasis"/>
              </w:rPr>
              <w:t>44.00%</w:t>
            </w:r>
          </w:p>
        </w:tc>
      </w:tr>
      <w:tr w:rsidR="00DD3214" w:rsidTr="00FE558D">
        <w:trPr>
          <w:cnfStyle w:val="000000100000"/>
        </w:trPr>
        <w:tc>
          <w:tcPr>
            <w:cnfStyle w:val="001000000000"/>
            <w:tcW w:w="717" w:type="dxa"/>
            <w:hideMark/>
          </w:tcPr>
          <w:p w:rsidR="00DD3214" w:rsidRPr="00FE558D" w:rsidRDefault="00DD3214" w:rsidP="00DD3214">
            <w:pPr>
              <w:spacing w:line="336" w:lineRule="atLeast"/>
              <w:jc w:val="right"/>
              <w:rPr>
                <w:rStyle w:val="Emphasis"/>
              </w:rPr>
            </w:pPr>
            <w:r w:rsidRPr="00FE558D">
              <w:rPr>
                <w:rStyle w:val="Emphasis"/>
              </w:rPr>
              <w:t>3.</w:t>
            </w:r>
          </w:p>
        </w:tc>
        <w:tc>
          <w:tcPr>
            <w:tcW w:w="957" w:type="dxa"/>
            <w:hideMark/>
          </w:tcPr>
          <w:p w:rsidR="00DD3214" w:rsidRPr="00FE558D" w:rsidRDefault="00DD3214" w:rsidP="00DD3214">
            <w:pPr>
              <w:spacing w:line="336" w:lineRule="atLeast"/>
              <w:cnfStyle w:val="000000100000"/>
              <w:rPr>
                <w:rStyle w:val="Emphasis"/>
              </w:rPr>
            </w:pPr>
            <w:r w:rsidRPr="00FE558D">
              <w:rPr>
                <w:rStyle w:val="Emphasis"/>
              </w:rPr>
              <w:t>Neutral</w:t>
            </w:r>
          </w:p>
        </w:tc>
        <w:tc>
          <w:tcPr>
            <w:tcW w:w="727" w:type="dxa"/>
            <w:hideMark/>
          </w:tcPr>
          <w:p w:rsidR="00DD3214" w:rsidRPr="00FE558D" w:rsidRDefault="00DD3214" w:rsidP="00DD3214">
            <w:pPr>
              <w:spacing w:line="336" w:lineRule="atLeast"/>
              <w:jc w:val="right"/>
              <w:cnfStyle w:val="000000100000"/>
              <w:rPr>
                <w:rStyle w:val="Emphasis"/>
              </w:rPr>
            </w:pPr>
            <w:r w:rsidRPr="00FE558D">
              <w:rPr>
                <w:rStyle w:val="Emphasis"/>
              </w:rPr>
              <w:t>11</w:t>
            </w:r>
          </w:p>
        </w:tc>
        <w:tc>
          <w:tcPr>
            <w:tcW w:w="4203" w:type="dxa"/>
            <w:hideMark/>
          </w:tcPr>
          <w:p w:rsidR="00DD3214" w:rsidRPr="00FE558D" w:rsidRDefault="00DD3214" w:rsidP="00DD3214">
            <w:pPr>
              <w:spacing w:line="336" w:lineRule="atLeast"/>
              <w:jc w:val="right"/>
              <w:cnfStyle w:val="000000100000"/>
              <w:rPr>
                <w:rStyle w:val="Emphasis"/>
              </w:rPr>
            </w:pPr>
            <w:r w:rsidRPr="00FE558D">
              <w:rPr>
                <w:rStyle w:val="Emphasis"/>
              </w:rPr>
              <w:t>44.00%</w:t>
            </w:r>
          </w:p>
        </w:tc>
      </w:tr>
      <w:tr w:rsidR="00DD3214" w:rsidTr="00FE558D">
        <w:tc>
          <w:tcPr>
            <w:cnfStyle w:val="001000000000"/>
            <w:tcW w:w="717" w:type="dxa"/>
            <w:hideMark/>
          </w:tcPr>
          <w:p w:rsidR="00DD3214" w:rsidRPr="00FE558D" w:rsidRDefault="00DD3214" w:rsidP="00DD3214">
            <w:pPr>
              <w:spacing w:line="336" w:lineRule="atLeast"/>
              <w:jc w:val="right"/>
              <w:rPr>
                <w:rStyle w:val="Emphasis"/>
              </w:rPr>
            </w:pPr>
            <w:r w:rsidRPr="00FE558D">
              <w:rPr>
                <w:rStyle w:val="Emphasis"/>
              </w:rPr>
              <w:t>4.</w:t>
            </w:r>
          </w:p>
        </w:tc>
        <w:tc>
          <w:tcPr>
            <w:tcW w:w="957" w:type="dxa"/>
            <w:hideMark/>
          </w:tcPr>
          <w:p w:rsidR="00DD3214" w:rsidRPr="00FE558D" w:rsidRDefault="00DD3214" w:rsidP="00DD3214">
            <w:pPr>
              <w:spacing w:line="336" w:lineRule="atLeast"/>
              <w:cnfStyle w:val="000000000000"/>
              <w:rPr>
                <w:rStyle w:val="Emphasis"/>
              </w:rPr>
            </w:pPr>
            <w:r w:rsidRPr="00FE558D">
              <w:rPr>
                <w:rStyle w:val="Emphasis"/>
              </w:rPr>
              <w:t>Unsatisfied</w:t>
            </w:r>
          </w:p>
        </w:tc>
        <w:tc>
          <w:tcPr>
            <w:tcW w:w="727" w:type="dxa"/>
            <w:hideMark/>
          </w:tcPr>
          <w:p w:rsidR="00DD3214" w:rsidRPr="00FE558D" w:rsidRDefault="00DD3214" w:rsidP="00DD3214">
            <w:pPr>
              <w:spacing w:line="336" w:lineRule="atLeast"/>
              <w:jc w:val="right"/>
              <w:cnfStyle w:val="000000000000"/>
              <w:rPr>
                <w:rStyle w:val="Emphasis"/>
              </w:rPr>
            </w:pPr>
            <w:r w:rsidRPr="00FE558D">
              <w:rPr>
                <w:rStyle w:val="Emphasis"/>
              </w:rPr>
              <w:t>3</w:t>
            </w:r>
          </w:p>
        </w:tc>
        <w:tc>
          <w:tcPr>
            <w:tcW w:w="4203" w:type="dxa"/>
            <w:hideMark/>
          </w:tcPr>
          <w:p w:rsidR="00DD3214" w:rsidRPr="00FE558D" w:rsidRDefault="00DD3214" w:rsidP="00DD3214">
            <w:pPr>
              <w:spacing w:line="336" w:lineRule="atLeast"/>
              <w:jc w:val="right"/>
              <w:cnfStyle w:val="000000000000"/>
              <w:rPr>
                <w:rStyle w:val="Emphasis"/>
              </w:rPr>
            </w:pPr>
            <w:r w:rsidRPr="00FE558D">
              <w:rPr>
                <w:rStyle w:val="Emphasis"/>
              </w:rPr>
              <w:t>12.00%</w:t>
            </w:r>
          </w:p>
        </w:tc>
      </w:tr>
      <w:tr w:rsidR="00DD3214" w:rsidTr="00FE558D">
        <w:trPr>
          <w:cnfStyle w:val="000000100000"/>
        </w:trPr>
        <w:tc>
          <w:tcPr>
            <w:cnfStyle w:val="001000000000"/>
            <w:tcW w:w="717" w:type="dxa"/>
            <w:hideMark/>
          </w:tcPr>
          <w:p w:rsidR="00DD3214" w:rsidRPr="00FE558D" w:rsidRDefault="00DD3214" w:rsidP="00DD3214">
            <w:pPr>
              <w:spacing w:line="336" w:lineRule="atLeast"/>
              <w:jc w:val="right"/>
              <w:rPr>
                <w:rStyle w:val="Emphasis"/>
              </w:rPr>
            </w:pPr>
            <w:r w:rsidRPr="00FE558D">
              <w:rPr>
                <w:rStyle w:val="Emphasis"/>
              </w:rPr>
              <w:t>5.</w:t>
            </w:r>
          </w:p>
        </w:tc>
        <w:tc>
          <w:tcPr>
            <w:tcW w:w="957" w:type="dxa"/>
            <w:hideMark/>
          </w:tcPr>
          <w:p w:rsidR="00DD3214" w:rsidRPr="00FE558D" w:rsidRDefault="00DD3214" w:rsidP="00DD3214">
            <w:pPr>
              <w:spacing w:line="336" w:lineRule="atLeast"/>
              <w:cnfStyle w:val="000000100000"/>
              <w:rPr>
                <w:rStyle w:val="Emphasis"/>
              </w:rPr>
            </w:pPr>
            <w:r w:rsidRPr="00FE558D">
              <w:rPr>
                <w:rStyle w:val="Emphasis"/>
              </w:rPr>
              <w:t>Very Unsatisfied</w:t>
            </w:r>
          </w:p>
        </w:tc>
        <w:tc>
          <w:tcPr>
            <w:tcW w:w="727" w:type="dxa"/>
            <w:hideMark/>
          </w:tcPr>
          <w:p w:rsidR="00DD3214" w:rsidRPr="00FE558D" w:rsidRDefault="00DD3214" w:rsidP="00DD3214">
            <w:pPr>
              <w:spacing w:line="336" w:lineRule="atLeast"/>
              <w:jc w:val="right"/>
              <w:cnfStyle w:val="000000100000"/>
              <w:rPr>
                <w:rStyle w:val="Emphasis"/>
              </w:rPr>
            </w:pPr>
            <w:r w:rsidRPr="00FE558D">
              <w:rPr>
                <w:rStyle w:val="Emphasis"/>
              </w:rPr>
              <w:t>0</w:t>
            </w:r>
          </w:p>
        </w:tc>
        <w:tc>
          <w:tcPr>
            <w:tcW w:w="4203" w:type="dxa"/>
            <w:hideMark/>
          </w:tcPr>
          <w:p w:rsidR="00DD3214" w:rsidRPr="00FE558D" w:rsidRDefault="00DD3214" w:rsidP="00DD3214">
            <w:pPr>
              <w:spacing w:line="336" w:lineRule="atLeast"/>
              <w:jc w:val="right"/>
              <w:cnfStyle w:val="000000100000"/>
              <w:rPr>
                <w:rStyle w:val="Emphasis"/>
              </w:rPr>
            </w:pPr>
            <w:r w:rsidRPr="00FE558D">
              <w:rPr>
                <w:rStyle w:val="Emphasis"/>
              </w:rPr>
              <w:t>0.00%</w:t>
            </w:r>
          </w:p>
        </w:tc>
      </w:tr>
      <w:tr w:rsidR="00DD3214" w:rsidTr="00FE558D">
        <w:tc>
          <w:tcPr>
            <w:cnfStyle w:val="001000000000"/>
            <w:tcW w:w="717" w:type="dxa"/>
            <w:hideMark/>
          </w:tcPr>
          <w:p w:rsidR="00DD3214" w:rsidRDefault="00DD3214" w:rsidP="00DD3214">
            <w:pPr>
              <w:spacing w:line="336" w:lineRule="atLeast"/>
              <w:rPr>
                <w:rFonts w:ascii="Arial" w:hAnsi="Arial" w:cs="Arial"/>
                <w:color w:val="413F3F"/>
                <w:sz w:val="18"/>
                <w:szCs w:val="18"/>
              </w:rPr>
            </w:pPr>
          </w:p>
        </w:tc>
        <w:tc>
          <w:tcPr>
            <w:tcW w:w="957" w:type="dxa"/>
            <w:hideMark/>
          </w:tcPr>
          <w:p w:rsidR="00DD3214" w:rsidRDefault="00DD3214" w:rsidP="00DD3214">
            <w:pPr>
              <w:spacing w:line="336" w:lineRule="atLeast"/>
              <w:cnfStyle w:val="000000000000"/>
              <w:rPr>
                <w:rFonts w:ascii="Arial" w:hAnsi="Arial" w:cs="Arial"/>
                <w:b/>
                <w:bCs/>
                <w:color w:val="FFFFFF"/>
                <w:sz w:val="18"/>
                <w:szCs w:val="18"/>
              </w:rPr>
            </w:pPr>
            <w:r>
              <w:rPr>
                <w:rFonts w:ascii="Arial" w:hAnsi="Arial" w:cs="Arial"/>
                <w:b/>
                <w:bCs/>
                <w:color w:val="FFFFFF"/>
                <w:sz w:val="18"/>
                <w:szCs w:val="18"/>
              </w:rPr>
              <w:t>Total</w:t>
            </w:r>
          </w:p>
        </w:tc>
        <w:tc>
          <w:tcPr>
            <w:tcW w:w="727" w:type="dxa"/>
            <w:hideMark/>
          </w:tcPr>
          <w:p w:rsidR="00DD3214" w:rsidRDefault="00DD3214" w:rsidP="00DD3214">
            <w:pPr>
              <w:spacing w:line="336" w:lineRule="atLeast"/>
              <w:jc w:val="right"/>
              <w:cnfStyle w:val="000000000000"/>
              <w:rPr>
                <w:rFonts w:ascii="Arial" w:hAnsi="Arial" w:cs="Arial"/>
                <w:b/>
                <w:bCs/>
                <w:color w:val="FFFFFF"/>
                <w:sz w:val="18"/>
                <w:szCs w:val="18"/>
              </w:rPr>
            </w:pPr>
            <w:r>
              <w:rPr>
                <w:rFonts w:ascii="Arial" w:hAnsi="Arial" w:cs="Arial"/>
                <w:b/>
                <w:bCs/>
                <w:color w:val="FFFFFF"/>
                <w:sz w:val="18"/>
                <w:szCs w:val="18"/>
              </w:rPr>
              <w:t>252525</w:t>
            </w:r>
          </w:p>
        </w:tc>
        <w:tc>
          <w:tcPr>
            <w:tcW w:w="4203" w:type="dxa"/>
            <w:hideMark/>
          </w:tcPr>
          <w:p w:rsidR="00DD3214" w:rsidRDefault="00DD3214" w:rsidP="00DD3214">
            <w:pPr>
              <w:spacing w:line="336" w:lineRule="atLeast"/>
              <w:jc w:val="right"/>
              <w:cnfStyle w:val="000000000000"/>
              <w:rPr>
                <w:rFonts w:ascii="Arial" w:hAnsi="Arial" w:cs="Arial"/>
                <w:b/>
                <w:bCs/>
                <w:color w:val="FFFFFF"/>
                <w:sz w:val="18"/>
                <w:szCs w:val="18"/>
              </w:rPr>
            </w:pPr>
            <w:r>
              <w:rPr>
                <w:rFonts w:ascii="Arial" w:hAnsi="Arial" w:cs="Arial"/>
                <w:b/>
                <w:bCs/>
                <w:color w:val="FFFFFF"/>
                <w:sz w:val="18"/>
                <w:szCs w:val="18"/>
              </w:rPr>
              <w:t>100</w:t>
            </w:r>
          </w:p>
        </w:tc>
      </w:tr>
    </w:tbl>
    <w:p w:rsidR="003606EC" w:rsidRDefault="003606EC" w:rsidP="00045280">
      <w:pPr>
        <w:ind w:left="1440"/>
        <w:rPr>
          <w:rFonts w:ascii="Georgia" w:hAnsi="Georgia" w:cs="Arial"/>
        </w:rPr>
      </w:pPr>
    </w:p>
    <w:p w:rsidR="006F7903" w:rsidRDefault="006F7903" w:rsidP="001F198C">
      <w:pPr>
        <w:ind w:left="1440"/>
      </w:pPr>
    </w:p>
    <w:p w:rsidR="004E4010" w:rsidRDefault="004E4010" w:rsidP="004579F2">
      <w:pPr>
        <w:ind w:firstLine="720"/>
      </w:pPr>
    </w:p>
    <w:p w:rsidR="006B118D" w:rsidRDefault="006B118D" w:rsidP="004579F2">
      <w:pPr>
        <w:ind w:firstLine="720"/>
      </w:pPr>
    </w:p>
    <w:p w:rsidR="006B118D" w:rsidRDefault="006B118D" w:rsidP="006B118D"/>
    <w:sectPr w:rsidR="006B118D" w:rsidSect="0050028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B78F7"/>
    <w:multiLevelType w:val="hybridMultilevel"/>
    <w:tmpl w:val="FE2EBBE8"/>
    <w:lvl w:ilvl="0" w:tplc="25FA75BA">
      <w:start w:val="1"/>
      <w:numFmt w:val="bullet"/>
      <w:lvlText w:val=""/>
      <w:lvlJc w:val="left"/>
      <w:pPr>
        <w:tabs>
          <w:tab w:val="num" w:pos="720"/>
        </w:tabs>
        <w:ind w:left="720" w:hanging="360"/>
      </w:pPr>
      <w:rPr>
        <w:rFonts w:ascii="Wingdings" w:hAnsi="Wingdings" w:hint="default"/>
      </w:rPr>
    </w:lvl>
    <w:lvl w:ilvl="1" w:tplc="FBC65DE8">
      <w:start w:val="1"/>
      <w:numFmt w:val="bullet"/>
      <w:lvlText w:val=""/>
      <w:lvlJc w:val="left"/>
      <w:pPr>
        <w:tabs>
          <w:tab w:val="num" w:pos="1440"/>
        </w:tabs>
        <w:ind w:left="1440" w:hanging="360"/>
      </w:pPr>
      <w:rPr>
        <w:rFonts w:ascii="Wingdings" w:hAnsi="Wingdings" w:hint="default"/>
      </w:rPr>
    </w:lvl>
    <w:lvl w:ilvl="2" w:tplc="12409DE8" w:tentative="1">
      <w:start w:val="1"/>
      <w:numFmt w:val="bullet"/>
      <w:lvlText w:val=""/>
      <w:lvlJc w:val="left"/>
      <w:pPr>
        <w:tabs>
          <w:tab w:val="num" w:pos="2160"/>
        </w:tabs>
        <w:ind w:left="2160" w:hanging="360"/>
      </w:pPr>
      <w:rPr>
        <w:rFonts w:ascii="Wingdings" w:hAnsi="Wingdings" w:hint="default"/>
      </w:rPr>
    </w:lvl>
    <w:lvl w:ilvl="3" w:tplc="57FE242E" w:tentative="1">
      <w:start w:val="1"/>
      <w:numFmt w:val="bullet"/>
      <w:lvlText w:val=""/>
      <w:lvlJc w:val="left"/>
      <w:pPr>
        <w:tabs>
          <w:tab w:val="num" w:pos="2880"/>
        </w:tabs>
        <w:ind w:left="2880" w:hanging="360"/>
      </w:pPr>
      <w:rPr>
        <w:rFonts w:ascii="Wingdings" w:hAnsi="Wingdings" w:hint="default"/>
      </w:rPr>
    </w:lvl>
    <w:lvl w:ilvl="4" w:tplc="4830B09A" w:tentative="1">
      <w:start w:val="1"/>
      <w:numFmt w:val="bullet"/>
      <w:lvlText w:val=""/>
      <w:lvlJc w:val="left"/>
      <w:pPr>
        <w:tabs>
          <w:tab w:val="num" w:pos="3600"/>
        </w:tabs>
        <w:ind w:left="3600" w:hanging="360"/>
      </w:pPr>
      <w:rPr>
        <w:rFonts w:ascii="Wingdings" w:hAnsi="Wingdings" w:hint="default"/>
      </w:rPr>
    </w:lvl>
    <w:lvl w:ilvl="5" w:tplc="A08EEBE8" w:tentative="1">
      <w:start w:val="1"/>
      <w:numFmt w:val="bullet"/>
      <w:lvlText w:val=""/>
      <w:lvlJc w:val="left"/>
      <w:pPr>
        <w:tabs>
          <w:tab w:val="num" w:pos="4320"/>
        </w:tabs>
        <w:ind w:left="4320" w:hanging="360"/>
      </w:pPr>
      <w:rPr>
        <w:rFonts w:ascii="Wingdings" w:hAnsi="Wingdings" w:hint="default"/>
      </w:rPr>
    </w:lvl>
    <w:lvl w:ilvl="6" w:tplc="BE8A60EC" w:tentative="1">
      <w:start w:val="1"/>
      <w:numFmt w:val="bullet"/>
      <w:lvlText w:val=""/>
      <w:lvlJc w:val="left"/>
      <w:pPr>
        <w:tabs>
          <w:tab w:val="num" w:pos="5040"/>
        </w:tabs>
        <w:ind w:left="5040" w:hanging="360"/>
      </w:pPr>
      <w:rPr>
        <w:rFonts w:ascii="Wingdings" w:hAnsi="Wingdings" w:hint="default"/>
      </w:rPr>
    </w:lvl>
    <w:lvl w:ilvl="7" w:tplc="ADD0ACCA" w:tentative="1">
      <w:start w:val="1"/>
      <w:numFmt w:val="bullet"/>
      <w:lvlText w:val=""/>
      <w:lvlJc w:val="left"/>
      <w:pPr>
        <w:tabs>
          <w:tab w:val="num" w:pos="5760"/>
        </w:tabs>
        <w:ind w:left="5760" w:hanging="360"/>
      </w:pPr>
      <w:rPr>
        <w:rFonts w:ascii="Wingdings" w:hAnsi="Wingdings" w:hint="default"/>
      </w:rPr>
    </w:lvl>
    <w:lvl w:ilvl="8" w:tplc="6F1AAE66" w:tentative="1">
      <w:start w:val="1"/>
      <w:numFmt w:val="bullet"/>
      <w:lvlText w:val=""/>
      <w:lvlJc w:val="left"/>
      <w:pPr>
        <w:tabs>
          <w:tab w:val="num" w:pos="6480"/>
        </w:tabs>
        <w:ind w:left="6480" w:hanging="360"/>
      </w:pPr>
      <w:rPr>
        <w:rFonts w:ascii="Wingdings" w:hAnsi="Wingdings" w:hint="default"/>
      </w:rPr>
    </w:lvl>
  </w:abstractNum>
  <w:abstractNum w:abstractNumId="1">
    <w:nsid w:val="2474207A"/>
    <w:multiLevelType w:val="hybridMultilevel"/>
    <w:tmpl w:val="0094AAD8"/>
    <w:lvl w:ilvl="0" w:tplc="53566F5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6280357"/>
    <w:multiLevelType w:val="hybridMultilevel"/>
    <w:tmpl w:val="7B4690A2"/>
    <w:lvl w:ilvl="0" w:tplc="04090001">
      <w:start w:val="1"/>
      <w:numFmt w:val="bullet"/>
      <w:lvlText w:val=""/>
      <w:lvlJc w:val="left"/>
      <w:pPr>
        <w:ind w:left="2209" w:hanging="360"/>
      </w:pPr>
      <w:rPr>
        <w:rFonts w:ascii="Symbol" w:hAnsi="Symbol" w:hint="default"/>
      </w:rPr>
    </w:lvl>
    <w:lvl w:ilvl="1" w:tplc="04090003" w:tentative="1">
      <w:start w:val="1"/>
      <w:numFmt w:val="bullet"/>
      <w:lvlText w:val="o"/>
      <w:lvlJc w:val="left"/>
      <w:pPr>
        <w:ind w:left="2929" w:hanging="360"/>
      </w:pPr>
      <w:rPr>
        <w:rFonts w:ascii="Courier New" w:hAnsi="Courier New" w:cs="Courier New" w:hint="default"/>
      </w:rPr>
    </w:lvl>
    <w:lvl w:ilvl="2" w:tplc="04090005" w:tentative="1">
      <w:start w:val="1"/>
      <w:numFmt w:val="bullet"/>
      <w:lvlText w:val=""/>
      <w:lvlJc w:val="left"/>
      <w:pPr>
        <w:ind w:left="3649" w:hanging="360"/>
      </w:pPr>
      <w:rPr>
        <w:rFonts w:ascii="Wingdings" w:hAnsi="Wingdings" w:hint="default"/>
      </w:rPr>
    </w:lvl>
    <w:lvl w:ilvl="3" w:tplc="04090001" w:tentative="1">
      <w:start w:val="1"/>
      <w:numFmt w:val="bullet"/>
      <w:lvlText w:val=""/>
      <w:lvlJc w:val="left"/>
      <w:pPr>
        <w:ind w:left="4369" w:hanging="360"/>
      </w:pPr>
      <w:rPr>
        <w:rFonts w:ascii="Symbol" w:hAnsi="Symbol" w:hint="default"/>
      </w:rPr>
    </w:lvl>
    <w:lvl w:ilvl="4" w:tplc="04090003" w:tentative="1">
      <w:start w:val="1"/>
      <w:numFmt w:val="bullet"/>
      <w:lvlText w:val="o"/>
      <w:lvlJc w:val="left"/>
      <w:pPr>
        <w:ind w:left="5089" w:hanging="360"/>
      </w:pPr>
      <w:rPr>
        <w:rFonts w:ascii="Courier New" w:hAnsi="Courier New" w:cs="Courier New" w:hint="default"/>
      </w:rPr>
    </w:lvl>
    <w:lvl w:ilvl="5" w:tplc="04090005" w:tentative="1">
      <w:start w:val="1"/>
      <w:numFmt w:val="bullet"/>
      <w:lvlText w:val=""/>
      <w:lvlJc w:val="left"/>
      <w:pPr>
        <w:ind w:left="5809" w:hanging="360"/>
      </w:pPr>
      <w:rPr>
        <w:rFonts w:ascii="Wingdings" w:hAnsi="Wingdings" w:hint="default"/>
      </w:rPr>
    </w:lvl>
    <w:lvl w:ilvl="6" w:tplc="04090001" w:tentative="1">
      <w:start w:val="1"/>
      <w:numFmt w:val="bullet"/>
      <w:lvlText w:val=""/>
      <w:lvlJc w:val="left"/>
      <w:pPr>
        <w:ind w:left="6529" w:hanging="360"/>
      </w:pPr>
      <w:rPr>
        <w:rFonts w:ascii="Symbol" w:hAnsi="Symbol" w:hint="default"/>
      </w:rPr>
    </w:lvl>
    <w:lvl w:ilvl="7" w:tplc="04090003" w:tentative="1">
      <w:start w:val="1"/>
      <w:numFmt w:val="bullet"/>
      <w:lvlText w:val="o"/>
      <w:lvlJc w:val="left"/>
      <w:pPr>
        <w:ind w:left="7249" w:hanging="360"/>
      </w:pPr>
      <w:rPr>
        <w:rFonts w:ascii="Courier New" w:hAnsi="Courier New" w:cs="Courier New" w:hint="default"/>
      </w:rPr>
    </w:lvl>
    <w:lvl w:ilvl="8" w:tplc="04090005" w:tentative="1">
      <w:start w:val="1"/>
      <w:numFmt w:val="bullet"/>
      <w:lvlText w:val=""/>
      <w:lvlJc w:val="left"/>
      <w:pPr>
        <w:ind w:left="7969" w:hanging="360"/>
      </w:pPr>
      <w:rPr>
        <w:rFonts w:ascii="Wingdings" w:hAnsi="Wingdings" w:hint="default"/>
      </w:rPr>
    </w:lvl>
  </w:abstractNum>
  <w:abstractNum w:abstractNumId="3">
    <w:nsid w:val="3B5F6E25"/>
    <w:multiLevelType w:val="hybridMultilevel"/>
    <w:tmpl w:val="B862096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38174EF"/>
    <w:multiLevelType w:val="hybridMultilevel"/>
    <w:tmpl w:val="C35E74C0"/>
    <w:lvl w:ilvl="0" w:tplc="7840CC72">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8"/>
  <w:doNotDisplayPageBoundaries/>
  <w:embedSystemFonts/>
  <w:proofState w:grammar="clean"/>
  <w:stylePaneFormatFilter w:val="3F01"/>
  <w:defaultTabStop w:val="720"/>
  <w:noPunctuationKerning/>
  <w:characterSpacingControl w:val="doNotCompress"/>
  <w:compat/>
  <w:rsids>
    <w:rsidRoot w:val="004E4010"/>
    <w:rsid w:val="00007CE8"/>
    <w:rsid w:val="000117F0"/>
    <w:rsid w:val="00021224"/>
    <w:rsid w:val="000228CC"/>
    <w:rsid w:val="00023663"/>
    <w:rsid w:val="00044B6C"/>
    <w:rsid w:val="00045280"/>
    <w:rsid w:val="0005590B"/>
    <w:rsid w:val="000677A9"/>
    <w:rsid w:val="00067F15"/>
    <w:rsid w:val="00071108"/>
    <w:rsid w:val="00081124"/>
    <w:rsid w:val="00085D89"/>
    <w:rsid w:val="00093355"/>
    <w:rsid w:val="00097E9C"/>
    <w:rsid w:val="000A31B3"/>
    <w:rsid w:val="000A692D"/>
    <w:rsid w:val="000A6BDD"/>
    <w:rsid w:val="000B0510"/>
    <w:rsid w:val="000B3ABF"/>
    <w:rsid w:val="000C3888"/>
    <w:rsid w:val="000C4E4F"/>
    <w:rsid w:val="000D2F8C"/>
    <w:rsid w:val="000D6343"/>
    <w:rsid w:val="000D7CCB"/>
    <w:rsid w:val="000E36C5"/>
    <w:rsid w:val="000E381D"/>
    <w:rsid w:val="000F5D15"/>
    <w:rsid w:val="00103579"/>
    <w:rsid w:val="00110417"/>
    <w:rsid w:val="00110A29"/>
    <w:rsid w:val="00124A3E"/>
    <w:rsid w:val="00126FE7"/>
    <w:rsid w:val="00141C48"/>
    <w:rsid w:val="001447A9"/>
    <w:rsid w:val="00153A0E"/>
    <w:rsid w:val="00154B59"/>
    <w:rsid w:val="001663BB"/>
    <w:rsid w:val="00166734"/>
    <w:rsid w:val="00172CFB"/>
    <w:rsid w:val="0017494C"/>
    <w:rsid w:val="00176FB3"/>
    <w:rsid w:val="0018668E"/>
    <w:rsid w:val="001935EC"/>
    <w:rsid w:val="00195FBC"/>
    <w:rsid w:val="00196EB8"/>
    <w:rsid w:val="001971E2"/>
    <w:rsid w:val="001A1178"/>
    <w:rsid w:val="001B21FA"/>
    <w:rsid w:val="001B482C"/>
    <w:rsid w:val="001C0272"/>
    <w:rsid w:val="001C3A4E"/>
    <w:rsid w:val="001C5C1B"/>
    <w:rsid w:val="001C75A0"/>
    <w:rsid w:val="001D08CD"/>
    <w:rsid w:val="001E0BEC"/>
    <w:rsid w:val="001E710D"/>
    <w:rsid w:val="001F198C"/>
    <w:rsid w:val="002002C0"/>
    <w:rsid w:val="0020767B"/>
    <w:rsid w:val="002125E6"/>
    <w:rsid w:val="00212B14"/>
    <w:rsid w:val="00217E4D"/>
    <w:rsid w:val="00220FFD"/>
    <w:rsid w:val="002224F6"/>
    <w:rsid w:val="00226E6A"/>
    <w:rsid w:val="002277DD"/>
    <w:rsid w:val="002417D9"/>
    <w:rsid w:val="00254ECB"/>
    <w:rsid w:val="002607E1"/>
    <w:rsid w:val="00265ECE"/>
    <w:rsid w:val="00267EF9"/>
    <w:rsid w:val="00272592"/>
    <w:rsid w:val="002738BE"/>
    <w:rsid w:val="00291BE4"/>
    <w:rsid w:val="002A6057"/>
    <w:rsid w:val="002C0D67"/>
    <w:rsid w:val="002D635B"/>
    <w:rsid w:val="002D718B"/>
    <w:rsid w:val="002E3223"/>
    <w:rsid w:val="002F327E"/>
    <w:rsid w:val="002F41D1"/>
    <w:rsid w:val="002F702E"/>
    <w:rsid w:val="00303F9E"/>
    <w:rsid w:val="00306997"/>
    <w:rsid w:val="00326F56"/>
    <w:rsid w:val="00335DCA"/>
    <w:rsid w:val="00350AFB"/>
    <w:rsid w:val="00357CEB"/>
    <w:rsid w:val="003606EC"/>
    <w:rsid w:val="00360A39"/>
    <w:rsid w:val="00364FFD"/>
    <w:rsid w:val="00372294"/>
    <w:rsid w:val="003726BB"/>
    <w:rsid w:val="003845A9"/>
    <w:rsid w:val="00390086"/>
    <w:rsid w:val="00397FD9"/>
    <w:rsid w:val="003A0C66"/>
    <w:rsid w:val="003A35B9"/>
    <w:rsid w:val="003A49C5"/>
    <w:rsid w:val="003A4AAE"/>
    <w:rsid w:val="003A5248"/>
    <w:rsid w:val="003A6F37"/>
    <w:rsid w:val="003D2D84"/>
    <w:rsid w:val="003D5567"/>
    <w:rsid w:val="003E7FF2"/>
    <w:rsid w:val="00404366"/>
    <w:rsid w:val="00407D95"/>
    <w:rsid w:val="0041240B"/>
    <w:rsid w:val="0041557C"/>
    <w:rsid w:val="004163DB"/>
    <w:rsid w:val="00424C46"/>
    <w:rsid w:val="00432674"/>
    <w:rsid w:val="0044573B"/>
    <w:rsid w:val="00452DBB"/>
    <w:rsid w:val="00457776"/>
    <w:rsid w:val="004579F2"/>
    <w:rsid w:val="00463ED7"/>
    <w:rsid w:val="00466E67"/>
    <w:rsid w:val="00467F7A"/>
    <w:rsid w:val="004735EE"/>
    <w:rsid w:val="00480865"/>
    <w:rsid w:val="00487ED0"/>
    <w:rsid w:val="0049252C"/>
    <w:rsid w:val="004967C9"/>
    <w:rsid w:val="004A15E5"/>
    <w:rsid w:val="004B14C4"/>
    <w:rsid w:val="004B2A68"/>
    <w:rsid w:val="004B618C"/>
    <w:rsid w:val="004D510E"/>
    <w:rsid w:val="004D6E05"/>
    <w:rsid w:val="004D7442"/>
    <w:rsid w:val="004E0934"/>
    <w:rsid w:val="004E4010"/>
    <w:rsid w:val="004E7467"/>
    <w:rsid w:val="004F2DEA"/>
    <w:rsid w:val="004F5CC6"/>
    <w:rsid w:val="00500283"/>
    <w:rsid w:val="0050706E"/>
    <w:rsid w:val="00514E20"/>
    <w:rsid w:val="00525228"/>
    <w:rsid w:val="0053693A"/>
    <w:rsid w:val="00541DF6"/>
    <w:rsid w:val="005731AC"/>
    <w:rsid w:val="005734A2"/>
    <w:rsid w:val="00584339"/>
    <w:rsid w:val="0058628A"/>
    <w:rsid w:val="00587C70"/>
    <w:rsid w:val="00590E57"/>
    <w:rsid w:val="00593445"/>
    <w:rsid w:val="0059616E"/>
    <w:rsid w:val="005C12D6"/>
    <w:rsid w:val="005C379E"/>
    <w:rsid w:val="005C604C"/>
    <w:rsid w:val="005D6E41"/>
    <w:rsid w:val="005D7643"/>
    <w:rsid w:val="005E0391"/>
    <w:rsid w:val="005E60F1"/>
    <w:rsid w:val="005F6F7B"/>
    <w:rsid w:val="00600D37"/>
    <w:rsid w:val="006067CD"/>
    <w:rsid w:val="00613CA2"/>
    <w:rsid w:val="00637066"/>
    <w:rsid w:val="00640E38"/>
    <w:rsid w:val="00641864"/>
    <w:rsid w:val="006454A2"/>
    <w:rsid w:val="00671601"/>
    <w:rsid w:val="00681B44"/>
    <w:rsid w:val="00685A76"/>
    <w:rsid w:val="00686686"/>
    <w:rsid w:val="006944A2"/>
    <w:rsid w:val="006B118D"/>
    <w:rsid w:val="006B42D2"/>
    <w:rsid w:val="006C211A"/>
    <w:rsid w:val="006C38AE"/>
    <w:rsid w:val="006E74BC"/>
    <w:rsid w:val="006F2104"/>
    <w:rsid w:val="006F34F9"/>
    <w:rsid w:val="006F7903"/>
    <w:rsid w:val="00701E2C"/>
    <w:rsid w:val="00702CA2"/>
    <w:rsid w:val="00705DCE"/>
    <w:rsid w:val="007235AF"/>
    <w:rsid w:val="007332C4"/>
    <w:rsid w:val="00733912"/>
    <w:rsid w:val="0073782F"/>
    <w:rsid w:val="007510EF"/>
    <w:rsid w:val="007526A2"/>
    <w:rsid w:val="00753634"/>
    <w:rsid w:val="00756184"/>
    <w:rsid w:val="00762435"/>
    <w:rsid w:val="007626C3"/>
    <w:rsid w:val="00771032"/>
    <w:rsid w:val="00780D69"/>
    <w:rsid w:val="007872FD"/>
    <w:rsid w:val="00790F39"/>
    <w:rsid w:val="007922DB"/>
    <w:rsid w:val="00794393"/>
    <w:rsid w:val="007A7FA9"/>
    <w:rsid w:val="007C24D6"/>
    <w:rsid w:val="007C2C26"/>
    <w:rsid w:val="007C4340"/>
    <w:rsid w:val="007E30CD"/>
    <w:rsid w:val="00800248"/>
    <w:rsid w:val="00802B32"/>
    <w:rsid w:val="008076DE"/>
    <w:rsid w:val="0081270B"/>
    <w:rsid w:val="00821A15"/>
    <w:rsid w:val="00821D7A"/>
    <w:rsid w:val="00835E31"/>
    <w:rsid w:val="00867236"/>
    <w:rsid w:val="008704BB"/>
    <w:rsid w:val="00872994"/>
    <w:rsid w:val="00873FF4"/>
    <w:rsid w:val="0088221B"/>
    <w:rsid w:val="00887AE5"/>
    <w:rsid w:val="00893C6D"/>
    <w:rsid w:val="008957D4"/>
    <w:rsid w:val="008A1914"/>
    <w:rsid w:val="008A4763"/>
    <w:rsid w:val="008A692B"/>
    <w:rsid w:val="008B1AEF"/>
    <w:rsid w:val="008B74A8"/>
    <w:rsid w:val="008C2869"/>
    <w:rsid w:val="008C5FA9"/>
    <w:rsid w:val="008F0EF7"/>
    <w:rsid w:val="008F59A6"/>
    <w:rsid w:val="00904425"/>
    <w:rsid w:val="0091202F"/>
    <w:rsid w:val="009139A7"/>
    <w:rsid w:val="00913A7B"/>
    <w:rsid w:val="00923C79"/>
    <w:rsid w:val="0093409B"/>
    <w:rsid w:val="00935B17"/>
    <w:rsid w:val="00936831"/>
    <w:rsid w:val="00936F35"/>
    <w:rsid w:val="0094032A"/>
    <w:rsid w:val="0094223B"/>
    <w:rsid w:val="0095311A"/>
    <w:rsid w:val="00966ABD"/>
    <w:rsid w:val="009708AB"/>
    <w:rsid w:val="00975215"/>
    <w:rsid w:val="00976A6B"/>
    <w:rsid w:val="00976BE4"/>
    <w:rsid w:val="00977848"/>
    <w:rsid w:val="00977F20"/>
    <w:rsid w:val="009835F5"/>
    <w:rsid w:val="00983CC2"/>
    <w:rsid w:val="00983D8E"/>
    <w:rsid w:val="00984299"/>
    <w:rsid w:val="00985E88"/>
    <w:rsid w:val="00991C5A"/>
    <w:rsid w:val="009A4739"/>
    <w:rsid w:val="009A5A21"/>
    <w:rsid w:val="009B070E"/>
    <w:rsid w:val="009B098D"/>
    <w:rsid w:val="009B30DE"/>
    <w:rsid w:val="009C79B9"/>
    <w:rsid w:val="009D6E9C"/>
    <w:rsid w:val="009F395D"/>
    <w:rsid w:val="009F50F0"/>
    <w:rsid w:val="00A0590C"/>
    <w:rsid w:val="00A21107"/>
    <w:rsid w:val="00A31F98"/>
    <w:rsid w:val="00A31FE4"/>
    <w:rsid w:val="00A340E0"/>
    <w:rsid w:val="00A37A6B"/>
    <w:rsid w:val="00A40B5D"/>
    <w:rsid w:val="00A4481E"/>
    <w:rsid w:val="00A55BA9"/>
    <w:rsid w:val="00A57454"/>
    <w:rsid w:val="00A60B14"/>
    <w:rsid w:val="00A62277"/>
    <w:rsid w:val="00A64E14"/>
    <w:rsid w:val="00A67F80"/>
    <w:rsid w:val="00A86B9B"/>
    <w:rsid w:val="00AA4A13"/>
    <w:rsid w:val="00AA53FE"/>
    <w:rsid w:val="00AB0749"/>
    <w:rsid w:val="00AB1AE4"/>
    <w:rsid w:val="00AC04F3"/>
    <w:rsid w:val="00AF2087"/>
    <w:rsid w:val="00B11430"/>
    <w:rsid w:val="00B162A5"/>
    <w:rsid w:val="00B25935"/>
    <w:rsid w:val="00B25B5B"/>
    <w:rsid w:val="00B263CC"/>
    <w:rsid w:val="00B2674B"/>
    <w:rsid w:val="00B31983"/>
    <w:rsid w:val="00B34227"/>
    <w:rsid w:val="00B34400"/>
    <w:rsid w:val="00B438FA"/>
    <w:rsid w:val="00B50AB3"/>
    <w:rsid w:val="00B536CE"/>
    <w:rsid w:val="00B56574"/>
    <w:rsid w:val="00B574BB"/>
    <w:rsid w:val="00B5780C"/>
    <w:rsid w:val="00B7131C"/>
    <w:rsid w:val="00B7282B"/>
    <w:rsid w:val="00B75263"/>
    <w:rsid w:val="00B77C2B"/>
    <w:rsid w:val="00B80428"/>
    <w:rsid w:val="00B80E8B"/>
    <w:rsid w:val="00B8563B"/>
    <w:rsid w:val="00B9541A"/>
    <w:rsid w:val="00BA6EBA"/>
    <w:rsid w:val="00BB20E6"/>
    <w:rsid w:val="00BB288B"/>
    <w:rsid w:val="00BB7BE7"/>
    <w:rsid w:val="00BC54F2"/>
    <w:rsid w:val="00BC79D7"/>
    <w:rsid w:val="00C04A84"/>
    <w:rsid w:val="00C1024B"/>
    <w:rsid w:val="00C13D3F"/>
    <w:rsid w:val="00C22D04"/>
    <w:rsid w:val="00C4581E"/>
    <w:rsid w:val="00C4614F"/>
    <w:rsid w:val="00C519B8"/>
    <w:rsid w:val="00C6641E"/>
    <w:rsid w:val="00C66FCF"/>
    <w:rsid w:val="00C70455"/>
    <w:rsid w:val="00C70BE2"/>
    <w:rsid w:val="00C8334C"/>
    <w:rsid w:val="00C84C4A"/>
    <w:rsid w:val="00C97344"/>
    <w:rsid w:val="00CA0057"/>
    <w:rsid w:val="00CA4FD5"/>
    <w:rsid w:val="00CB3044"/>
    <w:rsid w:val="00CB57C0"/>
    <w:rsid w:val="00CB663A"/>
    <w:rsid w:val="00CC7551"/>
    <w:rsid w:val="00CD5CEF"/>
    <w:rsid w:val="00CD60A7"/>
    <w:rsid w:val="00CE5827"/>
    <w:rsid w:val="00CF0199"/>
    <w:rsid w:val="00CF0600"/>
    <w:rsid w:val="00CF31A1"/>
    <w:rsid w:val="00D02EFC"/>
    <w:rsid w:val="00D1013B"/>
    <w:rsid w:val="00D1180D"/>
    <w:rsid w:val="00D139A2"/>
    <w:rsid w:val="00D14926"/>
    <w:rsid w:val="00D164A3"/>
    <w:rsid w:val="00D21293"/>
    <w:rsid w:val="00D23191"/>
    <w:rsid w:val="00D40F33"/>
    <w:rsid w:val="00D4687C"/>
    <w:rsid w:val="00D63974"/>
    <w:rsid w:val="00D667C5"/>
    <w:rsid w:val="00D7085D"/>
    <w:rsid w:val="00D719F3"/>
    <w:rsid w:val="00D764EB"/>
    <w:rsid w:val="00DA2278"/>
    <w:rsid w:val="00DA6DDA"/>
    <w:rsid w:val="00DA7BC4"/>
    <w:rsid w:val="00DB6DF2"/>
    <w:rsid w:val="00DD3214"/>
    <w:rsid w:val="00DD3702"/>
    <w:rsid w:val="00DD4775"/>
    <w:rsid w:val="00DD4AEF"/>
    <w:rsid w:val="00DD6E36"/>
    <w:rsid w:val="00DD7297"/>
    <w:rsid w:val="00E05E0F"/>
    <w:rsid w:val="00E06BAF"/>
    <w:rsid w:val="00E11A0B"/>
    <w:rsid w:val="00E1499B"/>
    <w:rsid w:val="00E1750A"/>
    <w:rsid w:val="00E20DFA"/>
    <w:rsid w:val="00E21966"/>
    <w:rsid w:val="00E5015C"/>
    <w:rsid w:val="00E5421F"/>
    <w:rsid w:val="00E5689C"/>
    <w:rsid w:val="00E63E65"/>
    <w:rsid w:val="00E66D74"/>
    <w:rsid w:val="00E71043"/>
    <w:rsid w:val="00E716CB"/>
    <w:rsid w:val="00E838B9"/>
    <w:rsid w:val="00E87B88"/>
    <w:rsid w:val="00E94892"/>
    <w:rsid w:val="00EB4A8C"/>
    <w:rsid w:val="00EB6BD1"/>
    <w:rsid w:val="00EC1B24"/>
    <w:rsid w:val="00EC585E"/>
    <w:rsid w:val="00ED33F6"/>
    <w:rsid w:val="00ED3BA3"/>
    <w:rsid w:val="00ED7B0B"/>
    <w:rsid w:val="00F00582"/>
    <w:rsid w:val="00F02B84"/>
    <w:rsid w:val="00F05D02"/>
    <w:rsid w:val="00F0765E"/>
    <w:rsid w:val="00F107F4"/>
    <w:rsid w:val="00F1464B"/>
    <w:rsid w:val="00F15EAD"/>
    <w:rsid w:val="00F160B1"/>
    <w:rsid w:val="00F162B0"/>
    <w:rsid w:val="00F2143C"/>
    <w:rsid w:val="00F2184D"/>
    <w:rsid w:val="00F23E2A"/>
    <w:rsid w:val="00F304B3"/>
    <w:rsid w:val="00F35DED"/>
    <w:rsid w:val="00F367AA"/>
    <w:rsid w:val="00F45263"/>
    <w:rsid w:val="00F54CDF"/>
    <w:rsid w:val="00F557D4"/>
    <w:rsid w:val="00F60609"/>
    <w:rsid w:val="00F74E31"/>
    <w:rsid w:val="00F81F3A"/>
    <w:rsid w:val="00F82C40"/>
    <w:rsid w:val="00F85E46"/>
    <w:rsid w:val="00F9233C"/>
    <w:rsid w:val="00F93899"/>
    <w:rsid w:val="00F95FD2"/>
    <w:rsid w:val="00F9741B"/>
    <w:rsid w:val="00FB0F34"/>
    <w:rsid w:val="00FC4F04"/>
    <w:rsid w:val="00FC689D"/>
    <w:rsid w:val="00FD2D21"/>
    <w:rsid w:val="00FD47A0"/>
    <w:rsid w:val="00FE0A82"/>
    <w:rsid w:val="00FE558D"/>
    <w:rsid w:val="00FF09E7"/>
    <w:rsid w:val="00FF13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283"/>
    <w:rPr>
      <w:sz w:val="24"/>
      <w:szCs w:val="24"/>
    </w:rPr>
  </w:style>
  <w:style w:type="paragraph" w:styleId="Heading1">
    <w:name w:val="heading 1"/>
    <w:basedOn w:val="Normal"/>
    <w:next w:val="Normal"/>
    <w:link w:val="Heading1Char"/>
    <w:uiPriority w:val="9"/>
    <w:qFormat/>
    <w:rsid w:val="0012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8AE"/>
    <w:pPr>
      <w:ind w:left="720"/>
      <w:contextualSpacing/>
    </w:pPr>
  </w:style>
  <w:style w:type="paragraph" w:styleId="BalloonText">
    <w:name w:val="Balloon Text"/>
    <w:basedOn w:val="Normal"/>
    <w:link w:val="BalloonTextChar"/>
    <w:uiPriority w:val="99"/>
    <w:semiHidden/>
    <w:unhideWhenUsed/>
    <w:rsid w:val="00B574BB"/>
    <w:rPr>
      <w:rFonts w:ascii="Tahoma" w:hAnsi="Tahoma" w:cs="Tahoma"/>
      <w:sz w:val="16"/>
      <w:szCs w:val="16"/>
    </w:rPr>
  </w:style>
  <w:style w:type="character" w:customStyle="1" w:styleId="BalloonTextChar">
    <w:name w:val="Balloon Text Char"/>
    <w:basedOn w:val="DefaultParagraphFont"/>
    <w:link w:val="BalloonText"/>
    <w:uiPriority w:val="99"/>
    <w:semiHidden/>
    <w:rsid w:val="00B574BB"/>
    <w:rPr>
      <w:rFonts w:ascii="Tahoma" w:hAnsi="Tahoma" w:cs="Tahoma"/>
      <w:sz w:val="16"/>
      <w:szCs w:val="16"/>
    </w:rPr>
  </w:style>
  <w:style w:type="character" w:styleId="Hyperlink">
    <w:name w:val="Hyperlink"/>
    <w:basedOn w:val="DefaultParagraphFont"/>
    <w:uiPriority w:val="99"/>
    <w:unhideWhenUsed/>
    <w:rsid w:val="00681B44"/>
    <w:rPr>
      <w:color w:val="0000FF" w:themeColor="hyperlink"/>
      <w:u w:val="single"/>
    </w:rPr>
  </w:style>
  <w:style w:type="paragraph" w:styleId="IntenseQuote">
    <w:name w:val="Intense Quote"/>
    <w:basedOn w:val="Normal"/>
    <w:next w:val="Normal"/>
    <w:link w:val="IntenseQuoteChar"/>
    <w:uiPriority w:val="30"/>
    <w:qFormat/>
    <w:rsid w:val="00124A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24A3E"/>
    <w:rPr>
      <w:b/>
      <w:bCs/>
      <w:i/>
      <w:iCs/>
      <w:color w:val="4F81BD" w:themeColor="accent1"/>
      <w:sz w:val="24"/>
      <w:szCs w:val="24"/>
    </w:rPr>
  </w:style>
  <w:style w:type="character" w:customStyle="1" w:styleId="Heading1Char">
    <w:name w:val="Heading 1 Char"/>
    <w:basedOn w:val="DefaultParagraphFont"/>
    <w:link w:val="Heading1"/>
    <w:uiPriority w:val="9"/>
    <w:rsid w:val="00124A3E"/>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FE558D"/>
    <w:rPr>
      <w:b/>
      <w:bCs/>
      <w:i/>
      <w:iCs/>
      <w:color w:val="4F81BD" w:themeColor="accent1"/>
    </w:rPr>
  </w:style>
  <w:style w:type="character" w:styleId="Emphasis">
    <w:name w:val="Emphasis"/>
    <w:basedOn w:val="DefaultParagraphFont"/>
    <w:uiPriority w:val="20"/>
    <w:qFormat/>
    <w:rsid w:val="00FE558D"/>
    <w:rPr>
      <w:i/>
      <w:iCs/>
    </w:rPr>
  </w:style>
  <w:style w:type="table" w:customStyle="1" w:styleId="LightShading-Accent11">
    <w:name w:val="Light Shading - Accent 11"/>
    <w:basedOn w:val="TableNormal"/>
    <w:uiPriority w:val="60"/>
    <w:rsid w:val="00FE558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94537650">
      <w:bodyDiv w:val="1"/>
      <w:marLeft w:val="0"/>
      <w:marRight w:val="0"/>
      <w:marTop w:val="0"/>
      <w:marBottom w:val="0"/>
      <w:divBdr>
        <w:top w:val="none" w:sz="0" w:space="0" w:color="auto"/>
        <w:left w:val="none" w:sz="0" w:space="0" w:color="auto"/>
        <w:bottom w:val="none" w:sz="0" w:space="0" w:color="auto"/>
        <w:right w:val="none" w:sz="0" w:space="0" w:color="auto"/>
      </w:divBdr>
    </w:div>
    <w:div w:id="557739276">
      <w:bodyDiv w:val="1"/>
      <w:marLeft w:val="0"/>
      <w:marRight w:val="0"/>
      <w:marTop w:val="0"/>
      <w:marBottom w:val="0"/>
      <w:divBdr>
        <w:top w:val="none" w:sz="0" w:space="0" w:color="auto"/>
        <w:left w:val="none" w:sz="0" w:space="0" w:color="auto"/>
        <w:bottom w:val="none" w:sz="0" w:space="0" w:color="auto"/>
        <w:right w:val="none" w:sz="0" w:space="0" w:color="auto"/>
      </w:divBdr>
    </w:div>
    <w:div w:id="585963940">
      <w:bodyDiv w:val="1"/>
      <w:marLeft w:val="0"/>
      <w:marRight w:val="0"/>
      <w:marTop w:val="0"/>
      <w:marBottom w:val="0"/>
      <w:divBdr>
        <w:top w:val="none" w:sz="0" w:space="0" w:color="auto"/>
        <w:left w:val="none" w:sz="0" w:space="0" w:color="auto"/>
        <w:bottom w:val="none" w:sz="0" w:space="0" w:color="auto"/>
        <w:right w:val="none" w:sz="0" w:space="0" w:color="auto"/>
      </w:divBdr>
      <w:divsChild>
        <w:div w:id="232666445">
          <w:marLeft w:val="1426"/>
          <w:marRight w:val="0"/>
          <w:marTop w:val="134"/>
          <w:marBottom w:val="0"/>
          <w:divBdr>
            <w:top w:val="none" w:sz="0" w:space="0" w:color="auto"/>
            <w:left w:val="none" w:sz="0" w:space="0" w:color="auto"/>
            <w:bottom w:val="none" w:sz="0" w:space="0" w:color="auto"/>
            <w:right w:val="none" w:sz="0" w:space="0" w:color="auto"/>
          </w:divBdr>
        </w:div>
        <w:div w:id="1475177077">
          <w:marLeft w:val="1426"/>
          <w:marRight w:val="0"/>
          <w:marTop w:val="134"/>
          <w:marBottom w:val="0"/>
          <w:divBdr>
            <w:top w:val="none" w:sz="0" w:space="0" w:color="auto"/>
            <w:left w:val="none" w:sz="0" w:space="0" w:color="auto"/>
            <w:bottom w:val="none" w:sz="0" w:space="0" w:color="auto"/>
            <w:right w:val="none" w:sz="0" w:space="0" w:color="auto"/>
          </w:divBdr>
        </w:div>
      </w:divsChild>
    </w:div>
    <w:div w:id="590429818">
      <w:bodyDiv w:val="1"/>
      <w:marLeft w:val="0"/>
      <w:marRight w:val="0"/>
      <w:marTop w:val="0"/>
      <w:marBottom w:val="0"/>
      <w:divBdr>
        <w:top w:val="none" w:sz="0" w:space="0" w:color="auto"/>
        <w:left w:val="none" w:sz="0" w:space="0" w:color="auto"/>
        <w:bottom w:val="none" w:sz="0" w:space="0" w:color="auto"/>
        <w:right w:val="none" w:sz="0" w:space="0" w:color="auto"/>
      </w:divBdr>
    </w:div>
    <w:div w:id="652101790">
      <w:bodyDiv w:val="1"/>
      <w:marLeft w:val="0"/>
      <w:marRight w:val="0"/>
      <w:marTop w:val="0"/>
      <w:marBottom w:val="0"/>
      <w:divBdr>
        <w:top w:val="none" w:sz="0" w:space="0" w:color="auto"/>
        <w:left w:val="none" w:sz="0" w:space="0" w:color="auto"/>
        <w:bottom w:val="none" w:sz="0" w:space="0" w:color="auto"/>
        <w:right w:val="none" w:sz="0" w:space="0" w:color="auto"/>
      </w:divBdr>
    </w:div>
    <w:div w:id="1355418860">
      <w:bodyDiv w:val="1"/>
      <w:marLeft w:val="0"/>
      <w:marRight w:val="0"/>
      <w:marTop w:val="0"/>
      <w:marBottom w:val="0"/>
      <w:divBdr>
        <w:top w:val="none" w:sz="0" w:space="0" w:color="auto"/>
        <w:left w:val="none" w:sz="0" w:space="0" w:color="auto"/>
        <w:bottom w:val="none" w:sz="0" w:space="0" w:color="auto"/>
        <w:right w:val="none" w:sz="0" w:space="0" w:color="auto"/>
      </w:divBdr>
    </w:div>
    <w:div w:id="143794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hives.gov/records-mgmt/era/agency-user-manual.pdf" TargetMode="External"/><Relationship Id="rId3" Type="http://schemas.openxmlformats.org/officeDocument/2006/relationships/styles" Target="styles.xml"/><Relationship Id="rId7" Type="http://schemas.openxmlformats.org/officeDocument/2006/relationships/hyperlink" Target="http://www.archives.gov/era/trai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rchives.gov/records-mgmt/er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rchives.gov/records-mgmt/era/faq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302AD-08BA-43A1-96E8-0822004B6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1503</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NARA</Company>
  <LinksUpToDate>false</LinksUpToDate>
  <CharactersWithSpaces>9637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dc:creator>
  <cp:keywords/>
  <dc:description/>
  <cp:lastModifiedBy>Image</cp:lastModifiedBy>
  <cp:revision>2</cp:revision>
  <cp:lastPrinted>2011-09-30T18:06:00Z</cp:lastPrinted>
  <dcterms:created xsi:type="dcterms:W3CDTF">2012-06-14T14:02:00Z</dcterms:created>
  <dcterms:modified xsi:type="dcterms:W3CDTF">2012-06-14T14:02:00Z</dcterms:modified>
</cp:coreProperties>
</file>