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95A" w:rsidRPr="0030778A" w:rsidRDefault="00C86CB2" w:rsidP="0030778A">
      <w:pPr>
        <w:rPr>
          <w:rFonts w:ascii="Calibri" w:hAnsi="Calibri" w:cs="Calibri"/>
          <w:sz w:val="22"/>
          <w:szCs w:val="22"/>
        </w:rPr>
      </w:pPr>
      <w:r w:rsidRPr="0030778A">
        <w:rPr>
          <w:rFonts w:ascii="Calibri" w:hAnsi="Calibri" w:cs="Calibri"/>
          <w:sz w:val="22"/>
          <w:szCs w:val="22"/>
        </w:rPr>
        <w:br/>
      </w:r>
    </w:p>
    <w:p w:rsidR="003175D7" w:rsidRPr="0030778A" w:rsidRDefault="006756C4" w:rsidP="0030778A">
      <w:pPr>
        <w:rPr>
          <w:rFonts w:ascii="Calibri" w:hAnsi="Calibri" w:cs="Calibri"/>
          <w:b/>
          <w:sz w:val="22"/>
          <w:szCs w:val="22"/>
        </w:rPr>
      </w:pPr>
      <w:r>
        <w:rPr>
          <w:rFonts w:ascii="Calibri" w:hAnsi="Calibri" w:cs="Calibri"/>
          <w:b/>
          <w:noProof/>
          <w:sz w:val="22"/>
          <w:szCs w:val="22"/>
        </w:rPr>
        <w:drawing>
          <wp:inline distT="0" distB="0" distL="0" distR="0">
            <wp:extent cx="3143250" cy="647700"/>
            <wp:effectExtent l="0" t="0" r="0" b="0"/>
            <wp:docPr id="2" name="Image 2" descr="C:\Users\jm.lannes\Pictures\CCI PAC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lannes\Pictures\CCI PACA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250" cy="647700"/>
                    </a:xfrm>
                    <a:prstGeom prst="rect">
                      <a:avLst/>
                    </a:prstGeom>
                    <a:noFill/>
                    <a:ln>
                      <a:noFill/>
                    </a:ln>
                  </pic:spPr>
                </pic:pic>
              </a:graphicData>
            </a:graphic>
          </wp:inline>
        </w:drawing>
      </w:r>
    </w:p>
    <w:p w:rsidR="00364D13" w:rsidRPr="0030778A" w:rsidRDefault="00364D13" w:rsidP="0030778A">
      <w:pPr>
        <w:rPr>
          <w:rFonts w:ascii="Calibri" w:hAnsi="Calibri" w:cs="Calibri"/>
          <w:bCs/>
          <w:sz w:val="22"/>
          <w:szCs w:val="22"/>
        </w:rPr>
      </w:pPr>
    </w:p>
    <w:p w:rsidR="00364D13" w:rsidRPr="0030778A" w:rsidRDefault="00364D13" w:rsidP="0030778A">
      <w:pPr>
        <w:rPr>
          <w:rFonts w:ascii="Calibri" w:hAnsi="Calibri" w:cs="Calibri"/>
          <w:sz w:val="22"/>
          <w:szCs w:val="22"/>
        </w:rPr>
      </w:pPr>
    </w:p>
    <w:p w:rsidR="002E0887" w:rsidRPr="0030778A" w:rsidRDefault="005B55AE" w:rsidP="0030778A">
      <w:pPr>
        <w:rPr>
          <w:rFonts w:ascii="Calibri" w:hAnsi="Calibri" w:cs="Calibri"/>
          <w:sz w:val="22"/>
          <w:szCs w:val="22"/>
        </w:rPr>
      </w:pPr>
      <w:r w:rsidRPr="0030778A">
        <w:rPr>
          <w:rFonts w:ascii="Calibri" w:hAnsi="Calibri" w:cs="Calibri"/>
          <w:sz w:val="22"/>
          <w:szCs w:val="22"/>
        </w:rPr>
        <w:tab/>
      </w:r>
      <w:r w:rsidRPr="0030778A">
        <w:rPr>
          <w:rFonts w:ascii="Calibri" w:hAnsi="Calibri" w:cs="Calibri"/>
          <w:sz w:val="22"/>
          <w:szCs w:val="22"/>
        </w:rPr>
        <w:tab/>
      </w:r>
      <w:r w:rsidR="002E0887" w:rsidRPr="0030778A">
        <w:rPr>
          <w:rFonts w:ascii="Calibri" w:hAnsi="Calibri" w:cs="Calibri"/>
          <w:sz w:val="22"/>
          <w:szCs w:val="22"/>
        </w:rPr>
        <w:t xml:space="preserve">           </w:t>
      </w:r>
    </w:p>
    <w:p w:rsidR="0029001E" w:rsidRDefault="0029001E" w:rsidP="0030778A">
      <w:pPr>
        <w:rPr>
          <w:rFonts w:ascii="Calibri" w:hAnsi="Calibri" w:cs="Calibri"/>
          <w:sz w:val="22"/>
          <w:szCs w:val="22"/>
        </w:rPr>
      </w:pPr>
    </w:p>
    <w:p w:rsidR="00375D9F" w:rsidRDefault="00375D9F" w:rsidP="0030778A">
      <w:pPr>
        <w:rPr>
          <w:rFonts w:ascii="Calibri" w:hAnsi="Calibri" w:cs="Calibri"/>
          <w:sz w:val="22"/>
          <w:szCs w:val="22"/>
        </w:rPr>
      </w:pPr>
    </w:p>
    <w:p w:rsidR="00375D9F" w:rsidRDefault="00375D9F" w:rsidP="0030778A">
      <w:pPr>
        <w:rPr>
          <w:rFonts w:ascii="Calibri" w:hAnsi="Calibri" w:cs="Calibri"/>
          <w:sz w:val="22"/>
          <w:szCs w:val="22"/>
        </w:rPr>
      </w:pPr>
    </w:p>
    <w:p w:rsidR="00375D9F" w:rsidRPr="0030778A" w:rsidRDefault="00375D9F" w:rsidP="0030778A">
      <w:pPr>
        <w:rPr>
          <w:rFonts w:ascii="Calibri" w:hAnsi="Calibri" w:cs="Calibri"/>
          <w:sz w:val="22"/>
          <w:szCs w:val="22"/>
        </w:rPr>
      </w:pPr>
    </w:p>
    <w:p w:rsidR="0029001E" w:rsidRPr="0030778A" w:rsidRDefault="0029001E" w:rsidP="0030778A">
      <w:pPr>
        <w:rPr>
          <w:rFonts w:ascii="Calibri" w:hAnsi="Calibri" w:cs="Calibri"/>
          <w:sz w:val="22"/>
          <w:szCs w:val="22"/>
        </w:rPr>
      </w:pPr>
    </w:p>
    <w:p w:rsidR="0029001E" w:rsidRPr="0030778A" w:rsidRDefault="0029001E" w:rsidP="003175D7">
      <w:pPr>
        <w:rPr>
          <w:rFonts w:ascii="Calibri" w:hAnsi="Calibri" w:cs="Calibri"/>
          <w:sz w:val="22"/>
          <w:szCs w:val="22"/>
        </w:rPr>
      </w:pPr>
    </w:p>
    <w:p w:rsidR="003175D7" w:rsidRPr="00375D9F" w:rsidRDefault="00665293" w:rsidP="0030778A">
      <w:pPr>
        <w:jc w:val="center"/>
        <w:rPr>
          <w:rFonts w:ascii="Calibri" w:hAnsi="Calibri" w:cs="Calibri"/>
          <w:b/>
          <w:caps/>
          <w:sz w:val="32"/>
          <w:szCs w:val="32"/>
        </w:rPr>
      </w:pPr>
      <w:r w:rsidRPr="00375D9F">
        <w:rPr>
          <w:rFonts w:ascii="Calibri" w:hAnsi="Calibri" w:cs="Calibri"/>
          <w:b/>
          <w:caps/>
          <w:sz w:val="32"/>
          <w:szCs w:val="32"/>
        </w:rPr>
        <w:t xml:space="preserve">Guide déontologique applicable au marché </w:t>
      </w:r>
    </w:p>
    <w:p w:rsidR="00665293" w:rsidRPr="00375D9F" w:rsidRDefault="00665293" w:rsidP="00665293">
      <w:pPr>
        <w:jc w:val="center"/>
        <w:rPr>
          <w:rFonts w:ascii="Calibri" w:hAnsi="Calibri" w:cs="Calibri"/>
          <w:b/>
          <w:sz w:val="32"/>
          <w:szCs w:val="32"/>
        </w:rPr>
      </w:pPr>
      <w:r w:rsidRPr="00375D9F">
        <w:rPr>
          <w:rFonts w:ascii="Calibri" w:hAnsi="Calibri" w:cs="Calibri"/>
          <w:b/>
          <w:sz w:val="32"/>
          <w:szCs w:val="32"/>
        </w:rPr>
        <w:t>LOCATION, MISE EN OEUVRE, HEBERGEMENT SECURISE</w:t>
      </w:r>
    </w:p>
    <w:p w:rsidR="00665293" w:rsidRPr="00375D9F" w:rsidRDefault="00665293" w:rsidP="00665293">
      <w:pPr>
        <w:jc w:val="center"/>
        <w:rPr>
          <w:rFonts w:ascii="Calibri" w:hAnsi="Calibri" w:cs="Calibri"/>
          <w:b/>
          <w:sz w:val="32"/>
          <w:szCs w:val="32"/>
        </w:rPr>
      </w:pPr>
      <w:r w:rsidRPr="00375D9F">
        <w:rPr>
          <w:rFonts w:ascii="Calibri" w:hAnsi="Calibri" w:cs="Calibri"/>
          <w:b/>
          <w:sz w:val="32"/>
          <w:szCs w:val="32"/>
        </w:rPr>
        <w:t>ET MAINTENANCE D’UNE SOLUTION WEB PERMETTANT</w:t>
      </w:r>
    </w:p>
    <w:p w:rsidR="00665293" w:rsidRPr="00375D9F" w:rsidRDefault="00665293" w:rsidP="00665293">
      <w:pPr>
        <w:jc w:val="center"/>
        <w:rPr>
          <w:rFonts w:ascii="Calibri" w:hAnsi="Calibri" w:cs="Calibri"/>
          <w:b/>
          <w:sz w:val="32"/>
          <w:szCs w:val="32"/>
        </w:rPr>
      </w:pPr>
      <w:r w:rsidRPr="00375D9F">
        <w:rPr>
          <w:rFonts w:ascii="Calibri" w:hAnsi="Calibri" w:cs="Calibri"/>
          <w:b/>
          <w:sz w:val="32"/>
          <w:szCs w:val="32"/>
        </w:rPr>
        <w:t>D’ASSURER LA COLLECTE, LA GESTION ET LA REPARTITION</w:t>
      </w:r>
    </w:p>
    <w:p w:rsidR="00665293" w:rsidRPr="00665293" w:rsidRDefault="00665293" w:rsidP="00665293">
      <w:pPr>
        <w:jc w:val="center"/>
        <w:rPr>
          <w:rFonts w:ascii="Calibri" w:hAnsi="Calibri" w:cs="Calibri"/>
          <w:sz w:val="72"/>
          <w:szCs w:val="72"/>
        </w:rPr>
      </w:pPr>
      <w:r w:rsidRPr="00375D9F">
        <w:rPr>
          <w:rFonts w:ascii="Calibri" w:hAnsi="Calibri" w:cs="Calibri"/>
          <w:b/>
          <w:sz w:val="32"/>
          <w:szCs w:val="32"/>
        </w:rPr>
        <w:t>DE LA TAXE D’APPRENTISSAGE, ET PRESTATIONS ASSOCIEES</w:t>
      </w:r>
    </w:p>
    <w:p w:rsidR="003175D7" w:rsidRDefault="003175D7" w:rsidP="003175D7">
      <w:pPr>
        <w:rPr>
          <w:rFonts w:ascii="Calibri" w:hAnsi="Calibri" w:cs="Calibri"/>
          <w:sz w:val="22"/>
          <w:szCs w:val="22"/>
        </w:rPr>
      </w:pPr>
    </w:p>
    <w:p w:rsidR="00375D9F" w:rsidRDefault="00375D9F" w:rsidP="003175D7">
      <w:pPr>
        <w:rPr>
          <w:rFonts w:ascii="Calibri" w:hAnsi="Calibri" w:cs="Calibri"/>
          <w:sz w:val="22"/>
          <w:szCs w:val="22"/>
        </w:rPr>
      </w:pPr>
    </w:p>
    <w:p w:rsidR="00375D9F" w:rsidRDefault="00375D9F" w:rsidP="003175D7">
      <w:pPr>
        <w:rPr>
          <w:rFonts w:ascii="Calibri" w:hAnsi="Calibri" w:cs="Calibri"/>
          <w:sz w:val="22"/>
          <w:szCs w:val="22"/>
        </w:rPr>
      </w:pPr>
    </w:p>
    <w:p w:rsidR="00375D9F" w:rsidRDefault="00375D9F" w:rsidP="003175D7">
      <w:pPr>
        <w:rPr>
          <w:rFonts w:ascii="Calibri" w:hAnsi="Calibri" w:cs="Calibri"/>
          <w:sz w:val="22"/>
          <w:szCs w:val="22"/>
        </w:rPr>
      </w:pPr>
    </w:p>
    <w:p w:rsidR="00375D9F" w:rsidRDefault="00375D9F" w:rsidP="003175D7">
      <w:pPr>
        <w:rPr>
          <w:rFonts w:ascii="Calibri" w:hAnsi="Calibri" w:cs="Calibri"/>
          <w:sz w:val="22"/>
          <w:szCs w:val="22"/>
        </w:rPr>
      </w:pPr>
    </w:p>
    <w:p w:rsidR="00375D9F" w:rsidRDefault="00375D9F" w:rsidP="003175D7">
      <w:pPr>
        <w:rPr>
          <w:rFonts w:ascii="Calibri" w:hAnsi="Calibri" w:cs="Calibri"/>
          <w:sz w:val="22"/>
          <w:szCs w:val="22"/>
        </w:rPr>
      </w:pPr>
    </w:p>
    <w:p w:rsidR="00375D9F" w:rsidRPr="0030778A" w:rsidRDefault="00375D9F" w:rsidP="003175D7">
      <w:pPr>
        <w:rPr>
          <w:rFonts w:ascii="Calibri" w:hAnsi="Calibri" w:cs="Calibri"/>
          <w:sz w:val="22"/>
          <w:szCs w:val="22"/>
        </w:rPr>
      </w:pPr>
    </w:p>
    <w:p w:rsidR="0029001E" w:rsidRPr="0030778A" w:rsidRDefault="0029001E">
      <w:pPr>
        <w:rPr>
          <w:rFonts w:ascii="Calibri" w:hAnsi="Calibri" w:cs="Calibri"/>
          <w:b/>
          <w:bCs/>
          <w:sz w:val="22"/>
          <w:szCs w:val="22"/>
          <w:u w:val="single"/>
        </w:rPr>
      </w:pPr>
    </w:p>
    <w:p w:rsidR="0030778A" w:rsidRPr="0030778A" w:rsidRDefault="0030778A">
      <w:pPr>
        <w:pStyle w:val="En-ttedetabledesmatires"/>
        <w:rPr>
          <w:rFonts w:ascii="Calibri" w:hAnsi="Calibri" w:cs="Calibri"/>
          <w:sz w:val="22"/>
          <w:szCs w:val="22"/>
        </w:rPr>
      </w:pPr>
      <w:r w:rsidRPr="0030778A">
        <w:rPr>
          <w:rFonts w:ascii="Calibri" w:hAnsi="Calibri" w:cs="Calibri"/>
          <w:sz w:val="22"/>
          <w:szCs w:val="22"/>
        </w:rPr>
        <w:t>Table des matières</w:t>
      </w:r>
    </w:p>
    <w:p w:rsidR="008B01E1" w:rsidRDefault="0030778A">
      <w:pPr>
        <w:pStyle w:val="TM1"/>
        <w:tabs>
          <w:tab w:val="left" w:pos="440"/>
          <w:tab w:val="right" w:leader="dot" w:pos="9345"/>
        </w:tabs>
        <w:rPr>
          <w:rFonts w:asciiTheme="minorHAnsi" w:eastAsiaTheme="minorEastAsia" w:hAnsiTheme="minorHAnsi" w:cstheme="minorBidi"/>
          <w:noProof/>
          <w:sz w:val="22"/>
          <w:szCs w:val="22"/>
        </w:rPr>
      </w:pPr>
      <w:r w:rsidRPr="0030778A">
        <w:rPr>
          <w:rFonts w:ascii="Calibri" w:hAnsi="Calibri" w:cs="Calibri"/>
          <w:sz w:val="22"/>
          <w:szCs w:val="22"/>
        </w:rPr>
        <w:fldChar w:fldCharType="begin"/>
      </w:r>
      <w:r w:rsidRPr="0030778A">
        <w:rPr>
          <w:rFonts w:ascii="Calibri" w:hAnsi="Calibri" w:cs="Calibri"/>
          <w:sz w:val="22"/>
          <w:szCs w:val="22"/>
        </w:rPr>
        <w:instrText xml:space="preserve"> TOC \o "1-3" \h \z \u </w:instrText>
      </w:r>
      <w:r w:rsidRPr="0030778A">
        <w:rPr>
          <w:rFonts w:ascii="Calibri" w:hAnsi="Calibri" w:cs="Calibri"/>
          <w:sz w:val="22"/>
          <w:szCs w:val="22"/>
        </w:rPr>
        <w:fldChar w:fldCharType="separate"/>
      </w:r>
      <w:hyperlink w:anchor="_Toc453335901" w:history="1">
        <w:r w:rsidR="008B01E1" w:rsidRPr="00D1237E">
          <w:rPr>
            <w:rStyle w:val="Lienhypertexte"/>
            <w:rFonts w:ascii="Calibri" w:hAnsi="Calibri"/>
            <w:noProof/>
          </w:rPr>
          <w:t>1.</w:t>
        </w:r>
        <w:r w:rsidR="008B01E1">
          <w:rPr>
            <w:rFonts w:asciiTheme="minorHAnsi" w:eastAsiaTheme="minorEastAsia" w:hAnsiTheme="minorHAnsi" w:cstheme="minorBidi"/>
            <w:noProof/>
            <w:sz w:val="22"/>
            <w:szCs w:val="22"/>
          </w:rPr>
          <w:tab/>
        </w:r>
        <w:r w:rsidR="008B01E1" w:rsidRPr="00D1237E">
          <w:rPr>
            <w:rStyle w:val="Lienhypertexte"/>
            <w:rFonts w:ascii="Calibri" w:hAnsi="Calibri"/>
            <w:noProof/>
          </w:rPr>
          <w:t>PRINCIPES DE LA COMMANDE PUBLIQUE</w:t>
        </w:r>
        <w:r w:rsidR="008B01E1">
          <w:rPr>
            <w:noProof/>
            <w:webHidden/>
          </w:rPr>
          <w:tab/>
        </w:r>
        <w:r w:rsidR="008B01E1">
          <w:rPr>
            <w:noProof/>
            <w:webHidden/>
          </w:rPr>
          <w:fldChar w:fldCharType="begin"/>
        </w:r>
        <w:r w:rsidR="008B01E1">
          <w:rPr>
            <w:noProof/>
            <w:webHidden/>
          </w:rPr>
          <w:instrText xml:space="preserve"> PAGEREF _Toc453335901 \h </w:instrText>
        </w:r>
        <w:r w:rsidR="008B01E1">
          <w:rPr>
            <w:noProof/>
            <w:webHidden/>
          </w:rPr>
        </w:r>
        <w:r w:rsidR="008B01E1">
          <w:rPr>
            <w:noProof/>
            <w:webHidden/>
          </w:rPr>
          <w:fldChar w:fldCharType="separate"/>
        </w:r>
        <w:r w:rsidR="008B01E1">
          <w:rPr>
            <w:noProof/>
            <w:webHidden/>
          </w:rPr>
          <w:t>2</w:t>
        </w:r>
        <w:r w:rsidR="008B01E1">
          <w:rPr>
            <w:noProof/>
            <w:webHidden/>
          </w:rPr>
          <w:fldChar w:fldCharType="end"/>
        </w:r>
      </w:hyperlink>
    </w:p>
    <w:p w:rsidR="008B01E1" w:rsidRDefault="00E60770">
      <w:pPr>
        <w:pStyle w:val="TM1"/>
        <w:tabs>
          <w:tab w:val="left" w:pos="440"/>
          <w:tab w:val="right" w:leader="dot" w:pos="9345"/>
        </w:tabs>
        <w:rPr>
          <w:rFonts w:asciiTheme="minorHAnsi" w:eastAsiaTheme="minorEastAsia" w:hAnsiTheme="minorHAnsi" w:cstheme="minorBidi"/>
          <w:noProof/>
          <w:sz w:val="22"/>
          <w:szCs w:val="22"/>
        </w:rPr>
      </w:pPr>
      <w:hyperlink w:anchor="_Toc453335902" w:history="1">
        <w:r w:rsidR="008B01E1" w:rsidRPr="00D1237E">
          <w:rPr>
            <w:rStyle w:val="Lienhypertexte"/>
            <w:rFonts w:ascii="Calibri" w:hAnsi="Calibri"/>
            <w:noProof/>
          </w:rPr>
          <w:t>2.</w:t>
        </w:r>
        <w:r w:rsidR="008B01E1">
          <w:rPr>
            <w:rFonts w:asciiTheme="minorHAnsi" w:eastAsiaTheme="minorEastAsia" w:hAnsiTheme="minorHAnsi" w:cstheme="minorBidi"/>
            <w:noProof/>
            <w:sz w:val="22"/>
            <w:szCs w:val="22"/>
          </w:rPr>
          <w:tab/>
        </w:r>
        <w:r w:rsidR="008B01E1" w:rsidRPr="00D1237E">
          <w:rPr>
            <w:rStyle w:val="Lienhypertexte"/>
            <w:rFonts w:ascii="Calibri" w:hAnsi="Calibri"/>
            <w:noProof/>
          </w:rPr>
          <w:t>MODALITES D’APPLICATION</w:t>
        </w:r>
        <w:r w:rsidR="008B01E1">
          <w:rPr>
            <w:noProof/>
            <w:webHidden/>
          </w:rPr>
          <w:tab/>
        </w:r>
        <w:r w:rsidR="008B01E1">
          <w:rPr>
            <w:noProof/>
            <w:webHidden/>
          </w:rPr>
          <w:fldChar w:fldCharType="begin"/>
        </w:r>
        <w:r w:rsidR="008B01E1">
          <w:rPr>
            <w:noProof/>
            <w:webHidden/>
          </w:rPr>
          <w:instrText xml:space="preserve"> PAGEREF _Toc453335902 \h </w:instrText>
        </w:r>
        <w:r w:rsidR="008B01E1">
          <w:rPr>
            <w:noProof/>
            <w:webHidden/>
          </w:rPr>
        </w:r>
        <w:r w:rsidR="008B01E1">
          <w:rPr>
            <w:noProof/>
            <w:webHidden/>
          </w:rPr>
          <w:fldChar w:fldCharType="separate"/>
        </w:r>
        <w:r w:rsidR="008B01E1">
          <w:rPr>
            <w:noProof/>
            <w:webHidden/>
          </w:rPr>
          <w:t>2</w:t>
        </w:r>
        <w:r w:rsidR="008B01E1">
          <w:rPr>
            <w:noProof/>
            <w:webHidden/>
          </w:rPr>
          <w:fldChar w:fldCharType="end"/>
        </w:r>
      </w:hyperlink>
    </w:p>
    <w:p w:rsidR="008B01E1" w:rsidRDefault="00E60770">
      <w:pPr>
        <w:pStyle w:val="TM1"/>
        <w:tabs>
          <w:tab w:val="left" w:pos="440"/>
          <w:tab w:val="right" w:leader="dot" w:pos="9345"/>
        </w:tabs>
        <w:rPr>
          <w:rFonts w:asciiTheme="minorHAnsi" w:eastAsiaTheme="minorEastAsia" w:hAnsiTheme="minorHAnsi" w:cstheme="minorBidi"/>
          <w:noProof/>
          <w:sz w:val="22"/>
          <w:szCs w:val="22"/>
        </w:rPr>
      </w:pPr>
      <w:hyperlink w:anchor="_Toc453335903" w:history="1">
        <w:r w:rsidR="008B01E1" w:rsidRPr="00D1237E">
          <w:rPr>
            <w:rStyle w:val="Lienhypertexte"/>
            <w:rFonts w:ascii="Calibri" w:hAnsi="Calibri"/>
            <w:noProof/>
          </w:rPr>
          <w:t>3.</w:t>
        </w:r>
        <w:r w:rsidR="008B01E1">
          <w:rPr>
            <w:rFonts w:asciiTheme="minorHAnsi" w:eastAsiaTheme="minorEastAsia" w:hAnsiTheme="minorHAnsi" w:cstheme="minorBidi"/>
            <w:noProof/>
            <w:sz w:val="22"/>
            <w:szCs w:val="22"/>
          </w:rPr>
          <w:tab/>
        </w:r>
        <w:r w:rsidR="008B01E1" w:rsidRPr="00D1237E">
          <w:rPr>
            <w:rStyle w:val="Lienhypertexte"/>
            <w:rFonts w:ascii="Calibri" w:hAnsi="Calibri"/>
            <w:noProof/>
          </w:rPr>
          <w:t>CONNAISSANCE DU SECTEUR ET DES PRODUITS</w:t>
        </w:r>
        <w:r w:rsidR="008B01E1">
          <w:rPr>
            <w:noProof/>
            <w:webHidden/>
          </w:rPr>
          <w:tab/>
        </w:r>
        <w:r w:rsidR="008B01E1">
          <w:rPr>
            <w:noProof/>
            <w:webHidden/>
          </w:rPr>
          <w:fldChar w:fldCharType="begin"/>
        </w:r>
        <w:r w:rsidR="008B01E1">
          <w:rPr>
            <w:noProof/>
            <w:webHidden/>
          </w:rPr>
          <w:instrText xml:space="preserve"> PAGEREF _Toc453335903 \h </w:instrText>
        </w:r>
        <w:r w:rsidR="008B01E1">
          <w:rPr>
            <w:noProof/>
            <w:webHidden/>
          </w:rPr>
        </w:r>
        <w:r w:rsidR="008B01E1">
          <w:rPr>
            <w:noProof/>
            <w:webHidden/>
          </w:rPr>
          <w:fldChar w:fldCharType="separate"/>
        </w:r>
        <w:r w:rsidR="008B01E1">
          <w:rPr>
            <w:noProof/>
            <w:webHidden/>
          </w:rPr>
          <w:t>2</w:t>
        </w:r>
        <w:r w:rsidR="008B01E1">
          <w:rPr>
            <w:noProof/>
            <w:webHidden/>
          </w:rPr>
          <w:fldChar w:fldCharType="end"/>
        </w:r>
      </w:hyperlink>
    </w:p>
    <w:p w:rsidR="008B01E1" w:rsidRDefault="00E60770">
      <w:pPr>
        <w:pStyle w:val="TM1"/>
        <w:tabs>
          <w:tab w:val="left" w:pos="440"/>
          <w:tab w:val="right" w:leader="dot" w:pos="9345"/>
        </w:tabs>
        <w:rPr>
          <w:rFonts w:asciiTheme="minorHAnsi" w:eastAsiaTheme="minorEastAsia" w:hAnsiTheme="minorHAnsi" w:cstheme="minorBidi"/>
          <w:noProof/>
          <w:sz w:val="22"/>
          <w:szCs w:val="22"/>
        </w:rPr>
      </w:pPr>
      <w:hyperlink w:anchor="_Toc453335904" w:history="1">
        <w:r w:rsidR="008B01E1" w:rsidRPr="00D1237E">
          <w:rPr>
            <w:rStyle w:val="Lienhypertexte"/>
            <w:rFonts w:ascii="Calibri" w:hAnsi="Calibri"/>
            <w:noProof/>
          </w:rPr>
          <w:t>4.</w:t>
        </w:r>
        <w:r w:rsidR="008B01E1">
          <w:rPr>
            <w:rFonts w:asciiTheme="minorHAnsi" w:eastAsiaTheme="minorEastAsia" w:hAnsiTheme="minorHAnsi" w:cstheme="minorBidi"/>
            <w:noProof/>
            <w:sz w:val="22"/>
            <w:szCs w:val="22"/>
          </w:rPr>
          <w:tab/>
        </w:r>
        <w:r w:rsidR="008B01E1" w:rsidRPr="00D1237E">
          <w:rPr>
            <w:rStyle w:val="Lienhypertexte"/>
            <w:rFonts w:ascii="Calibri" w:hAnsi="Calibri"/>
            <w:noProof/>
          </w:rPr>
          <w:t>LA PROCEDURE DE MARCHE PUBLIC</w:t>
        </w:r>
        <w:r w:rsidR="008B01E1">
          <w:rPr>
            <w:noProof/>
            <w:webHidden/>
          </w:rPr>
          <w:tab/>
        </w:r>
        <w:r w:rsidR="008B01E1">
          <w:rPr>
            <w:noProof/>
            <w:webHidden/>
          </w:rPr>
          <w:fldChar w:fldCharType="begin"/>
        </w:r>
        <w:r w:rsidR="008B01E1">
          <w:rPr>
            <w:noProof/>
            <w:webHidden/>
          </w:rPr>
          <w:instrText xml:space="preserve"> PAGEREF _Toc453335904 \h </w:instrText>
        </w:r>
        <w:r w:rsidR="008B01E1">
          <w:rPr>
            <w:noProof/>
            <w:webHidden/>
          </w:rPr>
        </w:r>
        <w:r w:rsidR="008B01E1">
          <w:rPr>
            <w:noProof/>
            <w:webHidden/>
          </w:rPr>
          <w:fldChar w:fldCharType="separate"/>
        </w:r>
        <w:r w:rsidR="008B01E1">
          <w:rPr>
            <w:noProof/>
            <w:webHidden/>
          </w:rPr>
          <w:t>3</w:t>
        </w:r>
        <w:r w:rsidR="008B01E1">
          <w:rPr>
            <w:noProof/>
            <w:webHidden/>
          </w:rPr>
          <w:fldChar w:fldCharType="end"/>
        </w:r>
      </w:hyperlink>
    </w:p>
    <w:p w:rsidR="008B01E1" w:rsidRDefault="00E60770">
      <w:pPr>
        <w:pStyle w:val="TM1"/>
        <w:tabs>
          <w:tab w:val="left" w:pos="440"/>
          <w:tab w:val="right" w:leader="dot" w:pos="9345"/>
        </w:tabs>
        <w:rPr>
          <w:rFonts w:asciiTheme="minorHAnsi" w:eastAsiaTheme="minorEastAsia" w:hAnsiTheme="minorHAnsi" w:cstheme="minorBidi"/>
          <w:noProof/>
          <w:sz w:val="22"/>
          <w:szCs w:val="22"/>
        </w:rPr>
      </w:pPr>
      <w:hyperlink w:anchor="_Toc453335905" w:history="1">
        <w:r w:rsidR="008B01E1" w:rsidRPr="00D1237E">
          <w:rPr>
            <w:rStyle w:val="Lienhypertexte"/>
            <w:rFonts w:ascii="Calibri" w:hAnsi="Calibri"/>
            <w:noProof/>
          </w:rPr>
          <w:t>5.</w:t>
        </w:r>
        <w:r w:rsidR="008B01E1">
          <w:rPr>
            <w:rFonts w:asciiTheme="minorHAnsi" w:eastAsiaTheme="minorEastAsia" w:hAnsiTheme="minorHAnsi" w:cstheme="minorBidi"/>
            <w:noProof/>
            <w:sz w:val="22"/>
            <w:szCs w:val="22"/>
          </w:rPr>
          <w:tab/>
        </w:r>
        <w:r w:rsidR="008B01E1" w:rsidRPr="00D1237E">
          <w:rPr>
            <w:rStyle w:val="Lienhypertexte"/>
            <w:rFonts w:ascii="Calibri" w:hAnsi="Calibri"/>
            <w:noProof/>
          </w:rPr>
          <w:t>L’ATTRIBUTION DU MARCHE</w:t>
        </w:r>
        <w:r w:rsidR="008B01E1">
          <w:rPr>
            <w:noProof/>
            <w:webHidden/>
          </w:rPr>
          <w:tab/>
        </w:r>
        <w:r w:rsidR="008B01E1">
          <w:rPr>
            <w:noProof/>
            <w:webHidden/>
          </w:rPr>
          <w:fldChar w:fldCharType="begin"/>
        </w:r>
        <w:r w:rsidR="008B01E1">
          <w:rPr>
            <w:noProof/>
            <w:webHidden/>
          </w:rPr>
          <w:instrText xml:space="preserve"> PAGEREF _Toc453335905 \h </w:instrText>
        </w:r>
        <w:r w:rsidR="008B01E1">
          <w:rPr>
            <w:noProof/>
            <w:webHidden/>
          </w:rPr>
        </w:r>
        <w:r w:rsidR="008B01E1">
          <w:rPr>
            <w:noProof/>
            <w:webHidden/>
          </w:rPr>
          <w:fldChar w:fldCharType="separate"/>
        </w:r>
        <w:r w:rsidR="008B01E1">
          <w:rPr>
            <w:noProof/>
            <w:webHidden/>
          </w:rPr>
          <w:t>3</w:t>
        </w:r>
        <w:r w:rsidR="008B01E1">
          <w:rPr>
            <w:noProof/>
            <w:webHidden/>
          </w:rPr>
          <w:fldChar w:fldCharType="end"/>
        </w:r>
      </w:hyperlink>
    </w:p>
    <w:p w:rsidR="008B01E1" w:rsidRDefault="00E60770">
      <w:pPr>
        <w:pStyle w:val="TM1"/>
        <w:tabs>
          <w:tab w:val="left" w:pos="440"/>
          <w:tab w:val="right" w:leader="dot" w:pos="9345"/>
        </w:tabs>
        <w:rPr>
          <w:rFonts w:asciiTheme="minorHAnsi" w:eastAsiaTheme="minorEastAsia" w:hAnsiTheme="minorHAnsi" w:cstheme="minorBidi"/>
          <w:noProof/>
          <w:sz w:val="22"/>
          <w:szCs w:val="22"/>
        </w:rPr>
      </w:pPr>
      <w:hyperlink w:anchor="_Toc453335906" w:history="1">
        <w:r w:rsidR="008B01E1" w:rsidRPr="00D1237E">
          <w:rPr>
            <w:rStyle w:val="Lienhypertexte"/>
            <w:rFonts w:ascii="Calibri" w:hAnsi="Calibri"/>
            <w:noProof/>
          </w:rPr>
          <w:t>6.</w:t>
        </w:r>
        <w:r w:rsidR="008B01E1">
          <w:rPr>
            <w:rFonts w:asciiTheme="minorHAnsi" w:eastAsiaTheme="minorEastAsia" w:hAnsiTheme="minorHAnsi" w:cstheme="minorBidi"/>
            <w:noProof/>
            <w:sz w:val="22"/>
            <w:szCs w:val="22"/>
          </w:rPr>
          <w:tab/>
        </w:r>
        <w:r w:rsidR="008B01E1" w:rsidRPr="00D1237E">
          <w:rPr>
            <w:rStyle w:val="Lienhypertexte"/>
            <w:rFonts w:ascii="Calibri" w:hAnsi="Calibri"/>
            <w:noProof/>
          </w:rPr>
          <w:t>LE DELIT DE FAVORITISME</w:t>
        </w:r>
        <w:r w:rsidR="008B01E1">
          <w:rPr>
            <w:noProof/>
            <w:webHidden/>
          </w:rPr>
          <w:tab/>
        </w:r>
        <w:r w:rsidR="008B01E1">
          <w:rPr>
            <w:noProof/>
            <w:webHidden/>
          </w:rPr>
          <w:fldChar w:fldCharType="begin"/>
        </w:r>
        <w:r w:rsidR="008B01E1">
          <w:rPr>
            <w:noProof/>
            <w:webHidden/>
          </w:rPr>
          <w:instrText xml:space="preserve"> PAGEREF _Toc453335906 \h </w:instrText>
        </w:r>
        <w:r w:rsidR="008B01E1">
          <w:rPr>
            <w:noProof/>
            <w:webHidden/>
          </w:rPr>
        </w:r>
        <w:r w:rsidR="008B01E1">
          <w:rPr>
            <w:noProof/>
            <w:webHidden/>
          </w:rPr>
          <w:fldChar w:fldCharType="separate"/>
        </w:r>
        <w:r w:rsidR="008B01E1">
          <w:rPr>
            <w:noProof/>
            <w:webHidden/>
          </w:rPr>
          <w:t>3</w:t>
        </w:r>
        <w:r w:rsidR="008B01E1">
          <w:rPr>
            <w:noProof/>
            <w:webHidden/>
          </w:rPr>
          <w:fldChar w:fldCharType="end"/>
        </w:r>
      </w:hyperlink>
    </w:p>
    <w:p w:rsidR="0030778A" w:rsidRPr="0030778A" w:rsidRDefault="0030778A">
      <w:pPr>
        <w:rPr>
          <w:rFonts w:ascii="Calibri" w:hAnsi="Calibri" w:cs="Calibri"/>
          <w:sz w:val="22"/>
          <w:szCs w:val="22"/>
        </w:rPr>
      </w:pPr>
      <w:r w:rsidRPr="0030778A">
        <w:rPr>
          <w:rFonts w:ascii="Calibri" w:hAnsi="Calibri" w:cs="Calibri"/>
          <w:b/>
          <w:bCs/>
          <w:sz w:val="22"/>
          <w:szCs w:val="22"/>
        </w:rPr>
        <w:fldChar w:fldCharType="end"/>
      </w:r>
    </w:p>
    <w:p w:rsidR="0030778A" w:rsidRPr="0030778A" w:rsidRDefault="0030778A" w:rsidP="00883B7D">
      <w:pPr>
        <w:rPr>
          <w:rFonts w:ascii="Calibri" w:hAnsi="Calibri" w:cs="Calibri"/>
          <w:sz w:val="22"/>
          <w:szCs w:val="22"/>
        </w:rPr>
      </w:pPr>
    </w:p>
    <w:p w:rsidR="005B55AE" w:rsidRPr="0030778A" w:rsidRDefault="0030778A" w:rsidP="00883B7D">
      <w:pPr>
        <w:rPr>
          <w:rFonts w:ascii="Calibri" w:hAnsi="Calibri" w:cs="Calibri"/>
          <w:sz w:val="22"/>
          <w:szCs w:val="22"/>
        </w:rPr>
      </w:pPr>
      <w:r w:rsidRPr="0030778A">
        <w:rPr>
          <w:rFonts w:ascii="Calibri" w:hAnsi="Calibri" w:cs="Calibri"/>
          <w:sz w:val="22"/>
          <w:szCs w:val="22"/>
        </w:rPr>
        <w:br w:type="page"/>
      </w:r>
    </w:p>
    <w:p w:rsidR="00567FF1" w:rsidRPr="0030778A" w:rsidRDefault="00567FF1" w:rsidP="00C41620">
      <w:pPr>
        <w:rPr>
          <w:rFonts w:ascii="Calibri" w:hAnsi="Calibri" w:cs="Calibri"/>
          <w:sz w:val="22"/>
          <w:szCs w:val="22"/>
        </w:rPr>
      </w:pPr>
    </w:p>
    <w:p w:rsidR="00711FC3" w:rsidRPr="0030778A" w:rsidRDefault="00711FC3" w:rsidP="00711FC3">
      <w:pPr>
        <w:rPr>
          <w:rFonts w:ascii="Calibri" w:hAnsi="Calibri" w:cs="Calibri"/>
          <w:b/>
          <w:bCs/>
          <w:sz w:val="22"/>
          <w:szCs w:val="22"/>
          <w:u w:val="single"/>
        </w:rPr>
      </w:pPr>
    </w:p>
    <w:p w:rsidR="00711FC3" w:rsidRDefault="00760615" w:rsidP="00665293">
      <w:pPr>
        <w:spacing w:after="240"/>
        <w:rPr>
          <w:rFonts w:ascii="Calibri" w:hAnsi="Calibri" w:cs="Calibri"/>
          <w:bCs/>
          <w:sz w:val="22"/>
          <w:szCs w:val="22"/>
        </w:rPr>
      </w:pPr>
      <w:r>
        <w:rPr>
          <w:rFonts w:ascii="Calibri" w:hAnsi="Calibri" w:cs="Calibri"/>
          <w:bCs/>
          <w:sz w:val="22"/>
          <w:szCs w:val="22"/>
        </w:rPr>
        <w:t>Ce guide récapitule les principales règles que les agents impliqués à quelque titre que ce soit dans la présente consultation doivent respecter</w:t>
      </w:r>
      <w:r w:rsidR="00665293">
        <w:rPr>
          <w:rFonts w:ascii="Calibri" w:hAnsi="Calibri" w:cs="Calibri"/>
          <w:bCs/>
          <w:sz w:val="22"/>
          <w:szCs w:val="22"/>
        </w:rPr>
        <w:t>.</w:t>
      </w:r>
    </w:p>
    <w:p w:rsidR="00760615" w:rsidRDefault="00760615" w:rsidP="00665293">
      <w:pPr>
        <w:spacing w:after="240"/>
        <w:rPr>
          <w:rFonts w:ascii="Calibri" w:hAnsi="Calibri" w:cs="Calibri"/>
          <w:bCs/>
          <w:sz w:val="22"/>
          <w:szCs w:val="22"/>
        </w:rPr>
      </w:pPr>
      <w:r>
        <w:rPr>
          <w:rFonts w:ascii="Calibri" w:hAnsi="Calibri" w:cs="Calibri"/>
          <w:bCs/>
          <w:sz w:val="22"/>
          <w:szCs w:val="22"/>
        </w:rPr>
        <w:t>En cas de doute ou pour tout complément d’information, vous pouvez adresser votre question par mail à : jean-marcel.lannes@paca.cci.fr</w:t>
      </w:r>
    </w:p>
    <w:p w:rsidR="00665293" w:rsidRPr="001606EA" w:rsidRDefault="00665293" w:rsidP="001606EA">
      <w:pPr>
        <w:pStyle w:val="Titre1"/>
        <w:numPr>
          <w:ilvl w:val="0"/>
          <w:numId w:val="25"/>
        </w:numPr>
        <w:spacing w:after="240"/>
        <w:rPr>
          <w:rFonts w:ascii="Calibri" w:hAnsi="Calibri"/>
          <w:sz w:val="22"/>
          <w:szCs w:val="22"/>
        </w:rPr>
      </w:pPr>
      <w:bookmarkStart w:id="0" w:name="_Toc453335901"/>
      <w:r w:rsidRPr="001606EA">
        <w:rPr>
          <w:rFonts w:ascii="Calibri" w:hAnsi="Calibri"/>
          <w:sz w:val="22"/>
          <w:szCs w:val="22"/>
        </w:rPr>
        <w:t>PRINCIPES DE LA COMMANDE PUBLIQUE</w:t>
      </w:r>
      <w:bookmarkEnd w:id="0"/>
    </w:p>
    <w:p w:rsidR="00665293" w:rsidRDefault="00665293" w:rsidP="00665293">
      <w:pPr>
        <w:spacing w:after="240"/>
        <w:rPr>
          <w:rFonts w:ascii="Calibri" w:hAnsi="Calibri" w:cs="Calibri"/>
          <w:bCs/>
          <w:sz w:val="22"/>
          <w:szCs w:val="22"/>
        </w:rPr>
      </w:pPr>
      <w:r>
        <w:rPr>
          <w:rFonts w:ascii="Calibri" w:hAnsi="Calibri" w:cs="Calibri"/>
          <w:bCs/>
          <w:sz w:val="22"/>
          <w:szCs w:val="22"/>
        </w:rPr>
        <w:t>LIBERTE D’ACCES : elle se définit le droit de toute entreprise d’être candidate à l’attribution du présent marché</w:t>
      </w:r>
      <w:r w:rsidR="001522E5">
        <w:rPr>
          <w:rFonts w:ascii="Calibri" w:hAnsi="Calibri" w:cs="Calibri"/>
          <w:bCs/>
          <w:sz w:val="22"/>
          <w:szCs w:val="22"/>
        </w:rPr>
        <w:t>.</w:t>
      </w:r>
    </w:p>
    <w:p w:rsidR="00665293" w:rsidRDefault="00665293" w:rsidP="00665293">
      <w:pPr>
        <w:spacing w:after="240"/>
        <w:rPr>
          <w:rFonts w:ascii="Calibri" w:hAnsi="Calibri" w:cs="Calibri"/>
          <w:bCs/>
          <w:sz w:val="22"/>
          <w:szCs w:val="22"/>
        </w:rPr>
      </w:pPr>
      <w:r>
        <w:rPr>
          <w:rFonts w:ascii="Calibri" w:hAnsi="Calibri" w:cs="Calibri"/>
          <w:bCs/>
          <w:sz w:val="22"/>
          <w:szCs w:val="22"/>
        </w:rPr>
        <w:t>EGALITE DE TRAITEMENT : les opérateurs économiques doivent se trouver dans une situation d’égalité, notamment au niveau de leur information, à toutes les étapes de la procédure d’achat.</w:t>
      </w:r>
    </w:p>
    <w:p w:rsidR="00665293" w:rsidRDefault="00665293" w:rsidP="00665293">
      <w:pPr>
        <w:spacing w:after="240"/>
        <w:rPr>
          <w:rFonts w:ascii="Calibri" w:hAnsi="Calibri" w:cs="Calibri"/>
          <w:bCs/>
          <w:sz w:val="22"/>
          <w:szCs w:val="22"/>
        </w:rPr>
      </w:pPr>
      <w:r>
        <w:rPr>
          <w:rFonts w:ascii="Calibri" w:hAnsi="Calibri" w:cs="Calibri"/>
          <w:bCs/>
          <w:sz w:val="22"/>
          <w:szCs w:val="22"/>
        </w:rPr>
        <w:t xml:space="preserve">TRASNPARENCE : </w:t>
      </w:r>
      <w:r w:rsidR="008637B7">
        <w:rPr>
          <w:rFonts w:ascii="Calibri" w:hAnsi="Calibri" w:cs="Calibri"/>
          <w:bCs/>
          <w:sz w:val="22"/>
          <w:szCs w:val="22"/>
        </w:rPr>
        <w:t>elle se caractérise par l’accessibilité des informations relatives au marché et la volonté de l’acheteur d’en assurer une communication claire, exacte, opportune, honnête et complète.</w:t>
      </w:r>
    </w:p>
    <w:p w:rsidR="008637B7" w:rsidRPr="001606EA" w:rsidRDefault="008637B7" w:rsidP="001606EA">
      <w:pPr>
        <w:pStyle w:val="Titre1"/>
        <w:numPr>
          <w:ilvl w:val="0"/>
          <w:numId w:val="25"/>
        </w:numPr>
        <w:spacing w:after="240"/>
        <w:rPr>
          <w:rFonts w:ascii="Calibri" w:hAnsi="Calibri"/>
          <w:sz w:val="22"/>
          <w:szCs w:val="22"/>
        </w:rPr>
      </w:pPr>
      <w:bookmarkStart w:id="1" w:name="_Toc453335902"/>
      <w:r w:rsidRPr="001606EA">
        <w:rPr>
          <w:rFonts w:ascii="Calibri" w:hAnsi="Calibri"/>
          <w:sz w:val="22"/>
          <w:szCs w:val="22"/>
        </w:rPr>
        <w:t>MODALITES D’APPLICATION</w:t>
      </w:r>
      <w:bookmarkEnd w:id="1"/>
    </w:p>
    <w:p w:rsidR="008637B7" w:rsidRDefault="008637B7" w:rsidP="00665293">
      <w:pPr>
        <w:spacing w:after="240"/>
        <w:rPr>
          <w:rFonts w:ascii="Calibri" w:hAnsi="Calibri" w:cs="Calibri"/>
          <w:bCs/>
          <w:sz w:val="22"/>
          <w:szCs w:val="22"/>
        </w:rPr>
      </w:pPr>
      <w:r>
        <w:rPr>
          <w:rFonts w:ascii="Calibri" w:hAnsi="Calibri" w:cs="Calibri"/>
          <w:bCs/>
          <w:sz w:val="22"/>
          <w:szCs w:val="22"/>
        </w:rPr>
        <w:t>EFFICACITE DE LA COMMANDE PUBLIQUE : elle résulte de la connaissance du secteur et de la bonne définition des besoins</w:t>
      </w:r>
    </w:p>
    <w:p w:rsidR="008637B7" w:rsidRDefault="008637B7" w:rsidP="00665293">
      <w:pPr>
        <w:spacing w:after="240"/>
        <w:rPr>
          <w:rFonts w:ascii="Calibri" w:hAnsi="Calibri" w:cs="Calibri"/>
          <w:bCs/>
          <w:sz w:val="22"/>
          <w:szCs w:val="22"/>
        </w:rPr>
      </w:pPr>
      <w:r>
        <w:rPr>
          <w:rFonts w:ascii="Calibri" w:hAnsi="Calibri" w:cs="Calibri"/>
          <w:bCs/>
          <w:sz w:val="22"/>
          <w:szCs w:val="22"/>
        </w:rPr>
        <w:t>MISE EN CONCURRENCE : elle est réalisée à travers les formalités de publicité</w:t>
      </w:r>
    </w:p>
    <w:p w:rsidR="008637B7" w:rsidRDefault="008637B7" w:rsidP="00665293">
      <w:pPr>
        <w:spacing w:after="240"/>
        <w:rPr>
          <w:rFonts w:ascii="Calibri" w:hAnsi="Calibri" w:cs="Calibri"/>
          <w:bCs/>
          <w:sz w:val="22"/>
          <w:szCs w:val="22"/>
        </w:rPr>
      </w:pPr>
      <w:r>
        <w:rPr>
          <w:rFonts w:ascii="Calibri" w:hAnsi="Calibri" w:cs="Calibri"/>
          <w:bCs/>
          <w:sz w:val="22"/>
          <w:szCs w:val="22"/>
        </w:rPr>
        <w:t>BONNE GESTION DES DENIERS PUBLICS : elle consiste dans le choix de l’offre économiquement la plus avantageuse.</w:t>
      </w:r>
    </w:p>
    <w:p w:rsidR="008637B7" w:rsidRPr="001606EA" w:rsidRDefault="00ED667E" w:rsidP="001606EA">
      <w:pPr>
        <w:pStyle w:val="Titre1"/>
        <w:numPr>
          <w:ilvl w:val="0"/>
          <w:numId w:val="25"/>
        </w:numPr>
        <w:spacing w:after="240"/>
        <w:rPr>
          <w:rFonts w:ascii="Calibri" w:hAnsi="Calibri"/>
          <w:sz w:val="22"/>
          <w:szCs w:val="22"/>
        </w:rPr>
      </w:pPr>
      <w:bookmarkStart w:id="2" w:name="_Toc453335903"/>
      <w:r w:rsidRPr="001606EA">
        <w:rPr>
          <w:rFonts w:ascii="Calibri" w:hAnsi="Calibri"/>
          <w:sz w:val="22"/>
          <w:szCs w:val="22"/>
        </w:rPr>
        <w:t>CONNAISSANCE DU SECTEUR</w:t>
      </w:r>
      <w:r w:rsidR="00456A93" w:rsidRPr="001606EA">
        <w:rPr>
          <w:rFonts w:ascii="Calibri" w:hAnsi="Calibri"/>
          <w:sz w:val="22"/>
          <w:szCs w:val="22"/>
        </w:rPr>
        <w:t xml:space="preserve"> ET DES PRODUITS</w:t>
      </w:r>
      <w:bookmarkEnd w:id="2"/>
    </w:p>
    <w:p w:rsidR="008637B7" w:rsidRDefault="00ED667E" w:rsidP="00ED667E">
      <w:pPr>
        <w:rPr>
          <w:rFonts w:ascii="Calibri" w:hAnsi="Calibri" w:cs="Calibri"/>
          <w:bCs/>
          <w:sz w:val="22"/>
          <w:szCs w:val="22"/>
        </w:rPr>
      </w:pPr>
      <w:r>
        <w:rPr>
          <w:rFonts w:ascii="Calibri" w:hAnsi="Calibri" w:cs="Calibri"/>
          <w:bCs/>
          <w:sz w:val="22"/>
          <w:szCs w:val="22"/>
        </w:rPr>
        <w:t>Les recherches sur les solutions informatiques disponibles ont permis de mettre en évidence trois acteurs :</w:t>
      </w:r>
    </w:p>
    <w:p w:rsidR="00ED667E" w:rsidRDefault="00ED667E" w:rsidP="00ED667E">
      <w:pPr>
        <w:pStyle w:val="Paragraphedeliste"/>
        <w:numPr>
          <w:ilvl w:val="0"/>
          <w:numId w:val="20"/>
        </w:numPr>
        <w:spacing w:after="240"/>
        <w:rPr>
          <w:rFonts w:ascii="Calibri" w:hAnsi="Calibri" w:cs="Calibri"/>
          <w:bCs/>
          <w:sz w:val="22"/>
          <w:szCs w:val="22"/>
        </w:rPr>
      </w:pPr>
      <w:r>
        <w:rPr>
          <w:rFonts w:ascii="Calibri" w:hAnsi="Calibri" w:cs="Calibri"/>
          <w:bCs/>
          <w:sz w:val="22"/>
          <w:szCs w:val="22"/>
        </w:rPr>
        <w:t>Une solution développée par la société SIGMA,</w:t>
      </w:r>
    </w:p>
    <w:p w:rsidR="00ED667E" w:rsidRDefault="00ED667E" w:rsidP="00ED667E">
      <w:pPr>
        <w:pStyle w:val="Paragraphedeliste"/>
        <w:numPr>
          <w:ilvl w:val="0"/>
          <w:numId w:val="20"/>
        </w:numPr>
        <w:spacing w:after="240"/>
        <w:rPr>
          <w:rFonts w:ascii="Calibri" w:hAnsi="Calibri" w:cs="Calibri"/>
          <w:bCs/>
          <w:sz w:val="22"/>
          <w:szCs w:val="22"/>
        </w:rPr>
      </w:pPr>
      <w:r>
        <w:rPr>
          <w:rFonts w:ascii="Calibri" w:hAnsi="Calibri" w:cs="Calibri"/>
          <w:bCs/>
          <w:sz w:val="22"/>
          <w:szCs w:val="22"/>
        </w:rPr>
        <w:t>Une solution développée par l’association CIAN</w:t>
      </w:r>
    </w:p>
    <w:p w:rsidR="00ED667E" w:rsidRDefault="00ED667E" w:rsidP="00ED667E">
      <w:pPr>
        <w:pStyle w:val="Paragraphedeliste"/>
        <w:numPr>
          <w:ilvl w:val="0"/>
          <w:numId w:val="20"/>
        </w:numPr>
        <w:spacing w:after="240"/>
        <w:rPr>
          <w:rFonts w:ascii="Calibri" w:hAnsi="Calibri" w:cs="Calibri"/>
          <w:bCs/>
          <w:sz w:val="22"/>
          <w:szCs w:val="22"/>
        </w:rPr>
      </w:pPr>
      <w:r>
        <w:rPr>
          <w:rFonts w:ascii="Calibri" w:hAnsi="Calibri" w:cs="Calibri"/>
          <w:bCs/>
          <w:sz w:val="22"/>
          <w:szCs w:val="22"/>
        </w:rPr>
        <w:t>Une solution développée conjointement par les CCI de Paris et Lyon</w:t>
      </w:r>
    </w:p>
    <w:p w:rsidR="00ED667E" w:rsidRDefault="00456A93" w:rsidP="00456A93">
      <w:pPr>
        <w:rPr>
          <w:rFonts w:ascii="Calibri" w:hAnsi="Calibri" w:cs="Calibri"/>
          <w:bCs/>
          <w:sz w:val="22"/>
          <w:szCs w:val="22"/>
        </w:rPr>
      </w:pPr>
      <w:r>
        <w:rPr>
          <w:rFonts w:ascii="Calibri" w:hAnsi="Calibri" w:cs="Calibri"/>
          <w:bCs/>
          <w:sz w:val="22"/>
          <w:szCs w:val="22"/>
        </w:rPr>
        <w:t xml:space="preserve">Afin d’avoir une meilleure connaissance des différentes fonctionnalités pouvant être intégrées dans </w:t>
      </w:r>
      <w:r w:rsidR="00A05D0A">
        <w:rPr>
          <w:rFonts w:ascii="Calibri" w:hAnsi="Calibri" w:cs="Calibri"/>
          <w:bCs/>
          <w:sz w:val="22"/>
          <w:szCs w:val="22"/>
        </w:rPr>
        <w:t>un</w:t>
      </w:r>
      <w:r>
        <w:rPr>
          <w:rFonts w:ascii="Calibri" w:hAnsi="Calibri" w:cs="Calibri"/>
          <w:bCs/>
          <w:sz w:val="22"/>
          <w:szCs w:val="22"/>
        </w:rPr>
        <w:t xml:space="preserve"> cahier des charges, une rencontre sera organisée avec chacun des prestataires identifiés ci-dessus dans les conditions suivantes :</w:t>
      </w:r>
    </w:p>
    <w:p w:rsidR="00456A93" w:rsidRDefault="00456A93" w:rsidP="00456A93">
      <w:pPr>
        <w:pStyle w:val="Paragraphedeliste"/>
        <w:numPr>
          <w:ilvl w:val="0"/>
          <w:numId w:val="20"/>
        </w:numPr>
        <w:rPr>
          <w:rFonts w:ascii="Calibri" w:hAnsi="Calibri" w:cs="Calibri"/>
          <w:bCs/>
          <w:sz w:val="22"/>
          <w:szCs w:val="22"/>
        </w:rPr>
      </w:pPr>
      <w:r>
        <w:rPr>
          <w:rFonts w:ascii="Calibri" w:hAnsi="Calibri" w:cs="Calibri"/>
          <w:bCs/>
          <w:sz w:val="22"/>
          <w:szCs w:val="22"/>
        </w:rPr>
        <w:t>Chaque prestataire sera convié à rencontrer un groupe projet de la CCIR PACA sur la base d’un ordre du jour qui lui aura été précédemment transmis,</w:t>
      </w:r>
    </w:p>
    <w:p w:rsidR="00456A93" w:rsidRDefault="00456A93" w:rsidP="00456A93">
      <w:pPr>
        <w:pStyle w:val="Paragraphedeliste"/>
        <w:numPr>
          <w:ilvl w:val="0"/>
          <w:numId w:val="20"/>
        </w:numPr>
        <w:rPr>
          <w:rFonts w:ascii="Calibri" w:hAnsi="Calibri" w:cs="Calibri"/>
          <w:bCs/>
          <w:sz w:val="22"/>
          <w:szCs w:val="22"/>
        </w:rPr>
      </w:pPr>
      <w:r>
        <w:rPr>
          <w:rFonts w:ascii="Calibri" w:hAnsi="Calibri" w:cs="Calibri"/>
          <w:bCs/>
          <w:sz w:val="22"/>
          <w:szCs w:val="22"/>
        </w:rPr>
        <w:t>Aucun thème ne figurant pas à l’ordre du jour ne pourra être abordé ni par le prestataire, ni par les membres du groupe projet de la CCIR PACA,</w:t>
      </w:r>
    </w:p>
    <w:p w:rsidR="00456A93" w:rsidRDefault="00456A93" w:rsidP="00456A93">
      <w:pPr>
        <w:pStyle w:val="Paragraphedeliste"/>
        <w:numPr>
          <w:ilvl w:val="0"/>
          <w:numId w:val="20"/>
        </w:numPr>
        <w:rPr>
          <w:rFonts w:ascii="Calibri" w:hAnsi="Calibri" w:cs="Calibri"/>
          <w:bCs/>
          <w:sz w:val="22"/>
          <w:szCs w:val="22"/>
        </w:rPr>
      </w:pPr>
      <w:r>
        <w:rPr>
          <w:rFonts w:ascii="Calibri" w:hAnsi="Calibri" w:cs="Calibri"/>
          <w:bCs/>
          <w:sz w:val="22"/>
          <w:szCs w:val="22"/>
        </w:rPr>
        <w:t xml:space="preserve">Le prestataire </w:t>
      </w:r>
      <w:r w:rsidR="007D0B49">
        <w:rPr>
          <w:rFonts w:ascii="Calibri" w:hAnsi="Calibri" w:cs="Calibri"/>
          <w:bCs/>
          <w:sz w:val="22"/>
          <w:szCs w:val="22"/>
        </w:rPr>
        <w:t>pourra être invité par le groupe projet</w:t>
      </w:r>
      <w:r>
        <w:rPr>
          <w:rFonts w:ascii="Calibri" w:hAnsi="Calibri" w:cs="Calibri"/>
          <w:bCs/>
          <w:sz w:val="22"/>
          <w:szCs w:val="22"/>
        </w:rPr>
        <w:t xml:space="preserve"> à faire une démonstration de sa solution,</w:t>
      </w:r>
    </w:p>
    <w:p w:rsidR="00456A93" w:rsidRDefault="00456A93" w:rsidP="00456A93">
      <w:pPr>
        <w:pStyle w:val="Paragraphedeliste"/>
        <w:numPr>
          <w:ilvl w:val="0"/>
          <w:numId w:val="20"/>
        </w:numPr>
        <w:rPr>
          <w:rFonts w:ascii="Calibri" w:hAnsi="Calibri" w:cs="Calibri"/>
          <w:bCs/>
          <w:sz w:val="22"/>
          <w:szCs w:val="22"/>
        </w:rPr>
      </w:pPr>
      <w:r>
        <w:rPr>
          <w:rFonts w:ascii="Calibri" w:hAnsi="Calibri" w:cs="Calibri"/>
          <w:bCs/>
          <w:sz w:val="22"/>
          <w:szCs w:val="22"/>
        </w:rPr>
        <w:t>Aucune information concernant le contenu</w:t>
      </w:r>
      <w:r w:rsidR="00A05D0A">
        <w:rPr>
          <w:rFonts w:ascii="Calibri" w:hAnsi="Calibri" w:cs="Calibri"/>
          <w:bCs/>
          <w:sz w:val="22"/>
          <w:szCs w:val="22"/>
        </w:rPr>
        <w:t xml:space="preserve"> du</w:t>
      </w:r>
      <w:r>
        <w:rPr>
          <w:rFonts w:ascii="Calibri" w:hAnsi="Calibri" w:cs="Calibri"/>
          <w:bCs/>
          <w:sz w:val="22"/>
          <w:szCs w:val="22"/>
        </w:rPr>
        <w:t xml:space="preserve"> futur cahier des charges (volumétrie, sites géographiques, organisation de la CCIR PACA,…………)  ne devra être transmise au prestataire à l’occasion de cette rencontre,</w:t>
      </w:r>
    </w:p>
    <w:p w:rsidR="00456A93" w:rsidRDefault="00456A93" w:rsidP="00456A93">
      <w:pPr>
        <w:pStyle w:val="Paragraphedeliste"/>
        <w:numPr>
          <w:ilvl w:val="0"/>
          <w:numId w:val="20"/>
        </w:numPr>
        <w:rPr>
          <w:rFonts w:ascii="Calibri" w:hAnsi="Calibri" w:cs="Calibri"/>
          <w:bCs/>
          <w:sz w:val="22"/>
          <w:szCs w:val="22"/>
        </w:rPr>
      </w:pPr>
      <w:r>
        <w:rPr>
          <w:rFonts w:ascii="Calibri" w:hAnsi="Calibri" w:cs="Calibri"/>
          <w:bCs/>
          <w:sz w:val="22"/>
          <w:szCs w:val="22"/>
        </w:rPr>
        <w:t>Aucun contact, en dehors de cette rencontre, ne devra intervenir entre le prestataire et les participants au présent marché (qu’ils fassent partie</w:t>
      </w:r>
      <w:r w:rsidR="00A05D0A">
        <w:rPr>
          <w:rFonts w:ascii="Calibri" w:hAnsi="Calibri" w:cs="Calibri"/>
          <w:bCs/>
          <w:sz w:val="22"/>
          <w:szCs w:val="22"/>
        </w:rPr>
        <w:t xml:space="preserve"> ou non du groupe projet</w:t>
      </w:r>
      <w:r>
        <w:rPr>
          <w:rFonts w:ascii="Calibri" w:hAnsi="Calibri" w:cs="Calibri"/>
          <w:bCs/>
          <w:sz w:val="22"/>
          <w:szCs w:val="22"/>
        </w:rPr>
        <w:t>)</w:t>
      </w:r>
      <w:r w:rsidR="00DF233D">
        <w:rPr>
          <w:rFonts w:ascii="Calibri" w:hAnsi="Calibri" w:cs="Calibri"/>
          <w:bCs/>
          <w:sz w:val="22"/>
          <w:szCs w:val="22"/>
        </w:rPr>
        <w:t xml:space="preserve"> jusqu’à son attribution,</w:t>
      </w:r>
    </w:p>
    <w:p w:rsidR="00A05D0A" w:rsidRDefault="00A05D0A" w:rsidP="00456A93">
      <w:pPr>
        <w:pStyle w:val="Paragraphedeliste"/>
        <w:numPr>
          <w:ilvl w:val="0"/>
          <w:numId w:val="20"/>
        </w:numPr>
        <w:rPr>
          <w:rFonts w:ascii="Calibri" w:hAnsi="Calibri" w:cs="Calibri"/>
          <w:bCs/>
          <w:sz w:val="22"/>
          <w:szCs w:val="22"/>
        </w:rPr>
      </w:pPr>
      <w:r>
        <w:rPr>
          <w:rFonts w:ascii="Calibri" w:hAnsi="Calibri" w:cs="Calibri"/>
          <w:bCs/>
          <w:sz w:val="22"/>
          <w:szCs w:val="22"/>
        </w:rPr>
        <w:t xml:space="preserve">Le prestataire </w:t>
      </w:r>
      <w:r w:rsidR="007D0B49">
        <w:rPr>
          <w:rFonts w:ascii="Calibri" w:hAnsi="Calibri" w:cs="Calibri"/>
          <w:bCs/>
          <w:sz w:val="22"/>
          <w:szCs w:val="22"/>
        </w:rPr>
        <w:t>pourra être invité</w:t>
      </w:r>
      <w:r>
        <w:rPr>
          <w:rFonts w:ascii="Calibri" w:hAnsi="Calibri" w:cs="Calibri"/>
          <w:bCs/>
          <w:sz w:val="22"/>
          <w:szCs w:val="22"/>
        </w:rPr>
        <w:t xml:space="preserve"> à remettre, à l’issue de la rencontre</w:t>
      </w:r>
      <w:r w:rsidR="007D0B49">
        <w:rPr>
          <w:rFonts w:ascii="Calibri" w:hAnsi="Calibri" w:cs="Calibri"/>
          <w:bCs/>
          <w:sz w:val="22"/>
          <w:szCs w:val="22"/>
        </w:rPr>
        <w:t xml:space="preserve"> avec le groupe projet</w:t>
      </w:r>
      <w:r>
        <w:rPr>
          <w:rFonts w:ascii="Calibri" w:hAnsi="Calibri" w:cs="Calibri"/>
          <w:bCs/>
          <w:sz w:val="22"/>
          <w:szCs w:val="22"/>
        </w:rPr>
        <w:t>, une documentation complète sur sa solution,</w:t>
      </w:r>
    </w:p>
    <w:p w:rsidR="00DF233D" w:rsidRDefault="00DF233D" w:rsidP="00456A93">
      <w:pPr>
        <w:pStyle w:val="Paragraphedeliste"/>
        <w:numPr>
          <w:ilvl w:val="0"/>
          <w:numId w:val="20"/>
        </w:numPr>
        <w:rPr>
          <w:rFonts w:ascii="Calibri" w:hAnsi="Calibri" w:cs="Calibri"/>
          <w:bCs/>
          <w:sz w:val="22"/>
          <w:szCs w:val="22"/>
        </w:rPr>
      </w:pPr>
      <w:r>
        <w:rPr>
          <w:rFonts w:ascii="Calibri" w:hAnsi="Calibri" w:cs="Calibri"/>
          <w:bCs/>
          <w:sz w:val="22"/>
          <w:szCs w:val="22"/>
        </w:rPr>
        <w:t>Lors de rencontre</w:t>
      </w:r>
      <w:r w:rsidR="007D0B49">
        <w:rPr>
          <w:rFonts w:ascii="Calibri" w:hAnsi="Calibri" w:cs="Calibri"/>
          <w:bCs/>
          <w:sz w:val="22"/>
          <w:szCs w:val="22"/>
        </w:rPr>
        <w:t>s</w:t>
      </w:r>
      <w:r>
        <w:rPr>
          <w:rFonts w:ascii="Calibri" w:hAnsi="Calibri" w:cs="Calibri"/>
          <w:bCs/>
          <w:sz w:val="22"/>
          <w:szCs w:val="22"/>
        </w:rPr>
        <w:t xml:space="preserve"> avec l’entreprise</w:t>
      </w:r>
      <w:r w:rsidR="007D0B49">
        <w:rPr>
          <w:rFonts w:ascii="Calibri" w:hAnsi="Calibri" w:cs="Calibri"/>
          <w:bCs/>
          <w:sz w:val="22"/>
          <w:szCs w:val="22"/>
        </w:rPr>
        <w:t xml:space="preserve"> actuellement titulaire du marché</w:t>
      </w:r>
      <w:r>
        <w:rPr>
          <w:rFonts w:ascii="Calibri" w:hAnsi="Calibri" w:cs="Calibri"/>
          <w:bCs/>
          <w:sz w:val="22"/>
          <w:szCs w:val="22"/>
        </w:rPr>
        <w:t xml:space="preserve">, toute allusion à la </w:t>
      </w:r>
      <w:r w:rsidR="007D0B49">
        <w:rPr>
          <w:rFonts w:ascii="Calibri" w:hAnsi="Calibri" w:cs="Calibri"/>
          <w:bCs/>
          <w:sz w:val="22"/>
          <w:szCs w:val="22"/>
        </w:rPr>
        <w:t xml:space="preserve">future </w:t>
      </w:r>
      <w:r>
        <w:rPr>
          <w:rFonts w:ascii="Calibri" w:hAnsi="Calibri" w:cs="Calibri"/>
          <w:bCs/>
          <w:sz w:val="22"/>
          <w:szCs w:val="22"/>
        </w:rPr>
        <w:t>consultation est interdite.</w:t>
      </w:r>
    </w:p>
    <w:p w:rsidR="00A05D0A" w:rsidRPr="00A05D0A" w:rsidRDefault="00A05D0A" w:rsidP="00A05D0A">
      <w:pPr>
        <w:rPr>
          <w:rFonts w:ascii="Calibri" w:hAnsi="Calibri" w:cs="Calibri"/>
          <w:bCs/>
          <w:sz w:val="22"/>
          <w:szCs w:val="22"/>
        </w:rPr>
      </w:pPr>
      <w:r w:rsidRPr="00A05D0A">
        <w:rPr>
          <w:rFonts w:ascii="Calibri" w:hAnsi="Calibri" w:cs="Calibri"/>
          <w:bCs/>
          <w:sz w:val="22"/>
          <w:szCs w:val="22"/>
        </w:rPr>
        <w:t xml:space="preserve"> </w:t>
      </w:r>
    </w:p>
    <w:p w:rsidR="00456A93" w:rsidRDefault="00A05D0A" w:rsidP="00ED667E">
      <w:pPr>
        <w:spacing w:after="240"/>
        <w:rPr>
          <w:rFonts w:ascii="Calibri" w:hAnsi="Calibri" w:cs="Calibri"/>
          <w:bCs/>
          <w:sz w:val="22"/>
          <w:szCs w:val="22"/>
        </w:rPr>
      </w:pPr>
      <w:r>
        <w:rPr>
          <w:rFonts w:ascii="Calibri" w:hAnsi="Calibri" w:cs="Calibri"/>
          <w:bCs/>
          <w:sz w:val="22"/>
          <w:szCs w:val="22"/>
        </w:rPr>
        <w:lastRenderedPageBreak/>
        <w:t>Lorsque les rencontres avec chaque prestataire seront terminées, le groupe projet rédigera</w:t>
      </w:r>
      <w:r w:rsidR="008B01E1">
        <w:rPr>
          <w:rFonts w:ascii="Calibri" w:hAnsi="Calibri" w:cs="Calibri"/>
          <w:bCs/>
          <w:sz w:val="22"/>
          <w:szCs w:val="22"/>
        </w:rPr>
        <w:t>,</w:t>
      </w:r>
      <w:r>
        <w:rPr>
          <w:rFonts w:ascii="Calibri" w:hAnsi="Calibri" w:cs="Calibri"/>
          <w:bCs/>
          <w:sz w:val="22"/>
          <w:szCs w:val="22"/>
        </w:rPr>
        <w:t xml:space="preserve"> </w:t>
      </w:r>
      <w:r w:rsidR="008B01E1">
        <w:rPr>
          <w:rFonts w:ascii="Calibri" w:hAnsi="Calibri" w:cs="Calibri"/>
          <w:bCs/>
          <w:sz w:val="22"/>
          <w:szCs w:val="22"/>
        </w:rPr>
        <w:t>avec le service marché public de la CCIR PACA,</w:t>
      </w:r>
      <w:r w:rsidR="002936A2">
        <w:rPr>
          <w:rFonts w:ascii="Calibri" w:hAnsi="Calibri" w:cs="Calibri"/>
          <w:bCs/>
          <w:sz w:val="22"/>
          <w:szCs w:val="22"/>
        </w:rPr>
        <w:t xml:space="preserve"> </w:t>
      </w:r>
      <w:bookmarkStart w:id="3" w:name="_GoBack"/>
      <w:bookmarkEnd w:id="3"/>
      <w:r>
        <w:rPr>
          <w:rFonts w:ascii="Calibri" w:hAnsi="Calibri" w:cs="Calibri"/>
          <w:bCs/>
          <w:sz w:val="22"/>
          <w:szCs w:val="22"/>
        </w:rPr>
        <w:t xml:space="preserve">un cahier des charges techniques </w:t>
      </w:r>
      <w:r w:rsidR="008B01E1">
        <w:rPr>
          <w:rFonts w:ascii="Calibri" w:hAnsi="Calibri" w:cs="Calibri"/>
          <w:bCs/>
          <w:sz w:val="22"/>
          <w:szCs w:val="22"/>
        </w:rPr>
        <w:t xml:space="preserve">intégrant le maximum de données historiques, </w:t>
      </w:r>
      <w:r>
        <w:rPr>
          <w:rFonts w:ascii="Calibri" w:hAnsi="Calibri" w:cs="Calibri"/>
          <w:bCs/>
          <w:sz w:val="22"/>
          <w:szCs w:val="22"/>
        </w:rPr>
        <w:t>qui sera complété des autres pièces constitutives du marché.</w:t>
      </w:r>
    </w:p>
    <w:p w:rsidR="00DF233D" w:rsidRDefault="00DF233D" w:rsidP="00ED667E">
      <w:pPr>
        <w:spacing w:after="240"/>
        <w:rPr>
          <w:rFonts w:ascii="Calibri" w:hAnsi="Calibri" w:cs="Calibri"/>
          <w:bCs/>
          <w:sz w:val="22"/>
          <w:szCs w:val="22"/>
        </w:rPr>
      </w:pPr>
      <w:r>
        <w:rPr>
          <w:rFonts w:ascii="Calibri" w:hAnsi="Calibri" w:cs="Calibri"/>
          <w:bCs/>
          <w:sz w:val="22"/>
          <w:szCs w:val="22"/>
        </w:rPr>
        <w:t>Le DCE sera validé par l’ensemble des gestionnaires de la collecte de la taxe d’apprentissage de la CCIR PACA ainsi que par le</w:t>
      </w:r>
      <w:r w:rsidR="007D0B49">
        <w:rPr>
          <w:rFonts w:ascii="Calibri" w:hAnsi="Calibri" w:cs="Calibri"/>
          <w:bCs/>
          <w:sz w:val="22"/>
          <w:szCs w:val="22"/>
        </w:rPr>
        <w:t>s</w:t>
      </w:r>
      <w:r>
        <w:rPr>
          <w:rFonts w:ascii="Calibri" w:hAnsi="Calibri" w:cs="Calibri"/>
          <w:bCs/>
          <w:sz w:val="22"/>
          <w:szCs w:val="22"/>
        </w:rPr>
        <w:t xml:space="preserve"> représentant</w:t>
      </w:r>
      <w:r w:rsidR="007D0B49">
        <w:rPr>
          <w:rFonts w:ascii="Calibri" w:hAnsi="Calibri" w:cs="Calibri"/>
          <w:bCs/>
          <w:sz w:val="22"/>
          <w:szCs w:val="22"/>
        </w:rPr>
        <w:t>s</w:t>
      </w:r>
      <w:r>
        <w:rPr>
          <w:rFonts w:ascii="Calibri" w:hAnsi="Calibri" w:cs="Calibri"/>
          <w:bCs/>
          <w:sz w:val="22"/>
          <w:szCs w:val="22"/>
        </w:rPr>
        <w:t xml:space="preserve"> du service informatique.</w:t>
      </w:r>
    </w:p>
    <w:p w:rsidR="00A05D0A" w:rsidRPr="001606EA" w:rsidRDefault="00A05D0A" w:rsidP="001606EA">
      <w:pPr>
        <w:pStyle w:val="Titre1"/>
        <w:numPr>
          <w:ilvl w:val="0"/>
          <w:numId w:val="25"/>
        </w:numPr>
        <w:spacing w:after="240"/>
        <w:rPr>
          <w:rFonts w:ascii="Calibri" w:hAnsi="Calibri"/>
          <w:sz w:val="22"/>
          <w:szCs w:val="22"/>
        </w:rPr>
      </w:pPr>
      <w:bookmarkStart w:id="4" w:name="_Toc453335904"/>
      <w:r w:rsidRPr="001606EA">
        <w:rPr>
          <w:rFonts w:ascii="Calibri" w:hAnsi="Calibri"/>
          <w:sz w:val="22"/>
          <w:szCs w:val="22"/>
        </w:rPr>
        <w:t>LA PROCEDURE DE MARCHE PUBLIC</w:t>
      </w:r>
      <w:bookmarkEnd w:id="4"/>
    </w:p>
    <w:p w:rsidR="00A05D0A" w:rsidRDefault="00A05D0A" w:rsidP="00ED667E">
      <w:pPr>
        <w:spacing w:after="240"/>
        <w:rPr>
          <w:rFonts w:ascii="Calibri" w:hAnsi="Calibri" w:cs="Calibri"/>
          <w:bCs/>
          <w:sz w:val="22"/>
          <w:szCs w:val="22"/>
        </w:rPr>
      </w:pPr>
      <w:r>
        <w:rPr>
          <w:rFonts w:ascii="Calibri" w:hAnsi="Calibri" w:cs="Calibri"/>
          <w:bCs/>
          <w:sz w:val="22"/>
          <w:szCs w:val="22"/>
        </w:rPr>
        <w:t>La mise en concurrence sera faite par le service marché public de la CCIR PACA.</w:t>
      </w:r>
    </w:p>
    <w:p w:rsidR="00A05D0A" w:rsidRDefault="00A05D0A" w:rsidP="00ED667E">
      <w:pPr>
        <w:spacing w:after="240"/>
        <w:rPr>
          <w:rFonts w:ascii="Calibri" w:hAnsi="Calibri" w:cs="Calibri"/>
          <w:bCs/>
          <w:sz w:val="22"/>
          <w:szCs w:val="22"/>
        </w:rPr>
      </w:pPr>
      <w:r>
        <w:rPr>
          <w:rFonts w:ascii="Calibri" w:hAnsi="Calibri" w:cs="Calibri"/>
          <w:bCs/>
          <w:sz w:val="22"/>
          <w:szCs w:val="22"/>
        </w:rPr>
        <w:t>Il se chargera notamment des formalités de publicité et des réponses aux candidats avec l’assistance du groupe projet pour la partie technique lorsque cela est nécessaire.</w:t>
      </w:r>
    </w:p>
    <w:p w:rsidR="00A05D0A" w:rsidRDefault="00DF233D" w:rsidP="00ED667E">
      <w:pPr>
        <w:spacing w:after="240"/>
        <w:rPr>
          <w:rFonts w:ascii="Calibri" w:hAnsi="Calibri" w:cs="Calibri"/>
          <w:bCs/>
          <w:sz w:val="22"/>
          <w:szCs w:val="22"/>
        </w:rPr>
      </w:pPr>
      <w:r>
        <w:rPr>
          <w:rFonts w:ascii="Calibri" w:hAnsi="Calibri" w:cs="Calibri"/>
          <w:bCs/>
          <w:sz w:val="22"/>
          <w:szCs w:val="22"/>
        </w:rPr>
        <w:t>Pendant toute la procédure de mise en concurrence, aucun contact ne devra intervenir avec les prestataires sauf par une personne du service marché public de la CCIR PACA.</w:t>
      </w:r>
    </w:p>
    <w:p w:rsidR="007D0B49" w:rsidRDefault="007D0B49" w:rsidP="00ED667E">
      <w:pPr>
        <w:spacing w:after="240"/>
        <w:rPr>
          <w:rFonts w:ascii="Calibri" w:hAnsi="Calibri" w:cs="Calibri"/>
          <w:bCs/>
          <w:sz w:val="22"/>
          <w:szCs w:val="22"/>
        </w:rPr>
      </w:pPr>
      <w:r>
        <w:rPr>
          <w:rFonts w:ascii="Calibri" w:hAnsi="Calibri" w:cs="Calibri"/>
          <w:bCs/>
          <w:sz w:val="22"/>
          <w:szCs w:val="22"/>
        </w:rPr>
        <w:t>S’agissant d’un renouvellement, tous les agents impliqués dans la collecte de la taxe d’apprentissage devront veiller à ne transmettre au titulaire actuel aucune information sur le marché en cours de consultation.</w:t>
      </w:r>
    </w:p>
    <w:p w:rsidR="00DF233D" w:rsidRPr="001606EA" w:rsidRDefault="00DF233D" w:rsidP="001606EA">
      <w:pPr>
        <w:pStyle w:val="Titre1"/>
        <w:numPr>
          <w:ilvl w:val="0"/>
          <w:numId w:val="25"/>
        </w:numPr>
        <w:spacing w:after="240"/>
        <w:rPr>
          <w:rFonts w:ascii="Calibri" w:hAnsi="Calibri"/>
          <w:sz w:val="22"/>
          <w:szCs w:val="22"/>
        </w:rPr>
      </w:pPr>
      <w:bookmarkStart w:id="5" w:name="_Toc453335905"/>
      <w:r w:rsidRPr="001606EA">
        <w:rPr>
          <w:rFonts w:ascii="Calibri" w:hAnsi="Calibri"/>
          <w:sz w:val="22"/>
          <w:szCs w:val="22"/>
        </w:rPr>
        <w:t>L’ATTRIBUTION DU MARCHE</w:t>
      </w:r>
      <w:bookmarkEnd w:id="5"/>
    </w:p>
    <w:p w:rsidR="00DF233D" w:rsidRDefault="00DF233D" w:rsidP="00ED667E">
      <w:pPr>
        <w:spacing w:after="240"/>
        <w:rPr>
          <w:rFonts w:ascii="Calibri" w:hAnsi="Calibri" w:cs="Calibri"/>
          <w:bCs/>
          <w:sz w:val="22"/>
          <w:szCs w:val="22"/>
        </w:rPr>
      </w:pPr>
      <w:r>
        <w:rPr>
          <w:rFonts w:ascii="Calibri" w:hAnsi="Calibri" w:cs="Calibri"/>
          <w:bCs/>
          <w:sz w:val="22"/>
          <w:szCs w:val="22"/>
        </w:rPr>
        <w:t>Le groupe projet évaluera les offres ; le service marché public de la CCIR PACA veillera à la conformité de la notation avec la loi et les règlements. Les gestionnaires taxe</w:t>
      </w:r>
      <w:r w:rsidR="007D0B49">
        <w:rPr>
          <w:rFonts w:ascii="Calibri" w:hAnsi="Calibri" w:cs="Calibri"/>
          <w:bCs/>
          <w:sz w:val="22"/>
          <w:szCs w:val="22"/>
        </w:rPr>
        <w:t>s</w:t>
      </w:r>
      <w:r>
        <w:rPr>
          <w:rFonts w:ascii="Calibri" w:hAnsi="Calibri" w:cs="Calibri"/>
          <w:bCs/>
          <w:sz w:val="22"/>
          <w:szCs w:val="22"/>
        </w:rPr>
        <w:t xml:space="preserve"> et le représentant du service informatique de la CCIR PACA valideront définitivement le choix du prestataire retenu.</w:t>
      </w:r>
    </w:p>
    <w:p w:rsidR="00DF233D" w:rsidRDefault="00DF233D" w:rsidP="00ED667E">
      <w:pPr>
        <w:spacing w:after="240"/>
        <w:rPr>
          <w:rFonts w:ascii="Calibri" w:hAnsi="Calibri" w:cs="Calibri"/>
          <w:bCs/>
          <w:sz w:val="22"/>
          <w:szCs w:val="22"/>
        </w:rPr>
      </w:pPr>
      <w:r>
        <w:rPr>
          <w:rFonts w:ascii="Calibri" w:hAnsi="Calibri" w:cs="Calibri"/>
          <w:bCs/>
          <w:sz w:val="22"/>
          <w:szCs w:val="22"/>
        </w:rPr>
        <w:t>Le service marché public de la CCIR PACA se chargera de la fin de la procédure : information des candidats, pas</w:t>
      </w:r>
      <w:r w:rsidR="001606EA">
        <w:rPr>
          <w:rFonts w:ascii="Calibri" w:hAnsi="Calibri" w:cs="Calibri"/>
          <w:bCs/>
          <w:sz w:val="22"/>
          <w:szCs w:val="22"/>
        </w:rPr>
        <w:t xml:space="preserve">sage en commission des marchés, délibération en assemblée générale,………………Il </w:t>
      </w:r>
      <w:r w:rsidR="00F87FBF">
        <w:rPr>
          <w:rFonts w:ascii="Calibri" w:hAnsi="Calibri" w:cs="Calibri"/>
          <w:bCs/>
          <w:sz w:val="22"/>
          <w:szCs w:val="22"/>
        </w:rPr>
        <w:t xml:space="preserve">prendra en charge </w:t>
      </w:r>
      <w:r w:rsidR="001606EA">
        <w:rPr>
          <w:rFonts w:ascii="Calibri" w:hAnsi="Calibri" w:cs="Calibri"/>
          <w:bCs/>
          <w:sz w:val="22"/>
          <w:szCs w:val="22"/>
        </w:rPr>
        <w:t>également des recours éventuels.</w:t>
      </w:r>
    </w:p>
    <w:p w:rsidR="001606EA" w:rsidRDefault="001606EA" w:rsidP="00ED667E">
      <w:pPr>
        <w:spacing w:after="240"/>
        <w:rPr>
          <w:rFonts w:ascii="Calibri" w:hAnsi="Calibri" w:cs="Calibri"/>
          <w:bCs/>
          <w:sz w:val="22"/>
          <w:szCs w:val="22"/>
        </w:rPr>
      </w:pPr>
      <w:r>
        <w:rPr>
          <w:rFonts w:ascii="Calibri" w:hAnsi="Calibri" w:cs="Calibri"/>
          <w:bCs/>
          <w:sz w:val="22"/>
          <w:szCs w:val="22"/>
        </w:rPr>
        <w:t>Une fois le marché attribué et les voies de recours écartées, des contacts pourront être pris librement avec le prestataire retenu pour la mise en œuvre de sa solution.</w:t>
      </w:r>
    </w:p>
    <w:p w:rsidR="001606EA" w:rsidRPr="001606EA" w:rsidRDefault="001606EA" w:rsidP="001606EA">
      <w:pPr>
        <w:pStyle w:val="Titre1"/>
        <w:numPr>
          <w:ilvl w:val="0"/>
          <w:numId w:val="25"/>
        </w:numPr>
        <w:spacing w:after="240"/>
        <w:rPr>
          <w:rFonts w:ascii="Calibri" w:hAnsi="Calibri"/>
          <w:sz w:val="22"/>
          <w:szCs w:val="22"/>
        </w:rPr>
      </w:pPr>
      <w:bookmarkStart w:id="6" w:name="_Toc453335906"/>
      <w:r w:rsidRPr="001606EA">
        <w:rPr>
          <w:rFonts w:ascii="Calibri" w:hAnsi="Calibri"/>
          <w:sz w:val="22"/>
          <w:szCs w:val="22"/>
        </w:rPr>
        <w:t>LE DELIT DE FAVORITISME</w:t>
      </w:r>
      <w:bookmarkEnd w:id="6"/>
    </w:p>
    <w:p w:rsidR="001606EA" w:rsidRDefault="00233ED5" w:rsidP="001606EA">
      <w:pPr>
        <w:rPr>
          <w:rFonts w:ascii="Calibri" w:hAnsi="Calibri" w:cs="Calibri"/>
          <w:bCs/>
          <w:sz w:val="22"/>
          <w:szCs w:val="22"/>
        </w:rPr>
      </w:pPr>
      <w:r>
        <w:rPr>
          <w:rFonts w:ascii="Calibri" w:hAnsi="Calibri" w:cs="Calibri"/>
          <w:bCs/>
          <w:sz w:val="22"/>
          <w:szCs w:val="22"/>
        </w:rPr>
        <w:t>Outre le risque de recours de la part d’un candidat, l</w:t>
      </w:r>
      <w:r w:rsidR="001606EA">
        <w:rPr>
          <w:rFonts w:ascii="Calibri" w:hAnsi="Calibri" w:cs="Calibri"/>
          <w:bCs/>
          <w:sz w:val="22"/>
          <w:szCs w:val="22"/>
        </w:rPr>
        <w:t>’article 432-14 du code pénal stipule :  </w:t>
      </w:r>
    </w:p>
    <w:p w:rsidR="001606EA" w:rsidRPr="001606EA" w:rsidRDefault="001606EA" w:rsidP="001606EA">
      <w:pPr>
        <w:rPr>
          <w:rFonts w:ascii="Calibri" w:hAnsi="Calibri" w:cs="Calibri"/>
          <w:bCs/>
          <w:sz w:val="22"/>
          <w:szCs w:val="22"/>
        </w:rPr>
      </w:pPr>
      <w:r>
        <w:rPr>
          <w:rFonts w:ascii="Calibri" w:hAnsi="Calibri" w:cs="Calibri"/>
          <w:bCs/>
          <w:sz w:val="22"/>
          <w:szCs w:val="22"/>
        </w:rPr>
        <w:t>« </w:t>
      </w:r>
      <w:r w:rsidRPr="001606EA">
        <w:rPr>
          <w:rFonts w:ascii="Calibri" w:hAnsi="Calibri" w:cs="Calibri"/>
          <w:bCs/>
          <w:sz w:val="22"/>
          <w:szCs w:val="22"/>
        </w:rPr>
        <w:t>Est puni de deux ans d'emprisonnement et d'une amende de 200 000 €, dont le montant peut être porté au double du produit tiré de l'infraction, le fait par une personne dépositaire de l'autorité publique ou chargée d'une mission de service public ou investie d'un mandat électif public ou exerçant les fonctions de représentant, administrateur ou agent de l'Etat, des collectivités territoriales, des établissements publics, des sociétés d'économie mixte d'intérêt national chargées d'une mission de service public et des sociétés d'économie mixte locales ou par toute personne agissant pour le compte de l'une de celles susmentionnées de procurer ou de tenter de procurer à autrui un avantage injustifié par un acte contraire aux dispositions législatives ou réglementaires ayant pour objet de garantir la liberté d'accès et l'égalité des candidats dans les marchés publics et les délégations de service public.</w:t>
      </w:r>
      <w:r>
        <w:rPr>
          <w:rFonts w:ascii="Calibri" w:hAnsi="Calibri" w:cs="Calibri"/>
          <w:bCs/>
          <w:sz w:val="22"/>
          <w:szCs w:val="22"/>
        </w:rPr>
        <w:t> »</w:t>
      </w:r>
    </w:p>
    <w:p w:rsidR="001606EA" w:rsidRPr="001606EA" w:rsidRDefault="001606EA" w:rsidP="001606EA">
      <w:pPr>
        <w:rPr>
          <w:rFonts w:ascii="Calibri" w:hAnsi="Calibri" w:cs="Calibri"/>
          <w:bCs/>
          <w:sz w:val="22"/>
          <w:szCs w:val="22"/>
        </w:rPr>
      </w:pPr>
    </w:p>
    <w:p w:rsidR="001606EA" w:rsidRDefault="001606EA" w:rsidP="001606EA">
      <w:pPr>
        <w:rPr>
          <w:rFonts w:ascii="Calibri" w:hAnsi="Calibri" w:cs="Calibri"/>
          <w:bCs/>
          <w:sz w:val="22"/>
          <w:szCs w:val="22"/>
        </w:rPr>
      </w:pPr>
      <w:r>
        <w:rPr>
          <w:rFonts w:ascii="Calibri" w:hAnsi="Calibri" w:cs="Calibri"/>
          <w:bCs/>
          <w:sz w:val="22"/>
          <w:szCs w:val="22"/>
        </w:rPr>
        <w:t>Commentaires :</w:t>
      </w:r>
    </w:p>
    <w:p w:rsidR="001606EA" w:rsidRDefault="001606EA" w:rsidP="001606EA">
      <w:pPr>
        <w:pStyle w:val="Paragraphedeliste"/>
        <w:numPr>
          <w:ilvl w:val="0"/>
          <w:numId w:val="20"/>
        </w:numPr>
        <w:spacing w:after="240"/>
        <w:rPr>
          <w:rFonts w:ascii="Calibri" w:hAnsi="Calibri" w:cs="Calibri"/>
          <w:bCs/>
          <w:sz w:val="22"/>
          <w:szCs w:val="22"/>
        </w:rPr>
      </w:pPr>
      <w:r w:rsidRPr="001606EA">
        <w:rPr>
          <w:rFonts w:ascii="Calibri" w:hAnsi="Calibri" w:cs="Calibri"/>
          <w:bCs/>
          <w:sz w:val="22"/>
          <w:szCs w:val="22"/>
        </w:rPr>
        <w:t>Le délit se caractérise par un acte contraire au principe de concurrence et d’égalité de traitement</w:t>
      </w:r>
      <w:r>
        <w:rPr>
          <w:rFonts w:ascii="Calibri" w:hAnsi="Calibri" w:cs="Calibri"/>
          <w:bCs/>
          <w:sz w:val="22"/>
          <w:szCs w:val="22"/>
        </w:rPr>
        <w:t>,</w:t>
      </w:r>
    </w:p>
    <w:p w:rsidR="001606EA" w:rsidRDefault="001606EA" w:rsidP="001606EA">
      <w:pPr>
        <w:pStyle w:val="Paragraphedeliste"/>
        <w:numPr>
          <w:ilvl w:val="0"/>
          <w:numId w:val="20"/>
        </w:numPr>
        <w:spacing w:after="240"/>
        <w:rPr>
          <w:rFonts w:ascii="Calibri" w:hAnsi="Calibri" w:cs="Calibri"/>
          <w:bCs/>
          <w:sz w:val="22"/>
          <w:szCs w:val="22"/>
        </w:rPr>
      </w:pPr>
      <w:r>
        <w:rPr>
          <w:rFonts w:ascii="Calibri" w:hAnsi="Calibri" w:cs="Calibri"/>
          <w:bCs/>
          <w:sz w:val="22"/>
          <w:szCs w:val="22"/>
        </w:rPr>
        <w:t>La volonté de favoriser un candidat n’est pas nécessaire,</w:t>
      </w:r>
    </w:p>
    <w:p w:rsidR="001606EA" w:rsidRDefault="001606EA" w:rsidP="001606EA">
      <w:pPr>
        <w:pStyle w:val="Paragraphedeliste"/>
        <w:numPr>
          <w:ilvl w:val="0"/>
          <w:numId w:val="20"/>
        </w:numPr>
        <w:spacing w:after="240"/>
        <w:rPr>
          <w:rFonts w:ascii="Calibri" w:hAnsi="Calibri" w:cs="Calibri"/>
          <w:bCs/>
          <w:sz w:val="22"/>
          <w:szCs w:val="22"/>
        </w:rPr>
      </w:pPr>
      <w:r>
        <w:rPr>
          <w:rFonts w:ascii="Calibri" w:hAnsi="Calibri" w:cs="Calibri"/>
          <w:bCs/>
          <w:sz w:val="22"/>
          <w:szCs w:val="22"/>
        </w:rPr>
        <w:t>Le délit peut être constitué même si l’entreprise qui a été avantagée n’est pas l’attributaire du marché public,</w:t>
      </w:r>
    </w:p>
    <w:p w:rsidR="001606EA" w:rsidRPr="001606EA" w:rsidRDefault="001606EA" w:rsidP="001606EA">
      <w:pPr>
        <w:pStyle w:val="Paragraphedeliste"/>
        <w:numPr>
          <w:ilvl w:val="0"/>
          <w:numId w:val="20"/>
        </w:numPr>
        <w:spacing w:after="240"/>
        <w:rPr>
          <w:rFonts w:ascii="Calibri" w:hAnsi="Calibri" w:cs="Calibri"/>
          <w:bCs/>
          <w:sz w:val="22"/>
          <w:szCs w:val="22"/>
        </w:rPr>
      </w:pPr>
      <w:r>
        <w:rPr>
          <w:rFonts w:ascii="Calibri" w:hAnsi="Calibri" w:cs="Calibri"/>
          <w:bCs/>
          <w:sz w:val="22"/>
          <w:szCs w:val="22"/>
        </w:rPr>
        <w:t>Le délit n’est pas lié au montant du marché.</w:t>
      </w:r>
    </w:p>
    <w:p w:rsidR="00665293" w:rsidRPr="00665293" w:rsidRDefault="00665293" w:rsidP="00665293">
      <w:pPr>
        <w:rPr>
          <w:rFonts w:ascii="Calibri" w:hAnsi="Calibri" w:cs="Calibri"/>
          <w:bCs/>
          <w:sz w:val="22"/>
          <w:szCs w:val="22"/>
        </w:rPr>
      </w:pPr>
    </w:p>
    <w:sectPr w:rsidR="00665293" w:rsidRPr="00665293" w:rsidSect="00DF795A">
      <w:footerReference w:type="default" r:id="rId9"/>
      <w:footerReference w:type="first" r:id="rId10"/>
      <w:pgSz w:w="11906" w:h="16838"/>
      <w:pgMar w:top="709" w:right="1417" w:bottom="1276"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770" w:rsidRDefault="00E60770" w:rsidP="008565CC">
      <w:r>
        <w:separator/>
      </w:r>
    </w:p>
  </w:endnote>
  <w:endnote w:type="continuationSeparator" w:id="0">
    <w:p w:rsidR="00E60770" w:rsidRDefault="00E60770" w:rsidP="00856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5D6" w:rsidRDefault="00AC64ED" w:rsidP="00DF795A">
    <w:pPr>
      <w:pStyle w:val="Pieddepage"/>
    </w:pPr>
    <w:r>
      <w:rPr>
        <w:rFonts w:ascii="Calibri" w:hAnsi="Calibri" w:cs="Calibri"/>
        <w:i/>
        <w:sz w:val="22"/>
        <w:szCs w:val="22"/>
      </w:rPr>
      <w:t xml:space="preserve">DF CCIR </w:t>
    </w:r>
    <w:r w:rsidR="00DF795A" w:rsidRPr="00DF795A">
      <w:rPr>
        <w:rFonts w:ascii="Calibri" w:hAnsi="Calibri" w:cs="Calibri"/>
        <w:i/>
        <w:sz w:val="22"/>
        <w:szCs w:val="22"/>
      </w:rPr>
      <w:t xml:space="preserve"> – </w:t>
    </w:r>
    <w:r w:rsidR="00665293">
      <w:rPr>
        <w:rFonts w:ascii="Calibri" w:hAnsi="Calibri" w:cs="Calibri"/>
        <w:i/>
        <w:sz w:val="22"/>
        <w:szCs w:val="22"/>
      </w:rPr>
      <w:t>7 juin 2016</w:t>
    </w:r>
    <w:r w:rsidR="00DF795A">
      <w:rPr>
        <w:rFonts w:ascii="Calibri" w:hAnsi="Calibri" w:cs="Calibri"/>
        <w:sz w:val="22"/>
        <w:szCs w:val="22"/>
      </w:rPr>
      <w:tab/>
    </w:r>
    <w:r w:rsidR="00DF795A">
      <w:rPr>
        <w:rFonts w:ascii="Calibri" w:hAnsi="Calibri" w:cs="Calibri"/>
        <w:sz w:val="22"/>
        <w:szCs w:val="22"/>
      </w:rPr>
      <w:tab/>
    </w:r>
    <w:r w:rsidR="00DF795A">
      <w:rPr>
        <w:rFonts w:ascii="Calibri" w:hAnsi="Calibri" w:cs="Calibri"/>
        <w:sz w:val="22"/>
        <w:szCs w:val="22"/>
      </w:rPr>
      <w:tab/>
    </w:r>
    <w:r w:rsidR="007C35D6">
      <w:fldChar w:fldCharType="begin"/>
    </w:r>
    <w:r w:rsidR="007C35D6">
      <w:instrText xml:space="preserve"> PAGE   \* MERGEFORMAT </w:instrText>
    </w:r>
    <w:r w:rsidR="007C35D6">
      <w:fldChar w:fldCharType="separate"/>
    </w:r>
    <w:r w:rsidR="002936A2">
      <w:rPr>
        <w:noProof/>
      </w:rPr>
      <w:t>3</w:t>
    </w:r>
    <w:r w:rsidR="007C35D6">
      <w:fldChar w:fldCharType="end"/>
    </w:r>
  </w:p>
  <w:p w:rsidR="007C35D6" w:rsidRDefault="007C35D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95A" w:rsidRDefault="00DF795A">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770" w:rsidRDefault="00E60770" w:rsidP="008565CC">
      <w:r>
        <w:separator/>
      </w:r>
    </w:p>
  </w:footnote>
  <w:footnote w:type="continuationSeparator" w:id="0">
    <w:p w:rsidR="00E60770" w:rsidRDefault="00E60770" w:rsidP="008565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35BC"/>
    <w:multiLevelType w:val="hybridMultilevel"/>
    <w:tmpl w:val="477CEA82"/>
    <w:lvl w:ilvl="0" w:tplc="6DD2A34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A26B18"/>
    <w:multiLevelType w:val="hybridMultilevel"/>
    <w:tmpl w:val="3A58D3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8A584C"/>
    <w:multiLevelType w:val="hybridMultilevel"/>
    <w:tmpl w:val="62CCB0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E8763E"/>
    <w:multiLevelType w:val="hybridMultilevel"/>
    <w:tmpl w:val="41D4F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B923B0"/>
    <w:multiLevelType w:val="hybridMultilevel"/>
    <w:tmpl w:val="29C4A8DA"/>
    <w:lvl w:ilvl="0" w:tplc="8350F874">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F35B68"/>
    <w:multiLevelType w:val="hybridMultilevel"/>
    <w:tmpl w:val="4C083128"/>
    <w:lvl w:ilvl="0" w:tplc="DFDA5CCA">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71EBE"/>
    <w:multiLevelType w:val="hybridMultilevel"/>
    <w:tmpl w:val="3244A9E0"/>
    <w:lvl w:ilvl="0" w:tplc="D8C80BA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6D7CF4"/>
    <w:multiLevelType w:val="hybridMultilevel"/>
    <w:tmpl w:val="E91A432E"/>
    <w:lvl w:ilvl="0" w:tplc="767C1390">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885A46"/>
    <w:multiLevelType w:val="hybridMultilevel"/>
    <w:tmpl w:val="8EBC25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4584395"/>
    <w:multiLevelType w:val="hybridMultilevel"/>
    <w:tmpl w:val="5D5869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AD0146"/>
    <w:multiLevelType w:val="hybridMultilevel"/>
    <w:tmpl w:val="38E4D0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AD65CF3"/>
    <w:multiLevelType w:val="hybridMultilevel"/>
    <w:tmpl w:val="2E7A6E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BD22161"/>
    <w:multiLevelType w:val="hybridMultilevel"/>
    <w:tmpl w:val="9CE0D76A"/>
    <w:lvl w:ilvl="0" w:tplc="96804EE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0D6554"/>
    <w:multiLevelType w:val="hybridMultilevel"/>
    <w:tmpl w:val="385A5C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144E28"/>
    <w:multiLevelType w:val="hybridMultilevel"/>
    <w:tmpl w:val="3F5E743C"/>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44066FC0"/>
    <w:multiLevelType w:val="hybridMultilevel"/>
    <w:tmpl w:val="362EE8AC"/>
    <w:lvl w:ilvl="0" w:tplc="0494E880">
      <w:numFmt w:val="bullet"/>
      <w:lvlText w:val=""/>
      <w:lvlJc w:val="left"/>
      <w:pPr>
        <w:ind w:left="720" w:hanging="360"/>
      </w:pPr>
      <w:rPr>
        <w:rFonts w:ascii="Symbol" w:eastAsia="Times New Roman"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FD5693"/>
    <w:multiLevelType w:val="hybridMultilevel"/>
    <w:tmpl w:val="3BF0E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48171B"/>
    <w:multiLevelType w:val="hybridMultilevel"/>
    <w:tmpl w:val="BA664F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8E344C7"/>
    <w:multiLevelType w:val="hybridMultilevel"/>
    <w:tmpl w:val="117059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32C661D"/>
    <w:multiLevelType w:val="hybridMultilevel"/>
    <w:tmpl w:val="EF08B7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F4A452E"/>
    <w:multiLevelType w:val="hybridMultilevel"/>
    <w:tmpl w:val="D3C0105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1297975"/>
    <w:multiLevelType w:val="hybridMultilevel"/>
    <w:tmpl w:val="90E2C3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1DB3E40"/>
    <w:multiLevelType w:val="hybridMultilevel"/>
    <w:tmpl w:val="5C1AE052"/>
    <w:lvl w:ilvl="0" w:tplc="F40CFC94">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BC7353"/>
    <w:multiLevelType w:val="hybridMultilevel"/>
    <w:tmpl w:val="62860D48"/>
    <w:lvl w:ilvl="0" w:tplc="2C6C9E10">
      <w:numFmt w:val="bullet"/>
      <w:lvlText w:val=""/>
      <w:lvlJc w:val="left"/>
      <w:pPr>
        <w:ind w:left="720" w:hanging="360"/>
      </w:pPr>
      <w:rPr>
        <w:rFonts w:ascii="Symbol" w:eastAsia="Times New Roman"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9E33962"/>
    <w:multiLevelType w:val="hybridMultilevel"/>
    <w:tmpl w:val="8E2A5178"/>
    <w:lvl w:ilvl="0" w:tplc="C2B6337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9"/>
  </w:num>
  <w:num w:numId="4">
    <w:abstractNumId w:val="16"/>
  </w:num>
  <w:num w:numId="5">
    <w:abstractNumId w:val="11"/>
  </w:num>
  <w:num w:numId="6">
    <w:abstractNumId w:val="6"/>
  </w:num>
  <w:num w:numId="7">
    <w:abstractNumId w:val="4"/>
  </w:num>
  <w:num w:numId="8">
    <w:abstractNumId w:val="7"/>
  </w:num>
  <w:num w:numId="9">
    <w:abstractNumId w:val="24"/>
  </w:num>
  <w:num w:numId="10">
    <w:abstractNumId w:val="14"/>
  </w:num>
  <w:num w:numId="11">
    <w:abstractNumId w:val="22"/>
  </w:num>
  <w:num w:numId="12">
    <w:abstractNumId w:val="0"/>
  </w:num>
  <w:num w:numId="13">
    <w:abstractNumId w:val="23"/>
  </w:num>
  <w:num w:numId="14">
    <w:abstractNumId w:val="15"/>
  </w:num>
  <w:num w:numId="15">
    <w:abstractNumId w:val="12"/>
  </w:num>
  <w:num w:numId="16">
    <w:abstractNumId w:val="20"/>
  </w:num>
  <w:num w:numId="17">
    <w:abstractNumId w:val="8"/>
  </w:num>
  <w:num w:numId="18">
    <w:abstractNumId w:val="2"/>
  </w:num>
  <w:num w:numId="19">
    <w:abstractNumId w:val="10"/>
  </w:num>
  <w:num w:numId="20">
    <w:abstractNumId w:val="5"/>
  </w:num>
  <w:num w:numId="21">
    <w:abstractNumId w:val="18"/>
  </w:num>
  <w:num w:numId="22">
    <w:abstractNumId w:val="21"/>
  </w:num>
  <w:num w:numId="23">
    <w:abstractNumId w:val="17"/>
  </w:num>
  <w:num w:numId="24">
    <w:abstractNumId w:val="1"/>
  </w:num>
  <w:num w:numId="2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D7"/>
    <w:rsid w:val="00000A7F"/>
    <w:rsid w:val="00000AAE"/>
    <w:rsid w:val="000177A8"/>
    <w:rsid w:val="0002338F"/>
    <w:rsid w:val="0002713B"/>
    <w:rsid w:val="00042165"/>
    <w:rsid w:val="00052463"/>
    <w:rsid w:val="0006388F"/>
    <w:rsid w:val="00065149"/>
    <w:rsid w:val="000700BA"/>
    <w:rsid w:val="00072DDA"/>
    <w:rsid w:val="00073B80"/>
    <w:rsid w:val="00082DD4"/>
    <w:rsid w:val="00093610"/>
    <w:rsid w:val="000A3B0F"/>
    <w:rsid w:val="000C311E"/>
    <w:rsid w:val="000D45D2"/>
    <w:rsid w:val="000D4892"/>
    <w:rsid w:val="000D5C4D"/>
    <w:rsid w:val="000D602A"/>
    <w:rsid w:val="000F4CA7"/>
    <w:rsid w:val="00100637"/>
    <w:rsid w:val="00110002"/>
    <w:rsid w:val="00113291"/>
    <w:rsid w:val="00145C90"/>
    <w:rsid w:val="001522E5"/>
    <w:rsid w:val="00160633"/>
    <w:rsid w:val="001606EA"/>
    <w:rsid w:val="00180243"/>
    <w:rsid w:val="001874CB"/>
    <w:rsid w:val="00190920"/>
    <w:rsid w:val="00194277"/>
    <w:rsid w:val="001B0350"/>
    <w:rsid w:val="001B15B4"/>
    <w:rsid w:val="001B34EC"/>
    <w:rsid w:val="001B3C4B"/>
    <w:rsid w:val="001B74E4"/>
    <w:rsid w:val="001C0832"/>
    <w:rsid w:val="001D2138"/>
    <w:rsid w:val="001E5D8A"/>
    <w:rsid w:val="001F523D"/>
    <w:rsid w:val="00203F24"/>
    <w:rsid w:val="00230737"/>
    <w:rsid w:val="00233ED5"/>
    <w:rsid w:val="00235935"/>
    <w:rsid w:val="00236F1A"/>
    <w:rsid w:val="002405BA"/>
    <w:rsid w:val="00242A48"/>
    <w:rsid w:val="00264169"/>
    <w:rsid w:val="00275BD8"/>
    <w:rsid w:val="0029001E"/>
    <w:rsid w:val="002936A2"/>
    <w:rsid w:val="00296A02"/>
    <w:rsid w:val="002A3974"/>
    <w:rsid w:val="002A4BAA"/>
    <w:rsid w:val="002B12EE"/>
    <w:rsid w:val="002B7B24"/>
    <w:rsid w:val="002C26FA"/>
    <w:rsid w:val="002D76FF"/>
    <w:rsid w:val="002E0887"/>
    <w:rsid w:val="003009FF"/>
    <w:rsid w:val="0030778A"/>
    <w:rsid w:val="003175D7"/>
    <w:rsid w:val="003246D0"/>
    <w:rsid w:val="003329AE"/>
    <w:rsid w:val="00364D13"/>
    <w:rsid w:val="00375D9F"/>
    <w:rsid w:val="00390580"/>
    <w:rsid w:val="00392FBC"/>
    <w:rsid w:val="003B4600"/>
    <w:rsid w:val="003C2413"/>
    <w:rsid w:val="003C542A"/>
    <w:rsid w:val="003D4384"/>
    <w:rsid w:val="003E0905"/>
    <w:rsid w:val="003E1119"/>
    <w:rsid w:val="003F1533"/>
    <w:rsid w:val="00402AA5"/>
    <w:rsid w:val="00421146"/>
    <w:rsid w:val="00430DCD"/>
    <w:rsid w:val="0043243D"/>
    <w:rsid w:val="00451AA3"/>
    <w:rsid w:val="00456A93"/>
    <w:rsid w:val="00464C9A"/>
    <w:rsid w:val="00470441"/>
    <w:rsid w:val="00480A0D"/>
    <w:rsid w:val="004E7DD9"/>
    <w:rsid w:val="004F53AF"/>
    <w:rsid w:val="00500691"/>
    <w:rsid w:val="00503131"/>
    <w:rsid w:val="00503863"/>
    <w:rsid w:val="00510F6C"/>
    <w:rsid w:val="00511929"/>
    <w:rsid w:val="00537B4D"/>
    <w:rsid w:val="00567FF1"/>
    <w:rsid w:val="00574EEC"/>
    <w:rsid w:val="00577BAA"/>
    <w:rsid w:val="0058531D"/>
    <w:rsid w:val="005B077F"/>
    <w:rsid w:val="005B199C"/>
    <w:rsid w:val="005B25DF"/>
    <w:rsid w:val="005B549A"/>
    <w:rsid w:val="005B55AE"/>
    <w:rsid w:val="00602FC1"/>
    <w:rsid w:val="00603E1A"/>
    <w:rsid w:val="00631695"/>
    <w:rsid w:val="00631C92"/>
    <w:rsid w:val="00633612"/>
    <w:rsid w:val="00665293"/>
    <w:rsid w:val="0067237E"/>
    <w:rsid w:val="006756C4"/>
    <w:rsid w:val="006B198F"/>
    <w:rsid w:val="006B2F19"/>
    <w:rsid w:val="006B6A7D"/>
    <w:rsid w:val="006C7025"/>
    <w:rsid w:val="006E5841"/>
    <w:rsid w:val="007078CF"/>
    <w:rsid w:val="00711FC3"/>
    <w:rsid w:val="007252CC"/>
    <w:rsid w:val="0072690D"/>
    <w:rsid w:val="00746C9A"/>
    <w:rsid w:val="007471C6"/>
    <w:rsid w:val="007602B0"/>
    <w:rsid w:val="00760615"/>
    <w:rsid w:val="00773BA8"/>
    <w:rsid w:val="00781302"/>
    <w:rsid w:val="00784E16"/>
    <w:rsid w:val="007C35D6"/>
    <w:rsid w:val="007D0B49"/>
    <w:rsid w:val="007D1AD4"/>
    <w:rsid w:val="007E3995"/>
    <w:rsid w:val="007E6184"/>
    <w:rsid w:val="007F7DD8"/>
    <w:rsid w:val="00801C39"/>
    <w:rsid w:val="0081619A"/>
    <w:rsid w:val="008161F0"/>
    <w:rsid w:val="00823D69"/>
    <w:rsid w:val="00825D1E"/>
    <w:rsid w:val="008450E6"/>
    <w:rsid w:val="0085249A"/>
    <w:rsid w:val="008560A6"/>
    <w:rsid w:val="0085633F"/>
    <w:rsid w:val="008565CC"/>
    <w:rsid w:val="008637B7"/>
    <w:rsid w:val="00874B4F"/>
    <w:rsid w:val="00883B7D"/>
    <w:rsid w:val="00886B06"/>
    <w:rsid w:val="008900CD"/>
    <w:rsid w:val="008A629B"/>
    <w:rsid w:val="008B01E1"/>
    <w:rsid w:val="008C0989"/>
    <w:rsid w:val="008D0032"/>
    <w:rsid w:val="008D3840"/>
    <w:rsid w:val="008F0471"/>
    <w:rsid w:val="0090132C"/>
    <w:rsid w:val="009221CD"/>
    <w:rsid w:val="009260BA"/>
    <w:rsid w:val="009267CD"/>
    <w:rsid w:val="0096399F"/>
    <w:rsid w:val="00972B46"/>
    <w:rsid w:val="009930B3"/>
    <w:rsid w:val="009B4CDC"/>
    <w:rsid w:val="00A05D0A"/>
    <w:rsid w:val="00A547B1"/>
    <w:rsid w:val="00A65C64"/>
    <w:rsid w:val="00A7385D"/>
    <w:rsid w:val="00A83D21"/>
    <w:rsid w:val="00A86AE1"/>
    <w:rsid w:val="00A910D5"/>
    <w:rsid w:val="00A93980"/>
    <w:rsid w:val="00AB239C"/>
    <w:rsid w:val="00AB5965"/>
    <w:rsid w:val="00AC64ED"/>
    <w:rsid w:val="00AE049B"/>
    <w:rsid w:val="00AE4FDB"/>
    <w:rsid w:val="00B4588B"/>
    <w:rsid w:val="00B552F0"/>
    <w:rsid w:val="00B6291F"/>
    <w:rsid w:val="00B828DF"/>
    <w:rsid w:val="00B861AF"/>
    <w:rsid w:val="00B86600"/>
    <w:rsid w:val="00B90B0A"/>
    <w:rsid w:val="00BA4ADF"/>
    <w:rsid w:val="00BA69B3"/>
    <w:rsid w:val="00BB3CD3"/>
    <w:rsid w:val="00BD67B5"/>
    <w:rsid w:val="00C15537"/>
    <w:rsid w:val="00C41620"/>
    <w:rsid w:val="00C42195"/>
    <w:rsid w:val="00C43CCC"/>
    <w:rsid w:val="00C4566A"/>
    <w:rsid w:val="00C57701"/>
    <w:rsid w:val="00C64916"/>
    <w:rsid w:val="00C653AA"/>
    <w:rsid w:val="00C86CB2"/>
    <w:rsid w:val="00C86CFA"/>
    <w:rsid w:val="00C96133"/>
    <w:rsid w:val="00C96612"/>
    <w:rsid w:val="00CA65FB"/>
    <w:rsid w:val="00CB672A"/>
    <w:rsid w:val="00CE5ECC"/>
    <w:rsid w:val="00CE7C41"/>
    <w:rsid w:val="00CF286C"/>
    <w:rsid w:val="00CF6509"/>
    <w:rsid w:val="00D01D17"/>
    <w:rsid w:val="00D02D7F"/>
    <w:rsid w:val="00D03741"/>
    <w:rsid w:val="00D119E4"/>
    <w:rsid w:val="00D122BF"/>
    <w:rsid w:val="00D27890"/>
    <w:rsid w:val="00D425AC"/>
    <w:rsid w:val="00D46667"/>
    <w:rsid w:val="00D47E25"/>
    <w:rsid w:val="00D6513F"/>
    <w:rsid w:val="00DA2C22"/>
    <w:rsid w:val="00DB18C7"/>
    <w:rsid w:val="00DB3B4F"/>
    <w:rsid w:val="00DE6F06"/>
    <w:rsid w:val="00DF0D51"/>
    <w:rsid w:val="00DF233D"/>
    <w:rsid w:val="00DF795A"/>
    <w:rsid w:val="00E13C2C"/>
    <w:rsid w:val="00E17467"/>
    <w:rsid w:val="00E42FDF"/>
    <w:rsid w:val="00E536E7"/>
    <w:rsid w:val="00E60770"/>
    <w:rsid w:val="00E6596F"/>
    <w:rsid w:val="00E727A7"/>
    <w:rsid w:val="00E97EAE"/>
    <w:rsid w:val="00EB7C2D"/>
    <w:rsid w:val="00ED667E"/>
    <w:rsid w:val="00EE72CE"/>
    <w:rsid w:val="00F07B1B"/>
    <w:rsid w:val="00F5081F"/>
    <w:rsid w:val="00F61C3E"/>
    <w:rsid w:val="00F66F65"/>
    <w:rsid w:val="00F86722"/>
    <w:rsid w:val="00F87FBF"/>
    <w:rsid w:val="00F94212"/>
    <w:rsid w:val="00F95A20"/>
    <w:rsid w:val="00FA5C2A"/>
    <w:rsid w:val="00FA625F"/>
    <w:rsid w:val="00FA787D"/>
    <w:rsid w:val="00FD7921"/>
    <w:rsid w:val="00FE5673"/>
    <w:rsid w:val="00FF077E"/>
    <w:rsid w:val="00FF10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C4816-C2A4-4A52-8C84-FF2BAD60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39C"/>
    <w:rPr>
      <w:rFonts w:ascii="Times New Roman" w:eastAsia="Times New Roman" w:hAnsi="Times New Roman"/>
      <w:sz w:val="24"/>
      <w:szCs w:val="24"/>
    </w:rPr>
  </w:style>
  <w:style w:type="paragraph" w:styleId="Titre1">
    <w:name w:val="heading 1"/>
    <w:basedOn w:val="Normal"/>
    <w:next w:val="Normal"/>
    <w:link w:val="Titre1Car"/>
    <w:qFormat/>
    <w:rsid w:val="003175D7"/>
    <w:pPr>
      <w:keepNext/>
      <w:outlineLvl w:val="0"/>
    </w:pPr>
    <w:rPr>
      <w:b/>
      <w:bCs/>
      <w:u w:val="single"/>
    </w:rPr>
  </w:style>
  <w:style w:type="paragraph" w:styleId="Titre2">
    <w:name w:val="heading 2"/>
    <w:basedOn w:val="Normal"/>
    <w:next w:val="Normal"/>
    <w:link w:val="Titre2Car"/>
    <w:uiPriority w:val="9"/>
    <w:unhideWhenUsed/>
    <w:qFormat/>
    <w:rsid w:val="00190920"/>
    <w:pPr>
      <w:keepNext/>
      <w:spacing w:before="240" w:after="60"/>
      <w:outlineLvl w:val="1"/>
    </w:pPr>
    <w:rPr>
      <w:rFonts w:ascii="Cambria" w:hAnsi="Cambria"/>
      <w:b/>
      <w:bCs/>
      <w:i/>
      <w:iCs/>
      <w:sz w:val="28"/>
      <w:szCs w:val="28"/>
    </w:rPr>
  </w:style>
  <w:style w:type="paragraph" w:styleId="Titre3">
    <w:name w:val="heading 3"/>
    <w:basedOn w:val="Normal"/>
    <w:next w:val="Normal"/>
    <w:link w:val="Titre3Car"/>
    <w:uiPriority w:val="9"/>
    <w:unhideWhenUsed/>
    <w:qFormat/>
    <w:rsid w:val="0029001E"/>
    <w:pPr>
      <w:keepNext/>
      <w:spacing w:before="240" w:after="60"/>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3175D7"/>
    <w:rPr>
      <w:rFonts w:ascii="Times New Roman" w:eastAsia="Times New Roman" w:hAnsi="Times New Roman" w:cs="Times New Roman"/>
      <w:b/>
      <w:bCs/>
      <w:sz w:val="24"/>
      <w:szCs w:val="24"/>
      <w:u w:val="single"/>
      <w:lang w:eastAsia="fr-FR"/>
    </w:rPr>
  </w:style>
  <w:style w:type="character" w:customStyle="1" w:styleId="Titre2Car">
    <w:name w:val="Titre 2 Car"/>
    <w:link w:val="Titre2"/>
    <w:uiPriority w:val="9"/>
    <w:rsid w:val="00190920"/>
    <w:rPr>
      <w:rFonts w:ascii="Cambria" w:eastAsia="Times New Roman" w:hAnsi="Cambria" w:cs="Times New Roman"/>
      <w:b/>
      <w:bCs/>
      <w:i/>
      <w:iCs/>
      <w:sz w:val="28"/>
      <w:szCs w:val="28"/>
    </w:rPr>
  </w:style>
  <w:style w:type="character" w:customStyle="1" w:styleId="Titre3Car">
    <w:name w:val="Titre 3 Car"/>
    <w:link w:val="Titre3"/>
    <w:uiPriority w:val="9"/>
    <w:rsid w:val="0029001E"/>
    <w:rPr>
      <w:rFonts w:ascii="Cambria" w:eastAsia="Times New Roman" w:hAnsi="Cambria" w:cs="Times New Roman"/>
      <w:b/>
      <w:bCs/>
      <w:sz w:val="26"/>
      <w:szCs w:val="26"/>
    </w:rPr>
  </w:style>
  <w:style w:type="paragraph" w:styleId="Textedebulles">
    <w:name w:val="Balloon Text"/>
    <w:basedOn w:val="Normal"/>
    <w:link w:val="TextedebullesCar"/>
    <w:uiPriority w:val="99"/>
    <w:semiHidden/>
    <w:unhideWhenUsed/>
    <w:rsid w:val="003175D7"/>
    <w:rPr>
      <w:rFonts w:ascii="Tahoma" w:hAnsi="Tahoma" w:cs="Tahoma"/>
      <w:sz w:val="16"/>
      <w:szCs w:val="16"/>
    </w:rPr>
  </w:style>
  <w:style w:type="character" w:customStyle="1" w:styleId="TextedebullesCar">
    <w:name w:val="Texte de bulles Car"/>
    <w:link w:val="Textedebulles"/>
    <w:uiPriority w:val="99"/>
    <w:semiHidden/>
    <w:rsid w:val="003175D7"/>
    <w:rPr>
      <w:rFonts w:ascii="Tahoma" w:eastAsia="Times New Roman" w:hAnsi="Tahoma" w:cs="Tahoma"/>
      <w:sz w:val="16"/>
      <w:szCs w:val="16"/>
      <w:lang w:eastAsia="fr-FR"/>
    </w:rPr>
  </w:style>
  <w:style w:type="paragraph" w:styleId="Paragraphedeliste">
    <w:name w:val="List Paragraph"/>
    <w:basedOn w:val="Normal"/>
    <w:uiPriority w:val="34"/>
    <w:qFormat/>
    <w:rsid w:val="00364D13"/>
    <w:pPr>
      <w:ind w:left="720"/>
      <w:contextualSpacing/>
    </w:pPr>
  </w:style>
  <w:style w:type="paragraph" w:styleId="Sansinterligne">
    <w:name w:val="No Spacing"/>
    <w:uiPriority w:val="1"/>
    <w:qFormat/>
    <w:rsid w:val="00190920"/>
    <w:rPr>
      <w:rFonts w:ascii="Times New Roman" w:eastAsia="Times New Roman" w:hAnsi="Times New Roman"/>
      <w:sz w:val="24"/>
      <w:szCs w:val="24"/>
    </w:rPr>
  </w:style>
  <w:style w:type="paragraph" w:styleId="Titre">
    <w:name w:val="Title"/>
    <w:basedOn w:val="Normal"/>
    <w:next w:val="Normal"/>
    <w:link w:val="TitreCar"/>
    <w:uiPriority w:val="10"/>
    <w:qFormat/>
    <w:rsid w:val="00190920"/>
    <w:pPr>
      <w:spacing w:before="240" w:after="60"/>
      <w:jc w:val="center"/>
      <w:outlineLvl w:val="0"/>
    </w:pPr>
    <w:rPr>
      <w:rFonts w:ascii="Cambria" w:hAnsi="Cambria"/>
      <w:b/>
      <w:bCs/>
      <w:kern w:val="28"/>
      <w:sz w:val="32"/>
      <w:szCs w:val="32"/>
    </w:rPr>
  </w:style>
  <w:style w:type="character" w:customStyle="1" w:styleId="TitreCar">
    <w:name w:val="Titre Car"/>
    <w:link w:val="Titre"/>
    <w:uiPriority w:val="10"/>
    <w:rsid w:val="00190920"/>
    <w:rPr>
      <w:rFonts w:ascii="Cambria" w:eastAsia="Times New Roman" w:hAnsi="Cambria" w:cs="Times New Roman"/>
      <w:b/>
      <w:bCs/>
      <w:kern w:val="28"/>
      <w:sz w:val="32"/>
      <w:szCs w:val="32"/>
    </w:rPr>
  </w:style>
  <w:style w:type="paragraph" w:styleId="En-tte">
    <w:name w:val="header"/>
    <w:basedOn w:val="Normal"/>
    <w:link w:val="En-tteCar"/>
    <w:uiPriority w:val="99"/>
    <w:unhideWhenUsed/>
    <w:rsid w:val="008565CC"/>
    <w:pPr>
      <w:tabs>
        <w:tab w:val="center" w:pos="4536"/>
        <w:tab w:val="right" w:pos="9072"/>
      </w:tabs>
    </w:pPr>
  </w:style>
  <w:style w:type="character" w:customStyle="1" w:styleId="En-tteCar">
    <w:name w:val="En-tête Car"/>
    <w:link w:val="En-tte"/>
    <w:uiPriority w:val="99"/>
    <w:rsid w:val="008565CC"/>
    <w:rPr>
      <w:rFonts w:ascii="Times New Roman" w:eastAsia="Times New Roman" w:hAnsi="Times New Roman"/>
      <w:sz w:val="24"/>
      <w:szCs w:val="24"/>
    </w:rPr>
  </w:style>
  <w:style w:type="paragraph" w:styleId="Pieddepage">
    <w:name w:val="footer"/>
    <w:basedOn w:val="Normal"/>
    <w:link w:val="PieddepageCar"/>
    <w:uiPriority w:val="99"/>
    <w:unhideWhenUsed/>
    <w:rsid w:val="008565CC"/>
    <w:pPr>
      <w:tabs>
        <w:tab w:val="center" w:pos="4536"/>
        <w:tab w:val="right" w:pos="9072"/>
      </w:tabs>
    </w:pPr>
  </w:style>
  <w:style w:type="character" w:customStyle="1" w:styleId="PieddepageCar">
    <w:name w:val="Pied de page Car"/>
    <w:link w:val="Pieddepage"/>
    <w:uiPriority w:val="99"/>
    <w:rsid w:val="008565CC"/>
    <w:rPr>
      <w:rFonts w:ascii="Times New Roman" w:eastAsia="Times New Roman" w:hAnsi="Times New Roman"/>
      <w:sz w:val="24"/>
      <w:szCs w:val="24"/>
    </w:rPr>
  </w:style>
  <w:style w:type="character" w:styleId="Lienhypertexte">
    <w:name w:val="Hyperlink"/>
    <w:uiPriority w:val="99"/>
    <w:unhideWhenUsed/>
    <w:rsid w:val="00FA787D"/>
    <w:rPr>
      <w:color w:val="0000FF"/>
      <w:u w:val="single"/>
    </w:rPr>
  </w:style>
  <w:style w:type="character" w:styleId="Lienhypertextesuivivisit">
    <w:name w:val="FollowedHyperlink"/>
    <w:uiPriority w:val="99"/>
    <w:semiHidden/>
    <w:unhideWhenUsed/>
    <w:rsid w:val="00FA787D"/>
    <w:rPr>
      <w:color w:val="800080"/>
      <w:u w:val="single"/>
    </w:rPr>
  </w:style>
  <w:style w:type="paragraph" w:customStyle="1" w:styleId="xl63">
    <w:name w:val="xl63"/>
    <w:basedOn w:val="Normal"/>
    <w:rsid w:val="00FA787D"/>
    <w:pPr>
      <w:pBdr>
        <w:top w:val="single" w:sz="4" w:space="0" w:color="auto"/>
        <w:left w:val="single" w:sz="4" w:space="0" w:color="auto"/>
        <w:bottom w:val="single" w:sz="4" w:space="0" w:color="auto"/>
      </w:pBdr>
      <w:spacing w:before="100" w:beforeAutospacing="1" w:after="100" w:afterAutospacing="1"/>
    </w:pPr>
  </w:style>
  <w:style w:type="paragraph" w:customStyle="1" w:styleId="xl64">
    <w:name w:val="xl64"/>
    <w:basedOn w:val="Normal"/>
    <w:rsid w:val="00FA787D"/>
    <w:pPr>
      <w:pBdr>
        <w:top w:val="single" w:sz="4" w:space="0" w:color="auto"/>
        <w:left w:val="single" w:sz="4" w:space="0" w:color="auto"/>
        <w:right w:val="single" w:sz="4" w:space="0" w:color="auto"/>
      </w:pBdr>
      <w:spacing w:before="100" w:beforeAutospacing="1" w:after="100" w:afterAutospacing="1"/>
    </w:pPr>
  </w:style>
  <w:style w:type="paragraph" w:customStyle="1" w:styleId="xl65">
    <w:name w:val="xl65"/>
    <w:basedOn w:val="Normal"/>
    <w:rsid w:val="00FA787D"/>
    <w:pPr>
      <w:pBdr>
        <w:top w:val="single" w:sz="4" w:space="0" w:color="auto"/>
        <w:left w:val="single" w:sz="4" w:space="0" w:color="auto"/>
      </w:pBdr>
      <w:spacing w:before="100" w:beforeAutospacing="1" w:after="100" w:afterAutospacing="1"/>
    </w:pPr>
  </w:style>
  <w:style w:type="paragraph" w:customStyle="1" w:styleId="xl66">
    <w:name w:val="xl66"/>
    <w:basedOn w:val="Normal"/>
    <w:rsid w:val="00FA787D"/>
    <w:pPr>
      <w:pBdr>
        <w:top w:val="single" w:sz="4" w:space="0" w:color="auto"/>
        <w:left w:val="single" w:sz="4" w:space="0" w:color="auto"/>
        <w:bottom w:val="single" w:sz="4" w:space="0" w:color="auto"/>
        <w:right w:val="single" w:sz="4" w:space="0" w:color="auto"/>
      </w:pBdr>
      <w:spacing w:before="100" w:beforeAutospacing="1" w:after="100" w:afterAutospacing="1"/>
    </w:pPr>
  </w:style>
  <w:style w:type="table" w:styleId="Grilledutableau">
    <w:name w:val="Table Grid"/>
    <w:basedOn w:val="TableauNormal"/>
    <w:uiPriority w:val="59"/>
    <w:rsid w:val="001D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41620"/>
    <w:pPr>
      <w:autoSpaceDE w:val="0"/>
      <w:autoSpaceDN w:val="0"/>
      <w:adjustRightInd w:val="0"/>
    </w:pPr>
    <w:rPr>
      <w:rFonts w:ascii="Verdana" w:hAnsi="Verdana" w:cs="Verdana"/>
      <w:color w:val="000000"/>
      <w:sz w:val="24"/>
      <w:szCs w:val="24"/>
    </w:rPr>
  </w:style>
  <w:style w:type="character" w:customStyle="1" w:styleId="object2">
    <w:name w:val="object2"/>
    <w:rsid w:val="00C86CB2"/>
    <w:rPr>
      <w:strike w:val="0"/>
      <w:dstrike w:val="0"/>
      <w:color w:val="00008B"/>
      <w:u w:val="none"/>
      <w:effect w:val="none"/>
    </w:rPr>
  </w:style>
  <w:style w:type="character" w:customStyle="1" w:styleId="object4">
    <w:name w:val="object4"/>
    <w:rsid w:val="00C86CB2"/>
    <w:rPr>
      <w:strike w:val="0"/>
      <w:dstrike w:val="0"/>
      <w:color w:val="00008B"/>
      <w:u w:val="none"/>
      <w:effect w:val="none"/>
    </w:rPr>
  </w:style>
  <w:style w:type="character" w:customStyle="1" w:styleId="object6">
    <w:name w:val="object6"/>
    <w:rsid w:val="00C86CB2"/>
    <w:rPr>
      <w:strike w:val="0"/>
      <w:dstrike w:val="0"/>
      <w:color w:val="00008B"/>
      <w:u w:val="none"/>
      <w:effect w:val="none"/>
    </w:rPr>
  </w:style>
  <w:style w:type="character" w:customStyle="1" w:styleId="object7">
    <w:name w:val="object7"/>
    <w:rsid w:val="00C86CB2"/>
    <w:rPr>
      <w:strike w:val="0"/>
      <w:dstrike w:val="0"/>
      <w:color w:val="00008B"/>
      <w:u w:val="none"/>
      <w:effect w:val="none"/>
    </w:rPr>
  </w:style>
  <w:style w:type="paragraph" w:styleId="En-ttedetabledesmatires">
    <w:name w:val="TOC Heading"/>
    <w:basedOn w:val="Titre1"/>
    <w:next w:val="Normal"/>
    <w:uiPriority w:val="39"/>
    <w:semiHidden/>
    <w:unhideWhenUsed/>
    <w:qFormat/>
    <w:rsid w:val="0030778A"/>
    <w:pPr>
      <w:keepLines/>
      <w:spacing w:before="480" w:line="276" w:lineRule="auto"/>
      <w:outlineLvl w:val="9"/>
    </w:pPr>
    <w:rPr>
      <w:rFonts w:ascii="Cambria" w:hAnsi="Cambria"/>
      <w:color w:val="365F91"/>
      <w:sz w:val="28"/>
      <w:szCs w:val="28"/>
      <w:u w:val="none"/>
    </w:rPr>
  </w:style>
  <w:style w:type="paragraph" w:styleId="TM1">
    <w:name w:val="toc 1"/>
    <w:basedOn w:val="Normal"/>
    <w:next w:val="Normal"/>
    <w:autoRedefine/>
    <w:uiPriority w:val="39"/>
    <w:unhideWhenUsed/>
    <w:rsid w:val="0030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6289">
      <w:bodyDiv w:val="1"/>
      <w:marLeft w:val="0"/>
      <w:marRight w:val="0"/>
      <w:marTop w:val="0"/>
      <w:marBottom w:val="0"/>
      <w:divBdr>
        <w:top w:val="none" w:sz="0" w:space="0" w:color="auto"/>
        <w:left w:val="none" w:sz="0" w:space="0" w:color="auto"/>
        <w:bottom w:val="none" w:sz="0" w:space="0" w:color="auto"/>
        <w:right w:val="none" w:sz="0" w:space="0" w:color="auto"/>
      </w:divBdr>
    </w:div>
    <w:div w:id="91440729">
      <w:bodyDiv w:val="1"/>
      <w:marLeft w:val="0"/>
      <w:marRight w:val="0"/>
      <w:marTop w:val="0"/>
      <w:marBottom w:val="0"/>
      <w:divBdr>
        <w:top w:val="none" w:sz="0" w:space="0" w:color="auto"/>
        <w:left w:val="none" w:sz="0" w:space="0" w:color="auto"/>
        <w:bottom w:val="none" w:sz="0" w:space="0" w:color="auto"/>
        <w:right w:val="none" w:sz="0" w:space="0" w:color="auto"/>
      </w:divBdr>
    </w:div>
    <w:div w:id="231236353">
      <w:bodyDiv w:val="1"/>
      <w:marLeft w:val="0"/>
      <w:marRight w:val="0"/>
      <w:marTop w:val="0"/>
      <w:marBottom w:val="0"/>
      <w:divBdr>
        <w:top w:val="none" w:sz="0" w:space="0" w:color="auto"/>
        <w:left w:val="none" w:sz="0" w:space="0" w:color="auto"/>
        <w:bottom w:val="none" w:sz="0" w:space="0" w:color="auto"/>
        <w:right w:val="none" w:sz="0" w:space="0" w:color="auto"/>
      </w:divBdr>
    </w:div>
    <w:div w:id="354383664">
      <w:bodyDiv w:val="1"/>
      <w:marLeft w:val="0"/>
      <w:marRight w:val="0"/>
      <w:marTop w:val="0"/>
      <w:marBottom w:val="0"/>
      <w:divBdr>
        <w:top w:val="none" w:sz="0" w:space="0" w:color="auto"/>
        <w:left w:val="none" w:sz="0" w:space="0" w:color="auto"/>
        <w:bottom w:val="none" w:sz="0" w:space="0" w:color="auto"/>
        <w:right w:val="none" w:sz="0" w:space="0" w:color="auto"/>
      </w:divBdr>
    </w:div>
    <w:div w:id="356351852">
      <w:bodyDiv w:val="1"/>
      <w:marLeft w:val="0"/>
      <w:marRight w:val="0"/>
      <w:marTop w:val="0"/>
      <w:marBottom w:val="0"/>
      <w:divBdr>
        <w:top w:val="none" w:sz="0" w:space="0" w:color="auto"/>
        <w:left w:val="none" w:sz="0" w:space="0" w:color="auto"/>
        <w:bottom w:val="none" w:sz="0" w:space="0" w:color="auto"/>
        <w:right w:val="none" w:sz="0" w:space="0" w:color="auto"/>
      </w:divBdr>
    </w:div>
    <w:div w:id="414278170">
      <w:bodyDiv w:val="1"/>
      <w:marLeft w:val="0"/>
      <w:marRight w:val="0"/>
      <w:marTop w:val="0"/>
      <w:marBottom w:val="0"/>
      <w:divBdr>
        <w:top w:val="none" w:sz="0" w:space="0" w:color="auto"/>
        <w:left w:val="none" w:sz="0" w:space="0" w:color="auto"/>
        <w:bottom w:val="none" w:sz="0" w:space="0" w:color="auto"/>
        <w:right w:val="none" w:sz="0" w:space="0" w:color="auto"/>
      </w:divBdr>
    </w:div>
    <w:div w:id="483089502">
      <w:bodyDiv w:val="1"/>
      <w:marLeft w:val="0"/>
      <w:marRight w:val="0"/>
      <w:marTop w:val="0"/>
      <w:marBottom w:val="0"/>
      <w:divBdr>
        <w:top w:val="none" w:sz="0" w:space="0" w:color="auto"/>
        <w:left w:val="none" w:sz="0" w:space="0" w:color="auto"/>
        <w:bottom w:val="none" w:sz="0" w:space="0" w:color="auto"/>
        <w:right w:val="none" w:sz="0" w:space="0" w:color="auto"/>
      </w:divBdr>
    </w:div>
    <w:div w:id="496505045">
      <w:bodyDiv w:val="1"/>
      <w:marLeft w:val="0"/>
      <w:marRight w:val="0"/>
      <w:marTop w:val="0"/>
      <w:marBottom w:val="0"/>
      <w:divBdr>
        <w:top w:val="none" w:sz="0" w:space="0" w:color="auto"/>
        <w:left w:val="none" w:sz="0" w:space="0" w:color="auto"/>
        <w:bottom w:val="none" w:sz="0" w:space="0" w:color="auto"/>
        <w:right w:val="none" w:sz="0" w:space="0" w:color="auto"/>
      </w:divBdr>
    </w:div>
    <w:div w:id="559827711">
      <w:bodyDiv w:val="1"/>
      <w:marLeft w:val="0"/>
      <w:marRight w:val="0"/>
      <w:marTop w:val="0"/>
      <w:marBottom w:val="0"/>
      <w:divBdr>
        <w:top w:val="none" w:sz="0" w:space="0" w:color="auto"/>
        <w:left w:val="none" w:sz="0" w:space="0" w:color="auto"/>
        <w:bottom w:val="none" w:sz="0" w:space="0" w:color="auto"/>
        <w:right w:val="none" w:sz="0" w:space="0" w:color="auto"/>
      </w:divBdr>
    </w:div>
    <w:div w:id="745032894">
      <w:bodyDiv w:val="1"/>
      <w:marLeft w:val="0"/>
      <w:marRight w:val="0"/>
      <w:marTop w:val="0"/>
      <w:marBottom w:val="0"/>
      <w:divBdr>
        <w:top w:val="none" w:sz="0" w:space="0" w:color="auto"/>
        <w:left w:val="none" w:sz="0" w:space="0" w:color="auto"/>
        <w:bottom w:val="none" w:sz="0" w:space="0" w:color="auto"/>
        <w:right w:val="none" w:sz="0" w:space="0" w:color="auto"/>
      </w:divBdr>
    </w:div>
    <w:div w:id="855971491">
      <w:bodyDiv w:val="1"/>
      <w:marLeft w:val="0"/>
      <w:marRight w:val="0"/>
      <w:marTop w:val="0"/>
      <w:marBottom w:val="0"/>
      <w:divBdr>
        <w:top w:val="none" w:sz="0" w:space="0" w:color="auto"/>
        <w:left w:val="none" w:sz="0" w:space="0" w:color="auto"/>
        <w:bottom w:val="none" w:sz="0" w:space="0" w:color="auto"/>
        <w:right w:val="none" w:sz="0" w:space="0" w:color="auto"/>
      </w:divBdr>
    </w:div>
    <w:div w:id="1028680158">
      <w:bodyDiv w:val="1"/>
      <w:marLeft w:val="0"/>
      <w:marRight w:val="0"/>
      <w:marTop w:val="0"/>
      <w:marBottom w:val="0"/>
      <w:divBdr>
        <w:top w:val="none" w:sz="0" w:space="0" w:color="auto"/>
        <w:left w:val="none" w:sz="0" w:space="0" w:color="auto"/>
        <w:bottom w:val="none" w:sz="0" w:space="0" w:color="auto"/>
        <w:right w:val="none" w:sz="0" w:space="0" w:color="auto"/>
      </w:divBdr>
    </w:div>
    <w:div w:id="1122385490">
      <w:bodyDiv w:val="1"/>
      <w:marLeft w:val="0"/>
      <w:marRight w:val="0"/>
      <w:marTop w:val="0"/>
      <w:marBottom w:val="0"/>
      <w:divBdr>
        <w:top w:val="none" w:sz="0" w:space="0" w:color="auto"/>
        <w:left w:val="none" w:sz="0" w:space="0" w:color="auto"/>
        <w:bottom w:val="none" w:sz="0" w:space="0" w:color="auto"/>
        <w:right w:val="none" w:sz="0" w:space="0" w:color="auto"/>
      </w:divBdr>
    </w:div>
    <w:div w:id="1157234784">
      <w:bodyDiv w:val="1"/>
      <w:marLeft w:val="0"/>
      <w:marRight w:val="0"/>
      <w:marTop w:val="0"/>
      <w:marBottom w:val="0"/>
      <w:divBdr>
        <w:top w:val="none" w:sz="0" w:space="0" w:color="auto"/>
        <w:left w:val="none" w:sz="0" w:space="0" w:color="auto"/>
        <w:bottom w:val="none" w:sz="0" w:space="0" w:color="auto"/>
        <w:right w:val="none" w:sz="0" w:space="0" w:color="auto"/>
      </w:divBdr>
    </w:div>
    <w:div w:id="1177580472">
      <w:bodyDiv w:val="1"/>
      <w:marLeft w:val="0"/>
      <w:marRight w:val="0"/>
      <w:marTop w:val="0"/>
      <w:marBottom w:val="0"/>
      <w:divBdr>
        <w:top w:val="none" w:sz="0" w:space="0" w:color="auto"/>
        <w:left w:val="none" w:sz="0" w:space="0" w:color="auto"/>
        <w:bottom w:val="none" w:sz="0" w:space="0" w:color="auto"/>
        <w:right w:val="none" w:sz="0" w:space="0" w:color="auto"/>
      </w:divBdr>
    </w:div>
    <w:div w:id="1195003468">
      <w:bodyDiv w:val="1"/>
      <w:marLeft w:val="0"/>
      <w:marRight w:val="0"/>
      <w:marTop w:val="0"/>
      <w:marBottom w:val="0"/>
      <w:divBdr>
        <w:top w:val="none" w:sz="0" w:space="0" w:color="auto"/>
        <w:left w:val="none" w:sz="0" w:space="0" w:color="auto"/>
        <w:bottom w:val="none" w:sz="0" w:space="0" w:color="auto"/>
        <w:right w:val="none" w:sz="0" w:space="0" w:color="auto"/>
      </w:divBdr>
    </w:div>
    <w:div w:id="1196305389">
      <w:bodyDiv w:val="1"/>
      <w:marLeft w:val="0"/>
      <w:marRight w:val="0"/>
      <w:marTop w:val="0"/>
      <w:marBottom w:val="0"/>
      <w:divBdr>
        <w:top w:val="none" w:sz="0" w:space="0" w:color="auto"/>
        <w:left w:val="none" w:sz="0" w:space="0" w:color="auto"/>
        <w:bottom w:val="none" w:sz="0" w:space="0" w:color="auto"/>
        <w:right w:val="none" w:sz="0" w:space="0" w:color="auto"/>
      </w:divBdr>
    </w:div>
    <w:div w:id="1207176836">
      <w:bodyDiv w:val="1"/>
      <w:marLeft w:val="0"/>
      <w:marRight w:val="0"/>
      <w:marTop w:val="0"/>
      <w:marBottom w:val="0"/>
      <w:divBdr>
        <w:top w:val="none" w:sz="0" w:space="0" w:color="auto"/>
        <w:left w:val="none" w:sz="0" w:space="0" w:color="auto"/>
        <w:bottom w:val="none" w:sz="0" w:space="0" w:color="auto"/>
        <w:right w:val="none" w:sz="0" w:space="0" w:color="auto"/>
      </w:divBdr>
    </w:div>
    <w:div w:id="1280181658">
      <w:bodyDiv w:val="1"/>
      <w:marLeft w:val="0"/>
      <w:marRight w:val="0"/>
      <w:marTop w:val="0"/>
      <w:marBottom w:val="0"/>
      <w:divBdr>
        <w:top w:val="none" w:sz="0" w:space="0" w:color="auto"/>
        <w:left w:val="none" w:sz="0" w:space="0" w:color="auto"/>
        <w:bottom w:val="none" w:sz="0" w:space="0" w:color="auto"/>
        <w:right w:val="none" w:sz="0" w:space="0" w:color="auto"/>
      </w:divBdr>
    </w:div>
    <w:div w:id="1301574742">
      <w:bodyDiv w:val="1"/>
      <w:marLeft w:val="0"/>
      <w:marRight w:val="0"/>
      <w:marTop w:val="0"/>
      <w:marBottom w:val="0"/>
      <w:divBdr>
        <w:top w:val="none" w:sz="0" w:space="0" w:color="auto"/>
        <w:left w:val="none" w:sz="0" w:space="0" w:color="auto"/>
        <w:bottom w:val="none" w:sz="0" w:space="0" w:color="auto"/>
        <w:right w:val="none" w:sz="0" w:space="0" w:color="auto"/>
      </w:divBdr>
    </w:div>
    <w:div w:id="1313827208">
      <w:bodyDiv w:val="1"/>
      <w:marLeft w:val="0"/>
      <w:marRight w:val="0"/>
      <w:marTop w:val="0"/>
      <w:marBottom w:val="0"/>
      <w:divBdr>
        <w:top w:val="none" w:sz="0" w:space="0" w:color="auto"/>
        <w:left w:val="none" w:sz="0" w:space="0" w:color="auto"/>
        <w:bottom w:val="none" w:sz="0" w:space="0" w:color="auto"/>
        <w:right w:val="none" w:sz="0" w:space="0" w:color="auto"/>
      </w:divBdr>
    </w:div>
    <w:div w:id="1317764230">
      <w:bodyDiv w:val="1"/>
      <w:marLeft w:val="0"/>
      <w:marRight w:val="0"/>
      <w:marTop w:val="0"/>
      <w:marBottom w:val="0"/>
      <w:divBdr>
        <w:top w:val="none" w:sz="0" w:space="0" w:color="auto"/>
        <w:left w:val="none" w:sz="0" w:space="0" w:color="auto"/>
        <w:bottom w:val="none" w:sz="0" w:space="0" w:color="auto"/>
        <w:right w:val="none" w:sz="0" w:space="0" w:color="auto"/>
      </w:divBdr>
    </w:div>
    <w:div w:id="1324121329">
      <w:bodyDiv w:val="1"/>
      <w:marLeft w:val="0"/>
      <w:marRight w:val="0"/>
      <w:marTop w:val="0"/>
      <w:marBottom w:val="0"/>
      <w:divBdr>
        <w:top w:val="none" w:sz="0" w:space="0" w:color="auto"/>
        <w:left w:val="none" w:sz="0" w:space="0" w:color="auto"/>
        <w:bottom w:val="none" w:sz="0" w:space="0" w:color="auto"/>
        <w:right w:val="none" w:sz="0" w:space="0" w:color="auto"/>
      </w:divBdr>
    </w:div>
    <w:div w:id="1328172037">
      <w:bodyDiv w:val="1"/>
      <w:marLeft w:val="0"/>
      <w:marRight w:val="0"/>
      <w:marTop w:val="0"/>
      <w:marBottom w:val="0"/>
      <w:divBdr>
        <w:top w:val="none" w:sz="0" w:space="0" w:color="auto"/>
        <w:left w:val="none" w:sz="0" w:space="0" w:color="auto"/>
        <w:bottom w:val="none" w:sz="0" w:space="0" w:color="auto"/>
        <w:right w:val="none" w:sz="0" w:space="0" w:color="auto"/>
      </w:divBdr>
    </w:div>
    <w:div w:id="1330792172">
      <w:bodyDiv w:val="1"/>
      <w:marLeft w:val="0"/>
      <w:marRight w:val="0"/>
      <w:marTop w:val="0"/>
      <w:marBottom w:val="0"/>
      <w:divBdr>
        <w:top w:val="none" w:sz="0" w:space="0" w:color="auto"/>
        <w:left w:val="none" w:sz="0" w:space="0" w:color="auto"/>
        <w:bottom w:val="none" w:sz="0" w:space="0" w:color="auto"/>
        <w:right w:val="none" w:sz="0" w:space="0" w:color="auto"/>
      </w:divBdr>
    </w:div>
    <w:div w:id="1409156809">
      <w:bodyDiv w:val="1"/>
      <w:marLeft w:val="0"/>
      <w:marRight w:val="0"/>
      <w:marTop w:val="0"/>
      <w:marBottom w:val="0"/>
      <w:divBdr>
        <w:top w:val="none" w:sz="0" w:space="0" w:color="auto"/>
        <w:left w:val="none" w:sz="0" w:space="0" w:color="auto"/>
        <w:bottom w:val="none" w:sz="0" w:space="0" w:color="auto"/>
        <w:right w:val="none" w:sz="0" w:space="0" w:color="auto"/>
      </w:divBdr>
    </w:div>
    <w:div w:id="1443957991">
      <w:bodyDiv w:val="1"/>
      <w:marLeft w:val="0"/>
      <w:marRight w:val="0"/>
      <w:marTop w:val="0"/>
      <w:marBottom w:val="0"/>
      <w:divBdr>
        <w:top w:val="none" w:sz="0" w:space="0" w:color="auto"/>
        <w:left w:val="none" w:sz="0" w:space="0" w:color="auto"/>
        <w:bottom w:val="none" w:sz="0" w:space="0" w:color="auto"/>
        <w:right w:val="none" w:sz="0" w:space="0" w:color="auto"/>
      </w:divBdr>
    </w:div>
    <w:div w:id="1466191073">
      <w:bodyDiv w:val="1"/>
      <w:marLeft w:val="0"/>
      <w:marRight w:val="0"/>
      <w:marTop w:val="0"/>
      <w:marBottom w:val="0"/>
      <w:divBdr>
        <w:top w:val="none" w:sz="0" w:space="0" w:color="auto"/>
        <w:left w:val="none" w:sz="0" w:space="0" w:color="auto"/>
        <w:bottom w:val="none" w:sz="0" w:space="0" w:color="auto"/>
        <w:right w:val="none" w:sz="0" w:space="0" w:color="auto"/>
      </w:divBdr>
    </w:div>
    <w:div w:id="1471895294">
      <w:bodyDiv w:val="1"/>
      <w:marLeft w:val="0"/>
      <w:marRight w:val="0"/>
      <w:marTop w:val="0"/>
      <w:marBottom w:val="0"/>
      <w:divBdr>
        <w:top w:val="none" w:sz="0" w:space="0" w:color="auto"/>
        <w:left w:val="none" w:sz="0" w:space="0" w:color="auto"/>
        <w:bottom w:val="none" w:sz="0" w:space="0" w:color="auto"/>
        <w:right w:val="none" w:sz="0" w:space="0" w:color="auto"/>
      </w:divBdr>
    </w:div>
    <w:div w:id="1553998729">
      <w:bodyDiv w:val="1"/>
      <w:marLeft w:val="0"/>
      <w:marRight w:val="0"/>
      <w:marTop w:val="0"/>
      <w:marBottom w:val="0"/>
      <w:divBdr>
        <w:top w:val="none" w:sz="0" w:space="0" w:color="auto"/>
        <w:left w:val="none" w:sz="0" w:space="0" w:color="auto"/>
        <w:bottom w:val="none" w:sz="0" w:space="0" w:color="auto"/>
        <w:right w:val="none" w:sz="0" w:space="0" w:color="auto"/>
      </w:divBdr>
    </w:div>
    <w:div w:id="1596788370">
      <w:bodyDiv w:val="1"/>
      <w:marLeft w:val="0"/>
      <w:marRight w:val="0"/>
      <w:marTop w:val="0"/>
      <w:marBottom w:val="0"/>
      <w:divBdr>
        <w:top w:val="none" w:sz="0" w:space="0" w:color="auto"/>
        <w:left w:val="none" w:sz="0" w:space="0" w:color="auto"/>
        <w:bottom w:val="none" w:sz="0" w:space="0" w:color="auto"/>
        <w:right w:val="none" w:sz="0" w:space="0" w:color="auto"/>
      </w:divBdr>
    </w:div>
    <w:div w:id="1605502754">
      <w:bodyDiv w:val="1"/>
      <w:marLeft w:val="0"/>
      <w:marRight w:val="0"/>
      <w:marTop w:val="0"/>
      <w:marBottom w:val="0"/>
      <w:divBdr>
        <w:top w:val="none" w:sz="0" w:space="0" w:color="auto"/>
        <w:left w:val="none" w:sz="0" w:space="0" w:color="auto"/>
        <w:bottom w:val="none" w:sz="0" w:space="0" w:color="auto"/>
        <w:right w:val="none" w:sz="0" w:space="0" w:color="auto"/>
      </w:divBdr>
    </w:div>
    <w:div w:id="1649089867">
      <w:bodyDiv w:val="1"/>
      <w:marLeft w:val="0"/>
      <w:marRight w:val="0"/>
      <w:marTop w:val="0"/>
      <w:marBottom w:val="0"/>
      <w:divBdr>
        <w:top w:val="none" w:sz="0" w:space="0" w:color="auto"/>
        <w:left w:val="none" w:sz="0" w:space="0" w:color="auto"/>
        <w:bottom w:val="none" w:sz="0" w:space="0" w:color="auto"/>
        <w:right w:val="none" w:sz="0" w:space="0" w:color="auto"/>
      </w:divBdr>
    </w:div>
    <w:div w:id="1704015687">
      <w:bodyDiv w:val="1"/>
      <w:marLeft w:val="0"/>
      <w:marRight w:val="0"/>
      <w:marTop w:val="0"/>
      <w:marBottom w:val="0"/>
      <w:divBdr>
        <w:top w:val="none" w:sz="0" w:space="0" w:color="auto"/>
        <w:left w:val="none" w:sz="0" w:space="0" w:color="auto"/>
        <w:bottom w:val="none" w:sz="0" w:space="0" w:color="auto"/>
        <w:right w:val="none" w:sz="0" w:space="0" w:color="auto"/>
      </w:divBdr>
    </w:div>
    <w:div w:id="1771774690">
      <w:bodyDiv w:val="1"/>
      <w:marLeft w:val="0"/>
      <w:marRight w:val="0"/>
      <w:marTop w:val="0"/>
      <w:marBottom w:val="0"/>
      <w:divBdr>
        <w:top w:val="none" w:sz="0" w:space="0" w:color="auto"/>
        <w:left w:val="none" w:sz="0" w:space="0" w:color="auto"/>
        <w:bottom w:val="none" w:sz="0" w:space="0" w:color="auto"/>
        <w:right w:val="none" w:sz="0" w:space="0" w:color="auto"/>
      </w:divBdr>
    </w:div>
    <w:div w:id="1774280412">
      <w:bodyDiv w:val="1"/>
      <w:marLeft w:val="0"/>
      <w:marRight w:val="0"/>
      <w:marTop w:val="0"/>
      <w:marBottom w:val="0"/>
      <w:divBdr>
        <w:top w:val="none" w:sz="0" w:space="0" w:color="auto"/>
        <w:left w:val="none" w:sz="0" w:space="0" w:color="auto"/>
        <w:bottom w:val="none" w:sz="0" w:space="0" w:color="auto"/>
        <w:right w:val="none" w:sz="0" w:space="0" w:color="auto"/>
      </w:divBdr>
      <w:divsChild>
        <w:div w:id="184438989">
          <w:marLeft w:val="0"/>
          <w:marRight w:val="0"/>
          <w:marTop w:val="0"/>
          <w:marBottom w:val="0"/>
          <w:divBdr>
            <w:top w:val="none" w:sz="0" w:space="0" w:color="auto"/>
            <w:left w:val="none" w:sz="0" w:space="0" w:color="auto"/>
            <w:bottom w:val="none" w:sz="0" w:space="0" w:color="auto"/>
            <w:right w:val="none" w:sz="0" w:space="0" w:color="auto"/>
          </w:divBdr>
          <w:divsChild>
            <w:div w:id="1247230727">
              <w:marLeft w:val="0"/>
              <w:marRight w:val="0"/>
              <w:marTop w:val="0"/>
              <w:marBottom w:val="0"/>
              <w:divBdr>
                <w:top w:val="none" w:sz="0" w:space="0" w:color="auto"/>
                <w:left w:val="none" w:sz="0" w:space="0" w:color="auto"/>
                <w:bottom w:val="none" w:sz="0" w:space="0" w:color="auto"/>
                <w:right w:val="none" w:sz="0" w:space="0" w:color="auto"/>
              </w:divBdr>
              <w:divsChild>
                <w:div w:id="1391149910">
                  <w:marLeft w:val="0"/>
                  <w:marRight w:val="0"/>
                  <w:marTop w:val="0"/>
                  <w:marBottom w:val="0"/>
                  <w:divBdr>
                    <w:top w:val="none" w:sz="0" w:space="0" w:color="auto"/>
                    <w:left w:val="none" w:sz="0" w:space="0" w:color="auto"/>
                    <w:bottom w:val="none" w:sz="0" w:space="0" w:color="auto"/>
                    <w:right w:val="none" w:sz="0" w:space="0" w:color="auto"/>
                  </w:divBdr>
                  <w:divsChild>
                    <w:div w:id="816266223">
                      <w:marLeft w:val="0"/>
                      <w:marRight w:val="0"/>
                      <w:marTop w:val="0"/>
                      <w:marBottom w:val="0"/>
                      <w:divBdr>
                        <w:top w:val="none" w:sz="0" w:space="0" w:color="auto"/>
                        <w:left w:val="none" w:sz="0" w:space="0" w:color="auto"/>
                        <w:bottom w:val="none" w:sz="0" w:space="0" w:color="auto"/>
                        <w:right w:val="none" w:sz="0" w:space="0" w:color="auto"/>
                      </w:divBdr>
                      <w:divsChild>
                        <w:div w:id="294797248">
                          <w:marLeft w:val="0"/>
                          <w:marRight w:val="0"/>
                          <w:marTop w:val="0"/>
                          <w:marBottom w:val="0"/>
                          <w:divBdr>
                            <w:top w:val="none" w:sz="0" w:space="0" w:color="auto"/>
                            <w:left w:val="none" w:sz="0" w:space="0" w:color="auto"/>
                            <w:bottom w:val="none" w:sz="0" w:space="0" w:color="auto"/>
                            <w:right w:val="none" w:sz="0" w:space="0" w:color="auto"/>
                          </w:divBdr>
                        </w:div>
                      </w:divsChild>
                    </w:div>
                    <w:div w:id="9038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30550">
      <w:bodyDiv w:val="1"/>
      <w:marLeft w:val="0"/>
      <w:marRight w:val="0"/>
      <w:marTop w:val="0"/>
      <w:marBottom w:val="0"/>
      <w:divBdr>
        <w:top w:val="none" w:sz="0" w:space="0" w:color="auto"/>
        <w:left w:val="none" w:sz="0" w:space="0" w:color="auto"/>
        <w:bottom w:val="none" w:sz="0" w:space="0" w:color="auto"/>
        <w:right w:val="none" w:sz="0" w:space="0" w:color="auto"/>
      </w:divBdr>
    </w:div>
    <w:div w:id="1849061366">
      <w:bodyDiv w:val="1"/>
      <w:marLeft w:val="0"/>
      <w:marRight w:val="0"/>
      <w:marTop w:val="0"/>
      <w:marBottom w:val="0"/>
      <w:divBdr>
        <w:top w:val="none" w:sz="0" w:space="0" w:color="auto"/>
        <w:left w:val="none" w:sz="0" w:space="0" w:color="auto"/>
        <w:bottom w:val="none" w:sz="0" w:space="0" w:color="auto"/>
        <w:right w:val="none" w:sz="0" w:space="0" w:color="auto"/>
      </w:divBdr>
    </w:div>
    <w:div w:id="1919169198">
      <w:bodyDiv w:val="1"/>
      <w:marLeft w:val="0"/>
      <w:marRight w:val="0"/>
      <w:marTop w:val="0"/>
      <w:marBottom w:val="0"/>
      <w:divBdr>
        <w:top w:val="none" w:sz="0" w:space="0" w:color="auto"/>
        <w:left w:val="none" w:sz="0" w:space="0" w:color="auto"/>
        <w:bottom w:val="none" w:sz="0" w:space="0" w:color="auto"/>
        <w:right w:val="none" w:sz="0" w:space="0" w:color="auto"/>
      </w:divBdr>
    </w:div>
    <w:div w:id="1950814661">
      <w:bodyDiv w:val="1"/>
      <w:marLeft w:val="0"/>
      <w:marRight w:val="0"/>
      <w:marTop w:val="0"/>
      <w:marBottom w:val="0"/>
      <w:divBdr>
        <w:top w:val="none" w:sz="0" w:space="0" w:color="auto"/>
        <w:left w:val="none" w:sz="0" w:space="0" w:color="auto"/>
        <w:bottom w:val="none" w:sz="0" w:space="0" w:color="auto"/>
        <w:right w:val="none" w:sz="0" w:space="0" w:color="auto"/>
      </w:divBdr>
    </w:div>
    <w:div w:id="1977639615">
      <w:bodyDiv w:val="1"/>
      <w:marLeft w:val="0"/>
      <w:marRight w:val="0"/>
      <w:marTop w:val="0"/>
      <w:marBottom w:val="0"/>
      <w:divBdr>
        <w:top w:val="none" w:sz="0" w:space="0" w:color="auto"/>
        <w:left w:val="none" w:sz="0" w:space="0" w:color="auto"/>
        <w:bottom w:val="none" w:sz="0" w:space="0" w:color="auto"/>
        <w:right w:val="none" w:sz="0" w:space="0" w:color="auto"/>
      </w:divBdr>
    </w:div>
    <w:div w:id="2046563985">
      <w:bodyDiv w:val="1"/>
      <w:marLeft w:val="0"/>
      <w:marRight w:val="0"/>
      <w:marTop w:val="0"/>
      <w:marBottom w:val="0"/>
      <w:divBdr>
        <w:top w:val="none" w:sz="0" w:space="0" w:color="auto"/>
        <w:left w:val="none" w:sz="0" w:space="0" w:color="auto"/>
        <w:bottom w:val="none" w:sz="0" w:space="0" w:color="auto"/>
        <w:right w:val="none" w:sz="0" w:space="0" w:color="auto"/>
      </w:divBdr>
    </w:div>
    <w:div w:id="20693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B7235-50EC-4461-A8BF-BE1B4BAC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1056</Words>
  <Characters>5808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lannes.j</dc:creator>
  <cp:lastModifiedBy>LANNES Jean-Marcel</cp:lastModifiedBy>
  <cp:revision>13</cp:revision>
  <cp:lastPrinted>2012-05-23T08:56:00Z</cp:lastPrinted>
  <dcterms:created xsi:type="dcterms:W3CDTF">2016-06-02T14:39:00Z</dcterms:created>
  <dcterms:modified xsi:type="dcterms:W3CDTF">2016-06-10T13:32:00Z</dcterms:modified>
</cp:coreProperties>
</file>