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3D" w:rsidRDefault="00080E3D">
      <w:pPr>
        <w:jc w:val="center"/>
        <w:rPr>
          <w:b/>
          <w:sz w:val="24"/>
        </w:rPr>
      </w:pPr>
      <w:r>
        <w:rPr>
          <w:b/>
          <w:sz w:val="24"/>
        </w:rPr>
        <w:t>CHAPTER 400 – INVESTIGATIONS</w:t>
      </w:r>
    </w:p>
    <w:p w:rsidR="00080E3D" w:rsidRDefault="00080E3D">
      <w:pPr>
        <w:rPr>
          <w:sz w:val="24"/>
        </w:rPr>
      </w:pPr>
    </w:p>
    <w:p w:rsidR="00080E3D" w:rsidRDefault="00080E3D">
      <w:pPr>
        <w:rPr>
          <w:b/>
          <w:sz w:val="24"/>
        </w:rPr>
      </w:pPr>
      <w:r>
        <w:rPr>
          <w:b/>
          <w:sz w:val="24"/>
        </w:rPr>
        <w:t xml:space="preserve">(400)-400     </w:t>
      </w:r>
      <w:bookmarkStart w:id="0" w:name="TheftOfPropertyInvestigations"/>
      <w:r>
        <w:rPr>
          <w:b/>
          <w:sz w:val="24"/>
          <w:u w:val="single"/>
        </w:rPr>
        <w:t>Theft of Property Type Investigations</w:t>
      </w:r>
      <w:bookmarkEnd w:id="0"/>
    </w:p>
    <w:p w:rsidR="00080E3D" w:rsidRDefault="00080E3D">
      <w:pPr>
        <w:rPr>
          <w:sz w:val="24"/>
        </w:rPr>
      </w:pPr>
    </w:p>
    <w:p w:rsidR="00080E3D" w:rsidRDefault="00080E3D">
      <w:pPr>
        <w:rPr>
          <w:sz w:val="24"/>
        </w:rPr>
      </w:pPr>
      <w:r>
        <w:rPr>
          <w:sz w:val="24"/>
        </w:rPr>
        <w:t xml:space="preserve">400.1   </w:t>
      </w:r>
      <w:bookmarkStart w:id="1" w:name="Overview"/>
      <w:r>
        <w:rPr>
          <w:sz w:val="24"/>
          <w:u w:val="single"/>
        </w:rPr>
        <w:t>Overview.</w:t>
      </w:r>
      <w:bookmarkEnd w:id="1"/>
    </w:p>
    <w:p w:rsidR="00080E3D" w:rsidRDefault="00080E3D">
      <w:pPr>
        <w:rPr>
          <w:sz w:val="24"/>
        </w:rPr>
      </w:pPr>
      <w:r>
        <w:rPr>
          <w:sz w:val="24"/>
        </w:rPr>
        <w:t xml:space="preserve">This Section includes the following information related to theft of property type investigations: </w:t>
      </w:r>
    </w:p>
    <w:p w:rsidR="00080E3D" w:rsidRDefault="00080E3D">
      <w:pPr>
        <w:rPr>
          <w:sz w:val="24"/>
        </w:rPr>
      </w:pPr>
    </w:p>
    <w:p w:rsidR="00080E3D" w:rsidRDefault="001A055D">
      <w:pPr>
        <w:numPr>
          <w:ilvl w:val="0"/>
          <w:numId w:val="3"/>
        </w:numPr>
        <w:rPr>
          <w:sz w:val="24"/>
        </w:rPr>
      </w:pPr>
      <w:hyperlink w:anchor="TheftOfGovernmentProperty" w:history="1">
        <w:r w:rsidR="00080E3D">
          <w:rPr>
            <w:rStyle w:val="Hyperlink"/>
            <w:sz w:val="24"/>
          </w:rPr>
          <w:t>Theft of Government Property</w:t>
        </w:r>
      </w:hyperlink>
    </w:p>
    <w:p w:rsidR="00080E3D" w:rsidRDefault="001A055D">
      <w:pPr>
        <w:numPr>
          <w:ilvl w:val="0"/>
          <w:numId w:val="3"/>
        </w:numPr>
        <w:rPr>
          <w:sz w:val="24"/>
        </w:rPr>
      </w:pPr>
      <w:hyperlink w:anchor="TheftOfNonGovernmentProperty" w:history="1">
        <w:r w:rsidR="00080E3D">
          <w:rPr>
            <w:rStyle w:val="Hyperlink"/>
            <w:sz w:val="24"/>
          </w:rPr>
          <w:t>Theft of Non-Government Property</w:t>
        </w:r>
      </w:hyperlink>
    </w:p>
    <w:p w:rsidR="00080E3D" w:rsidRDefault="001A055D">
      <w:pPr>
        <w:numPr>
          <w:ilvl w:val="0"/>
          <w:numId w:val="3"/>
        </w:numPr>
        <w:rPr>
          <w:sz w:val="24"/>
        </w:rPr>
      </w:pPr>
      <w:hyperlink w:anchor="ProsecutionLocalJurisdictions" w:history="1">
        <w:r w:rsidR="00080E3D">
          <w:rPr>
            <w:rStyle w:val="Hyperlink"/>
            <w:sz w:val="24"/>
          </w:rPr>
          <w:t>Prosecution in Local Jurisdictions</w:t>
        </w:r>
      </w:hyperlink>
    </w:p>
    <w:p w:rsidR="00080E3D" w:rsidRDefault="001A055D">
      <w:pPr>
        <w:numPr>
          <w:ilvl w:val="0"/>
          <w:numId w:val="3"/>
        </w:numPr>
        <w:rPr>
          <w:sz w:val="24"/>
        </w:rPr>
      </w:pPr>
      <w:hyperlink w:anchor="ROIFormat" w:history="1">
        <w:r w:rsidR="00080E3D">
          <w:rPr>
            <w:rStyle w:val="Hyperlink"/>
            <w:sz w:val="24"/>
          </w:rPr>
          <w:t>Report of Investigation Format</w:t>
        </w:r>
      </w:hyperlink>
      <w:r w:rsidR="00080E3D">
        <w:rPr>
          <w:sz w:val="24"/>
        </w:rPr>
        <w:t xml:space="preserve">  </w:t>
      </w:r>
    </w:p>
    <w:p w:rsidR="00080E3D" w:rsidRDefault="00080E3D">
      <w:pPr>
        <w:rPr>
          <w:sz w:val="24"/>
        </w:rPr>
      </w:pPr>
    </w:p>
    <w:p w:rsidR="00080E3D" w:rsidRDefault="00080E3D">
      <w:pPr>
        <w:rPr>
          <w:sz w:val="24"/>
        </w:rPr>
      </w:pPr>
      <w:r>
        <w:rPr>
          <w:sz w:val="24"/>
        </w:rPr>
        <w:t xml:space="preserve">400.1.1   </w:t>
      </w:r>
      <w:hyperlink r:id="rId8" w:history="1">
        <w:r w:rsidRPr="00C33DD5">
          <w:rPr>
            <w:rStyle w:val="Hyperlink"/>
            <w:sz w:val="24"/>
          </w:rPr>
          <w:t>Acronyms Table</w:t>
        </w:r>
      </w:hyperlink>
      <w:r w:rsidRPr="00C33DD5">
        <w:rPr>
          <w:sz w:val="24"/>
        </w:rPr>
        <w:t xml:space="preserve">. </w:t>
      </w:r>
      <w:r>
        <w:rPr>
          <w:sz w:val="24"/>
        </w:rPr>
        <w:t xml:space="preserve"> </w:t>
      </w:r>
    </w:p>
    <w:p w:rsidR="00080E3D" w:rsidRDefault="00080E3D">
      <w:pPr>
        <w:rPr>
          <w:sz w:val="24"/>
        </w:rPr>
      </w:pPr>
    </w:p>
    <w:p w:rsidR="00080E3D" w:rsidRDefault="00080E3D">
      <w:pPr>
        <w:rPr>
          <w:sz w:val="24"/>
        </w:rPr>
      </w:pPr>
      <w:r>
        <w:rPr>
          <w:sz w:val="24"/>
        </w:rPr>
        <w:t xml:space="preserve">400.2   </w:t>
      </w:r>
      <w:bookmarkStart w:id="2" w:name="TheftOfGovernmentProperty"/>
      <w:r>
        <w:rPr>
          <w:sz w:val="24"/>
          <w:u w:val="single"/>
        </w:rPr>
        <w:t>Theft of Government Property.</w:t>
      </w:r>
      <w:bookmarkEnd w:id="2"/>
    </w:p>
    <w:p w:rsidR="00080E3D" w:rsidRDefault="00080E3D">
      <w:pPr>
        <w:rPr>
          <w:sz w:val="24"/>
        </w:rPr>
      </w:pPr>
      <w:r>
        <w:rPr>
          <w:sz w:val="24"/>
        </w:rPr>
        <w:t xml:space="preserve">Sections 233 and 333 of </w:t>
      </w:r>
      <w:hyperlink r:id="rId9" w:history="1">
        <w:r>
          <w:rPr>
            <w:rStyle w:val="Hyperlink"/>
            <w:sz w:val="24"/>
          </w:rPr>
          <w:t>IR</w:t>
        </w:r>
        <w:bookmarkStart w:id="3" w:name="_Hlt505750351"/>
        <w:r>
          <w:rPr>
            <w:rStyle w:val="Hyperlink"/>
            <w:sz w:val="24"/>
          </w:rPr>
          <w:t>M</w:t>
        </w:r>
        <w:bookmarkEnd w:id="3"/>
        <w:r>
          <w:rPr>
            <w:rStyle w:val="Hyperlink"/>
            <w:sz w:val="24"/>
          </w:rPr>
          <w:t xml:space="preserve"> 1(16)12, Manager's Se</w:t>
        </w:r>
        <w:bookmarkStart w:id="4" w:name="_Hlt505750363"/>
        <w:r>
          <w:rPr>
            <w:rStyle w:val="Hyperlink"/>
            <w:sz w:val="24"/>
          </w:rPr>
          <w:t>c</w:t>
        </w:r>
        <w:bookmarkEnd w:id="4"/>
        <w:r>
          <w:rPr>
            <w:rStyle w:val="Hyperlink"/>
            <w:sz w:val="24"/>
          </w:rPr>
          <w:t>u</w:t>
        </w:r>
        <w:bookmarkStart w:id="5" w:name="_Hlt505750362"/>
        <w:r>
          <w:rPr>
            <w:rStyle w:val="Hyperlink"/>
            <w:sz w:val="24"/>
          </w:rPr>
          <w:t>r</w:t>
        </w:r>
        <w:bookmarkEnd w:id="5"/>
        <w:r>
          <w:rPr>
            <w:rStyle w:val="Hyperlink"/>
            <w:sz w:val="24"/>
          </w:rPr>
          <w:t>ity Ha</w:t>
        </w:r>
        <w:bookmarkStart w:id="6" w:name="_Hlt505750364"/>
        <w:r>
          <w:rPr>
            <w:rStyle w:val="Hyperlink"/>
            <w:sz w:val="24"/>
          </w:rPr>
          <w:t>n</w:t>
        </w:r>
        <w:bookmarkEnd w:id="6"/>
        <w:r>
          <w:rPr>
            <w:rStyle w:val="Hyperlink"/>
            <w:sz w:val="24"/>
          </w:rPr>
          <w:t>dbook</w:t>
        </w:r>
      </w:hyperlink>
      <w:r>
        <w:rPr>
          <w:sz w:val="24"/>
        </w:rPr>
        <w:t xml:space="preserve"> require that Internal Revenue Service (IRS) employees promptly report all thefts of government property to the local IRS Security function.  </w:t>
      </w:r>
    </w:p>
    <w:p w:rsidR="00080E3D" w:rsidRDefault="00080E3D">
      <w:pPr>
        <w:rPr>
          <w:sz w:val="24"/>
        </w:rPr>
      </w:pPr>
    </w:p>
    <w:p w:rsidR="00080E3D" w:rsidRDefault="00080E3D">
      <w:pPr>
        <w:rPr>
          <w:sz w:val="24"/>
        </w:rPr>
      </w:pPr>
      <w:r>
        <w:rPr>
          <w:sz w:val="24"/>
        </w:rPr>
        <w:t xml:space="preserve">The local IRS Security function immediately notifies TIGTA and the Federal Protective Service (FPS) office supporting the office where the </w:t>
      </w:r>
      <w:r>
        <w:rPr>
          <w:sz w:val="24"/>
        </w:rPr>
        <w:tab/>
        <w:t xml:space="preserve">incident occurred.  After the initial notification, the local IRS Security function furnishes TIGTA and FPS a copy of the Offense/Incident Report (GSA Form 3155). </w:t>
      </w:r>
    </w:p>
    <w:p w:rsidR="00080E3D" w:rsidRDefault="00080E3D">
      <w:pPr>
        <w:rPr>
          <w:sz w:val="24"/>
        </w:rPr>
      </w:pPr>
    </w:p>
    <w:p w:rsidR="00080E3D" w:rsidRDefault="00080E3D">
      <w:pPr>
        <w:rPr>
          <w:sz w:val="24"/>
        </w:rPr>
      </w:pPr>
      <w:r>
        <w:rPr>
          <w:sz w:val="24"/>
        </w:rPr>
        <w:t xml:space="preserve">400.2.1   </w:t>
      </w:r>
      <w:r>
        <w:rPr>
          <w:sz w:val="24"/>
          <w:u w:val="single"/>
        </w:rPr>
        <w:t>Initiation Procedures.</w:t>
      </w:r>
      <w:r>
        <w:rPr>
          <w:sz w:val="24"/>
        </w:rPr>
        <w:t xml:space="preserve">   When initiation of a theft of government property type investigation is warranted, initiate an investigation in </w:t>
      </w:r>
      <w:r>
        <w:rPr>
          <w:rFonts w:cs="Arial"/>
          <w:sz w:val="24"/>
        </w:rPr>
        <w:t>the Performance and Results Information System (</w:t>
      </w:r>
      <w:r>
        <w:rPr>
          <w:sz w:val="24"/>
        </w:rPr>
        <w:t>PARIS) using the “Financial Fraud” Profile and violation code</w:t>
      </w:r>
      <w:r w:rsidR="00DE3F79">
        <w:rPr>
          <w:sz w:val="24"/>
        </w:rPr>
        <w:t xml:space="preserve"> </w:t>
      </w:r>
      <w:r w:rsidR="00DE3F79" w:rsidRPr="00DE3F79">
        <w:rPr>
          <w:sz w:val="24"/>
        </w:rPr>
        <w:t>428 - Theft/Embezzlement-IRS Funds or Property (Non-IT Asset)</w:t>
      </w:r>
      <w:r>
        <w:rPr>
          <w:sz w:val="24"/>
        </w:rPr>
        <w:t xml:space="preserve">.  Initiate and title the investigation as follows: </w:t>
      </w:r>
    </w:p>
    <w:p w:rsidR="00080E3D" w:rsidRDefault="00080E3D">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ayout w:type="fixed"/>
        <w:tblCellMar>
          <w:left w:w="120" w:type="dxa"/>
          <w:right w:w="120" w:type="dxa"/>
        </w:tblCellMar>
        <w:tblLook w:val="0000" w:firstRow="0" w:lastRow="0" w:firstColumn="0" w:lastColumn="0" w:noHBand="0" w:noVBand="0"/>
      </w:tblPr>
      <w:tblGrid>
        <w:gridCol w:w="4095"/>
        <w:gridCol w:w="4635"/>
      </w:tblGrid>
      <w:tr w:rsidR="00080E3D">
        <w:trPr>
          <w:cantSplit/>
          <w:trHeight w:val="384"/>
          <w:jc w:val="center"/>
        </w:trPr>
        <w:tc>
          <w:tcPr>
            <w:tcW w:w="4095" w:type="dxa"/>
            <w:tcBorders>
              <w:bottom w:val="single" w:sz="4" w:space="0" w:color="auto"/>
            </w:tcBorders>
            <w:shd w:val="pct5" w:color="auto" w:fill="auto"/>
          </w:tcPr>
          <w:p w:rsidR="00080E3D" w:rsidRDefault="00080E3D">
            <w:pPr>
              <w:rPr>
                <w:b/>
                <w:bCs/>
                <w:sz w:val="24"/>
              </w:rPr>
            </w:pPr>
            <w:r>
              <w:rPr>
                <w:b/>
                <w:bCs/>
                <w:sz w:val="24"/>
              </w:rPr>
              <w:t>If...</w:t>
            </w:r>
          </w:p>
        </w:tc>
        <w:tc>
          <w:tcPr>
            <w:tcW w:w="4635" w:type="dxa"/>
            <w:tcBorders>
              <w:bottom w:val="single" w:sz="4" w:space="0" w:color="auto"/>
            </w:tcBorders>
            <w:shd w:val="pct5" w:color="auto" w:fill="auto"/>
          </w:tcPr>
          <w:p w:rsidR="00080E3D" w:rsidRDefault="00080E3D">
            <w:pPr>
              <w:rPr>
                <w:b/>
                <w:bCs/>
                <w:sz w:val="24"/>
              </w:rPr>
            </w:pPr>
            <w:r>
              <w:rPr>
                <w:b/>
                <w:bCs/>
                <w:sz w:val="24"/>
              </w:rPr>
              <w:t>Then...</w:t>
            </w:r>
          </w:p>
        </w:tc>
      </w:tr>
      <w:tr w:rsidR="00080E3D">
        <w:trPr>
          <w:cantSplit/>
          <w:trHeight w:val="998"/>
          <w:jc w:val="center"/>
        </w:trPr>
        <w:tc>
          <w:tcPr>
            <w:tcW w:w="4095" w:type="dxa"/>
            <w:shd w:val="clear" w:color="auto" w:fill="auto"/>
          </w:tcPr>
          <w:p w:rsidR="00080E3D" w:rsidRDefault="00080E3D">
            <w:pPr>
              <w:rPr>
                <w:sz w:val="24"/>
              </w:rPr>
            </w:pPr>
            <w:r>
              <w:rPr>
                <w:sz w:val="24"/>
              </w:rPr>
              <w:t>The subject was an IRS employee at the time the theft was committed.</w:t>
            </w:r>
          </w:p>
        </w:tc>
        <w:tc>
          <w:tcPr>
            <w:tcW w:w="4635" w:type="dxa"/>
            <w:shd w:val="clear" w:color="auto" w:fill="auto"/>
          </w:tcPr>
          <w:p w:rsidR="00080E3D" w:rsidRDefault="00080E3D">
            <w:pPr>
              <w:rPr>
                <w:sz w:val="24"/>
              </w:rPr>
            </w:pPr>
            <w:r>
              <w:rPr>
                <w:sz w:val="24"/>
              </w:rPr>
              <w:t>Initiate an Employee Investigation.  Title the investigation in the employee’s name.</w:t>
            </w:r>
          </w:p>
        </w:tc>
      </w:tr>
      <w:tr w:rsidR="00080E3D">
        <w:trPr>
          <w:cantSplit/>
          <w:trHeight w:val="2060"/>
          <w:jc w:val="center"/>
        </w:trPr>
        <w:tc>
          <w:tcPr>
            <w:tcW w:w="4095" w:type="dxa"/>
            <w:tcBorders>
              <w:bottom w:val="single" w:sz="4" w:space="0" w:color="auto"/>
            </w:tcBorders>
            <w:shd w:val="clear" w:color="auto" w:fill="auto"/>
          </w:tcPr>
          <w:p w:rsidR="00080E3D" w:rsidRDefault="00080E3D">
            <w:pPr>
              <w:rPr>
                <w:sz w:val="24"/>
              </w:rPr>
            </w:pPr>
            <w:r>
              <w:rPr>
                <w:sz w:val="24"/>
              </w:rPr>
              <w:lastRenderedPageBreak/>
              <w:t>The subject is unknown but based on best information available, is believed to have been an IRS employee at the time the theft was committed.</w:t>
            </w:r>
          </w:p>
        </w:tc>
        <w:tc>
          <w:tcPr>
            <w:tcW w:w="4635" w:type="dxa"/>
            <w:tcBorders>
              <w:bottom w:val="single" w:sz="4" w:space="0" w:color="auto"/>
            </w:tcBorders>
            <w:shd w:val="clear" w:color="auto" w:fill="auto"/>
          </w:tcPr>
          <w:p w:rsidR="00080E3D" w:rsidRDefault="00080E3D">
            <w:pPr>
              <w:rPr>
                <w:sz w:val="24"/>
              </w:rPr>
            </w:pPr>
            <w:r>
              <w:rPr>
                <w:sz w:val="24"/>
              </w:rPr>
              <w:t>Initiate an Employee Investigation.  Title the investigation as "Complaint:" followed by the name of the complainant, if known; or "Allegation:" followed by a phrase describing the nature of the complaint, if complainant is unknown.</w:t>
            </w:r>
          </w:p>
        </w:tc>
      </w:tr>
      <w:tr w:rsidR="00874991">
        <w:trPr>
          <w:cantSplit/>
          <w:trHeight w:val="440"/>
          <w:jc w:val="center"/>
        </w:trPr>
        <w:tc>
          <w:tcPr>
            <w:tcW w:w="4095" w:type="dxa"/>
            <w:tcBorders>
              <w:bottom w:val="single" w:sz="4" w:space="0" w:color="auto"/>
            </w:tcBorders>
            <w:shd w:val="pct5" w:color="auto" w:fill="auto"/>
          </w:tcPr>
          <w:p w:rsidR="00874991" w:rsidRDefault="00874991" w:rsidP="00210A88">
            <w:pPr>
              <w:rPr>
                <w:b/>
                <w:bCs/>
                <w:sz w:val="24"/>
              </w:rPr>
            </w:pPr>
            <w:r>
              <w:rPr>
                <w:b/>
                <w:bCs/>
                <w:sz w:val="24"/>
              </w:rPr>
              <w:t>If...</w:t>
            </w:r>
          </w:p>
        </w:tc>
        <w:tc>
          <w:tcPr>
            <w:tcW w:w="4635" w:type="dxa"/>
            <w:tcBorders>
              <w:bottom w:val="single" w:sz="4" w:space="0" w:color="auto"/>
            </w:tcBorders>
            <w:shd w:val="pct5" w:color="auto" w:fill="auto"/>
          </w:tcPr>
          <w:p w:rsidR="00874991" w:rsidRDefault="00874991" w:rsidP="00210A88">
            <w:pPr>
              <w:rPr>
                <w:b/>
                <w:bCs/>
                <w:sz w:val="24"/>
              </w:rPr>
            </w:pPr>
            <w:r>
              <w:rPr>
                <w:b/>
                <w:bCs/>
                <w:sz w:val="24"/>
              </w:rPr>
              <w:t>Then...</w:t>
            </w:r>
          </w:p>
        </w:tc>
      </w:tr>
      <w:tr w:rsidR="00874991">
        <w:trPr>
          <w:cantSplit/>
          <w:trHeight w:val="1007"/>
          <w:jc w:val="center"/>
        </w:trPr>
        <w:tc>
          <w:tcPr>
            <w:tcW w:w="4095" w:type="dxa"/>
            <w:shd w:val="clear" w:color="auto" w:fill="auto"/>
          </w:tcPr>
          <w:p w:rsidR="00874991" w:rsidRDefault="00874991">
            <w:pPr>
              <w:rPr>
                <w:sz w:val="24"/>
              </w:rPr>
            </w:pPr>
            <w:r>
              <w:rPr>
                <w:sz w:val="24"/>
              </w:rPr>
              <w:t>The subject was a non-employee at the time the theft was committed.</w:t>
            </w:r>
          </w:p>
        </w:tc>
        <w:tc>
          <w:tcPr>
            <w:tcW w:w="4635" w:type="dxa"/>
            <w:shd w:val="clear" w:color="auto" w:fill="auto"/>
          </w:tcPr>
          <w:p w:rsidR="00874991" w:rsidRDefault="00874991">
            <w:pPr>
              <w:rPr>
                <w:sz w:val="24"/>
              </w:rPr>
            </w:pPr>
            <w:r>
              <w:rPr>
                <w:sz w:val="24"/>
              </w:rPr>
              <w:t xml:space="preserve">Initiate a Non-Employee Investigation.  Title the investigation in the non-employee's name.  </w:t>
            </w:r>
          </w:p>
        </w:tc>
      </w:tr>
      <w:tr w:rsidR="00874991">
        <w:trPr>
          <w:cantSplit/>
          <w:trHeight w:val="1880"/>
          <w:jc w:val="center"/>
        </w:trPr>
        <w:tc>
          <w:tcPr>
            <w:tcW w:w="4095" w:type="dxa"/>
            <w:shd w:val="clear" w:color="auto" w:fill="auto"/>
          </w:tcPr>
          <w:p w:rsidR="00874991" w:rsidRDefault="00874991">
            <w:pPr>
              <w:rPr>
                <w:sz w:val="24"/>
              </w:rPr>
            </w:pPr>
            <w:r>
              <w:rPr>
                <w:sz w:val="24"/>
              </w:rPr>
              <w:t xml:space="preserve">The subject is unknown but based on best information available, is believed to not have been an IRS employee at the time the theft was committed. </w:t>
            </w:r>
          </w:p>
        </w:tc>
        <w:tc>
          <w:tcPr>
            <w:tcW w:w="4635" w:type="dxa"/>
            <w:shd w:val="clear" w:color="auto" w:fill="auto"/>
          </w:tcPr>
          <w:p w:rsidR="00874991" w:rsidRDefault="00874991">
            <w:pPr>
              <w:rPr>
                <w:sz w:val="24"/>
              </w:rPr>
            </w:pPr>
            <w:r>
              <w:rPr>
                <w:sz w:val="24"/>
              </w:rPr>
              <w:t>Initiate a Non-Employee Investigation.  Title the investigation as "Complaint:" followed by the name of the complainant, if known; or "Allegation:" followed by a phrase describing the nature of the complaint, if complainant is unknown.</w:t>
            </w:r>
          </w:p>
        </w:tc>
      </w:tr>
    </w:tbl>
    <w:p w:rsidR="00080E3D" w:rsidRDefault="00080E3D">
      <w:pPr>
        <w:rPr>
          <w:sz w:val="24"/>
        </w:rPr>
      </w:pPr>
    </w:p>
    <w:p w:rsidR="00080E3D" w:rsidRDefault="00080E3D">
      <w:pPr>
        <w:rPr>
          <w:sz w:val="24"/>
        </w:rPr>
      </w:pPr>
      <w:r>
        <w:rPr>
          <w:sz w:val="24"/>
        </w:rPr>
        <w:t xml:space="preserve">400.2.2   </w:t>
      </w:r>
      <w:r>
        <w:rPr>
          <w:sz w:val="24"/>
          <w:u w:val="single"/>
        </w:rPr>
        <w:t>Responsibility of Special Agent Taking Complaint.</w:t>
      </w:r>
      <w:r>
        <w:rPr>
          <w:sz w:val="24"/>
        </w:rPr>
        <w:t xml:space="preserve">   When taking a complaint concerning theft of government property, obtain all facts possible, including:</w:t>
      </w:r>
    </w:p>
    <w:p w:rsidR="00080E3D" w:rsidRDefault="00080E3D">
      <w:pPr>
        <w:rPr>
          <w:sz w:val="24"/>
        </w:rPr>
      </w:pPr>
    </w:p>
    <w:p w:rsidR="00080E3D" w:rsidRDefault="00080E3D">
      <w:pPr>
        <w:numPr>
          <w:ilvl w:val="0"/>
          <w:numId w:val="4"/>
        </w:numPr>
        <w:rPr>
          <w:sz w:val="24"/>
        </w:rPr>
      </w:pPr>
      <w:r>
        <w:rPr>
          <w:sz w:val="24"/>
        </w:rPr>
        <w:t>A detailed description regarding the location</w:t>
      </w:r>
    </w:p>
    <w:p w:rsidR="00080E3D" w:rsidRDefault="00080E3D">
      <w:pPr>
        <w:numPr>
          <w:ilvl w:val="0"/>
          <w:numId w:val="4"/>
        </w:numPr>
        <w:rPr>
          <w:sz w:val="24"/>
        </w:rPr>
      </w:pPr>
      <w:r>
        <w:rPr>
          <w:sz w:val="24"/>
        </w:rPr>
        <w:t xml:space="preserve">Identification of the IRS function where theft occurred </w:t>
      </w:r>
    </w:p>
    <w:p w:rsidR="00080E3D" w:rsidRDefault="00080E3D">
      <w:pPr>
        <w:numPr>
          <w:ilvl w:val="0"/>
          <w:numId w:val="4"/>
        </w:numPr>
        <w:rPr>
          <w:sz w:val="24"/>
        </w:rPr>
      </w:pPr>
      <w:r>
        <w:rPr>
          <w:sz w:val="24"/>
        </w:rPr>
        <w:t>Date, time and method of entry</w:t>
      </w:r>
    </w:p>
    <w:p w:rsidR="00080E3D" w:rsidRDefault="00080E3D">
      <w:pPr>
        <w:numPr>
          <w:ilvl w:val="0"/>
          <w:numId w:val="4"/>
        </w:numPr>
        <w:rPr>
          <w:sz w:val="24"/>
        </w:rPr>
      </w:pPr>
      <w:r>
        <w:rPr>
          <w:sz w:val="24"/>
        </w:rPr>
        <w:t>Description of damage</w:t>
      </w:r>
    </w:p>
    <w:p w:rsidR="00080E3D" w:rsidRDefault="00080E3D">
      <w:pPr>
        <w:numPr>
          <w:ilvl w:val="0"/>
          <w:numId w:val="4"/>
        </w:numPr>
        <w:rPr>
          <w:sz w:val="24"/>
        </w:rPr>
      </w:pPr>
      <w:r>
        <w:rPr>
          <w:sz w:val="24"/>
        </w:rPr>
        <w:t>Description, including model and serial numbers, of any government property stolen or lost</w:t>
      </w:r>
    </w:p>
    <w:p w:rsidR="00080E3D" w:rsidRDefault="00080E3D">
      <w:pPr>
        <w:numPr>
          <w:ilvl w:val="0"/>
          <w:numId w:val="4"/>
        </w:numPr>
        <w:rPr>
          <w:sz w:val="24"/>
        </w:rPr>
      </w:pPr>
      <w:r>
        <w:rPr>
          <w:sz w:val="24"/>
        </w:rPr>
        <w:t>Statement of any witnesses</w:t>
      </w:r>
    </w:p>
    <w:p w:rsidR="00080E3D" w:rsidRDefault="00080E3D">
      <w:pPr>
        <w:numPr>
          <w:ilvl w:val="0"/>
          <w:numId w:val="4"/>
        </w:numPr>
        <w:rPr>
          <w:sz w:val="24"/>
        </w:rPr>
      </w:pPr>
      <w:r>
        <w:rPr>
          <w:sz w:val="24"/>
        </w:rPr>
        <w:t>Names and titles of any other persons present, such as local police officials, General Services Administration (GSA) personnel, Federal Bureau of Investigations (FBI), U.S. Secret Service (USSS), IRS officials, etc., with whom future contact or liaison may be necessary</w:t>
      </w:r>
    </w:p>
    <w:p w:rsidR="00080E3D" w:rsidRDefault="00080E3D">
      <w:pPr>
        <w:rPr>
          <w:sz w:val="24"/>
        </w:rPr>
      </w:pPr>
    </w:p>
    <w:p w:rsidR="00080E3D" w:rsidRDefault="00080E3D">
      <w:pPr>
        <w:rPr>
          <w:sz w:val="24"/>
        </w:rPr>
      </w:pPr>
      <w:r>
        <w:rPr>
          <w:sz w:val="24"/>
        </w:rPr>
        <w:t xml:space="preserve">See </w:t>
      </w:r>
      <w:r w:rsidR="00874991" w:rsidRPr="00C8435D">
        <w:rPr>
          <w:sz w:val="24"/>
        </w:rPr>
        <w:t>Chapter 500, Section 140.7</w:t>
      </w:r>
      <w:r>
        <w:rPr>
          <w:sz w:val="24"/>
        </w:rPr>
        <w:t xml:space="preserve"> that outlines reporting lost, damaged or stolen </w:t>
      </w:r>
      <w:r w:rsidR="00763A25">
        <w:rPr>
          <w:sz w:val="24"/>
        </w:rPr>
        <w:t xml:space="preserve">TIGTA-issued </w:t>
      </w:r>
      <w:r>
        <w:rPr>
          <w:sz w:val="24"/>
        </w:rPr>
        <w:t>personal property.</w:t>
      </w:r>
    </w:p>
    <w:p w:rsidR="00080E3D" w:rsidRDefault="00080E3D">
      <w:pPr>
        <w:rPr>
          <w:sz w:val="24"/>
        </w:rPr>
      </w:pPr>
    </w:p>
    <w:p w:rsidR="00080E3D" w:rsidRDefault="00080E3D">
      <w:pPr>
        <w:rPr>
          <w:sz w:val="24"/>
        </w:rPr>
      </w:pPr>
      <w:r>
        <w:rPr>
          <w:b/>
          <w:sz w:val="24"/>
        </w:rPr>
        <w:t>Note:</w:t>
      </w:r>
      <w:r>
        <w:rPr>
          <w:sz w:val="24"/>
        </w:rPr>
        <w:t xml:space="preserve">  Notify the local police or any other authority, if appropriate. </w:t>
      </w:r>
    </w:p>
    <w:p w:rsidR="00080E3D" w:rsidRDefault="00080E3D">
      <w:pPr>
        <w:rPr>
          <w:sz w:val="24"/>
        </w:rPr>
      </w:pPr>
    </w:p>
    <w:p w:rsidR="00080E3D" w:rsidRDefault="00080E3D">
      <w:pPr>
        <w:rPr>
          <w:sz w:val="24"/>
        </w:rPr>
      </w:pPr>
      <w:r>
        <w:rPr>
          <w:sz w:val="24"/>
        </w:rPr>
        <w:t xml:space="preserve">400.3   </w:t>
      </w:r>
      <w:bookmarkStart w:id="7" w:name="TheftOfNonGovernmentProperty"/>
      <w:r>
        <w:rPr>
          <w:sz w:val="24"/>
          <w:u w:val="single"/>
        </w:rPr>
        <w:t>Theft of Non-Government Property.</w:t>
      </w:r>
      <w:bookmarkEnd w:id="7"/>
    </w:p>
    <w:p w:rsidR="00080E3D" w:rsidRDefault="00080E3D">
      <w:pPr>
        <w:rPr>
          <w:sz w:val="24"/>
        </w:rPr>
      </w:pPr>
      <w:r>
        <w:rPr>
          <w:sz w:val="24"/>
        </w:rPr>
        <w:lastRenderedPageBreak/>
        <w:t xml:space="preserve">A theft of non-government property type investigation is initiated as an investigation of a reported theft of personal property.  The principal concern in this type investigation is to determine if any employees are involved in such thefts. </w:t>
      </w:r>
    </w:p>
    <w:p w:rsidR="00080E3D" w:rsidRDefault="00080E3D">
      <w:pPr>
        <w:rPr>
          <w:sz w:val="24"/>
        </w:rPr>
      </w:pPr>
    </w:p>
    <w:p w:rsidR="00080E3D" w:rsidRDefault="00080E3D">
      <w:pPr>
        <w:rPr>
          <w:sz w:val="24"/>
        </w:rPr>
      </w:pPr>
      <w:r>
        <w:rPr>
          <w:sz w:val="24"/>
        </w:rPr>
        <w:t xml:space="preserve">400.3.1   </w:t>
      </w:r>
      <w:bookmarkStart w:id="8" w:name="InitiationProcedures"/>
      <w:r>
        <w:rPr>
          <w:sz w:val="24"/>
          <w:u w:val="single"/>
        </w:rPr>
        <w:t>Initiation Procedures.</w:t>
      </w:r>
      <w:r>
        <w:rPr>
          <w:sz w:val="24"/>
        </w:rPr>
        <w:t xml:space="preserve">   </w:t>
      </w:r>
      <w:bookmarkEnd w:id="8"/>
      <w:r>
        <w:rPr>
          <w:sz w:val="24"/>
        </w:rPr>
        <w:t>When initiation of a theft of non-government property type investigation is warranted, initiate an investigation in PARIS using the "Financial Fraud" Profile and violation code</w:t>
      </w:r>
      <w:r w:rsidR="00761AFD">
        <w:rPr>
          <w:sz w:val="24"/>
        </w:rPr>
        <w:t xml:space="preserve"> </w:t>
      </w:r>
      <w:r w:rsidR="00761AFD" w:rsidRPr="00761AFD">
        <w:rPr>
          <w:sz w:val="24"/>
        </w:rPr>
        <w:t>429 - Theft/Embezzlement-Non-IRS Funds or Property</w:t>
      </w:r>
      <w:r>
        <w:rPr>
          <w:sz w:val="24"/>
        </w:rPr>
        <w:t xml:space="preserve">.  Initiate and title the investigation as follows: </w:t>
      </w:r>
    </w:p>
    <w:p w:rsidR="00477AD9" w:rsidRDefault="00477AD9">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4095"/>
        <w:gridCol w:w="4635"/>
      </w:tblGrid>
      <w:tr w:rsidR="00080E3D">
        <w:trPr>
          <w:cantSplit/>
          <w:trHeight w:val="384"/>
          <w:jc w:val="center"/>
        </w:trPr>
        <w:tc>
          <w:tcPr>
            <w:tcW w:w="4095" w:type="dxa"/>
            <w:shd w:val="clear" w:color="auto" w:fill="F3F3F3"/>
          </w:tcPr>
          <w:p w:rsidR="00080E3D" w:rsidRDefault="00080E3D">
            <w:pPr>
              <w:rPr>
                <w:b/>
                <w:bCs/>
                <w:sz w:val="24"/>
              </w:rPr>
            </w:pPr>
            <w:r>
              <w:rPr>
                <w:b/>
                <w:bCs/>
                <w:sz w:val="24"/>
              </w:rPr>
              <w:t>If...</w:t>
            </w:r>
          </w:p>
        </w:tc>
        <w:tc>
          <w:tcPr>
            <w:tcW w:w="4635" w:type="dxa"/>
            <w:shd w:val="clear" w:color="auto" w:fill="F3F3F3"/>
          </w:tcPr>
          <w:p w:rsidR="00080E3D" w:rsidRDefault="00080E3D">
            <w:pPr>
              <w:rPr>
                <w:b/>
                <w:bCs/>
                <w:sz w:val="24"/>
              </w:rPr>
            </w:pPr>
            <w:r>
              <w:rPr>
                <w:b/>
                <w:bCs/>
                <w:sz w:val="24"/>
              </w:rPr>
              <w:t>Then...</w:t>
            </w:r>
          </w:p>
        </w:tc>
      </w:tr>
      <w:tr w:rsidR="00080E3D">
        <w:trPr>
          <w:cantSplit/>
          <w:trHeight w:val="998"/>
          <w:jc w:val="center"/>
        </w:trPr>
        <w:tc>
          <w:tcPr>
            <w:tcW w:w="4095" w:type="dxa"/>
          </w:tcPr>
          <w:p w:rsidR="00080E3D" w:rsidRDefault="00080E3D">
            <w:pPr>
              <w:rPr>
                <w:sz w:val="24"/>
              </w:rPr>
            </w:pPr>
            <w:r>
              <w:rPr>
                <w:sz w:val="24"/>
              </w:rPr>
              <w:t>The subject was an IRS employee at the time the theft was committed.</w:t>
            </w:r>
          </w:p>
        </w:tc>
        <w:tc>
          <w:tcPr>
            <w:tcW w:w="4635" w:type="dxa"/>
          </w:tcPr>
          <w:p w:rsidR="00080E3D" w:rsidRDefault="00080E3D">
            <w:pPr>
              <w:rPr>
                <w:sz w:val="24"/>
              </w:rPr>
            </w:pPr>
            <w:r>
              <w:rPr>
                <w:sz w:val="24"/>
              </w:rPr>
              <w:t>Initiate an Employee Investigation.  Title the investigation in the employee’s name.</w:t>
            </w:r>
          </w:p>
        </w:tc>
      </w:tr>
      <w:tr w:rsidR="00080E3D">
        <w:trPr>
          <w:cantSplit/>
          <w:trHeight w:val="2060"/>
          <w:jc w:val="center"/>
        </w:trPr>
        <w:tc>
          <w:tcPr>
            <w:tcW w:w="4095" w:type="dxa"/>
          </w:tcPr>
          <w:p w:rsidR="00080E3D" w:rsidRDefault="00080E3D">
            <w:pPr>
              <w:rPr>
                <w:sz w:val="24"/>
              </w:rPr>
            </w:pPr>
            <w:r>
              <w:rPr>
                <w:sz w:val="24"/>
              </w:rPr>
              <w:t>The subject is unknown but based on best information available, is believed to have been an IRS employee at the time the theft was committed.</w:t>
            </w:r>
          </w:p>
        </w:tc>
        <w:tc>
          <w:tcPr>
            <w:tcW w:w="4635" w:type="dxa"/>
          </w:tcPr>
          <w:p w:rsidR="00080E3D" w:rsidRDefault="00080E3D">
            <w:pPr>
              <w:rPr>
                <w:sz w:val="24"/>
              </w:rPr>
            </w:pPr>
            <w:r>
              <w:rPr>
                <w:sz w:val="24"/>
              </w:rPr>
              <w:t>Initiate an Employee Investigation.  Title the investigation as "Complaint:" followed by the name of the complainant, if known; or "Allegation:" followed by a phrase describing the nature of the complaint, if complainant is unknown.</w:t>
            </w:r>
          </w:p>
        </w:tc>
      </w:tr>
      <w:tr w:rsidR="00080E3D">
        <w:trPr>
          <w:cantSplit/>
          <w:trHeight w:val="1277"/>
          <w:jc w:val="center"/>
        </w:trPr>
        <w:tc>
          <w:tcPr>
            <w:tcW w:w="4095" w:type="dxa"/>
          </w:tcPr>
          <w:p w:rsidR="00080E3D" w:rsidRDefault="00080E3D">
            <w:pPr>
              <w:rPr>
                <w:sz w:val="24"/>
              </w:rPr>
            </w:pPr>
            <w:r>
              <w:rPr>
                <w:sz w:val="24"/>
              </w:rPr>
              <w:t>The subject was a non-employee at the time the theft was committed.</w:t>
            </w:r>
          </w:p>
        </w:tc>
        <w:tc>
          <w:tcPr>
            <w:tcW w:w="4635" w:type="dxa"/>
          </w:tcPr>
          <w:p w:rsidR="00080E3D" w:rsidRDefault="00080E3D">
            <w:pPr>
              <w:rPr>
                <w:sz w:val="24"/>
              </w:rPr>
            </w:pPr>
            <w:r>
              <w:rPr>
                <w:sz w:val="24"/>
              </w:rPr>
              <w:t xml:space="preserve">Initiate a Non-Employee Investigation.  Title the investigation in the non-employee's name.  </w:t>
            </w:r>
          </w:p>
        </w:tc>
      </w:tr>
      <w:tr w:rsidR="00080E3D">
        <w:trPr>
          <w:cantSplit/>
          <w:trHeight w:val="1925"/>
          <w:jc w:val="center"/>
        </w:trPr>
        <w:tc>
          <w:tcPr>
            <w:tcW w:w="4095" w:type="dxa"/>
          </w:tcPr>
          <w:p w:rsidR="00080E3D" w:rsidRDefault="00080E3D">
            <w:pPr>
              <w:rPr>
                <w:sz w:val="24"/>
              </w:rPr>
            </w:pPr>
            <w:r>
              <w:rPr>
                <w:sz w:val="24"/>
              </w:rPr>
              <w:t xml:space="preserve">The subject is unknown but based on best information available, is believed to not have been an IRS employee at the time the theft was committed. </w:t>
            </w:r>
          </w:p>
        </w:tc>
        <w:tc>
          <w:tcPr>
            <w:tcW w:w="4635" w:type="dxa"/>
          </w:tcPr>
          <w:p w:rsidR="00080E3D" w:rsidRDefault="00080E3D">
            <w:pPr>
              <w:rPr>
                <w:sz w:val="24"/>
              </w:rPr>
            </w:pPr>
            <w:r>
              <w:rPr>
                <w:sz w:val="24"/>
              </w:rPr>
              <w:t>Initiate a Non-Employee Investigation.  Title the investigation as "Complaint:" followed by the name of the complainant, if known; or "Allegation:" followed by a phrase describing the nature of the complaint, if complainant is unknown.</w:t>
            </w:r>
          </w:p>
        </w:tc>
      </w:tr>
    </w:tbl>
    <w:p w:rsidR="00080E3D" w:rsidRDefault="00080E3D">
      <w:pPr>
        <w:rPr>
          <w:sz w:val="24"/>
        </w:rPr>
      </w:pPr>
    </w:p>
    <w:p w:rsidR="00080E3D" w:rsidRDefault="00080E3D">
      <w:pPr>
        <w:rPr>
          <w:sz w:val="24"/>
        </w:rPr>
      </w:pPr>
      <w:r>
        <w:rPr>
          <w:sz w:val="24"/>
        </w:rPr>
        <w:t xml:space="preserve">400.3.2   </w:t>
      </w:r>
      <w:bookmarkStart w:id="9" w:name="InvestigativeProcedures"/>
      <w:r>
        <w:rPr>
          <w:sz w:val="24"/>
          <w:u w:val="single"/>
        </w:rPr>
        <w:t>Investigative Procedures.</w:t>
      </w:r>
      <w:r>
        <w:rPr>
          <w:sz w:val="24"/>
        </w:rPr>
        <w:t xml:space="preserve">   </w:t>
      </w:r>
      <w:bookmarkEnd w:id="9"/>
      <w:r>
        <w:rPr>
          <w:sz w:val="24"/>
        </w:rPr>
        <w:t>Consider the following basic steps in these type investigations:</w:t>
      </w:r>
    </w:p>
    <w:p w:rsidR="00080E3D" w:rsidRDefault="00080E3D">
      <w:pPr>
        <w:rPr>
          <w:sz w:val="24"/>
        </w:rPr>
      </w:pPr>
    </w:p>
    <w:p w:rsidR="00080E3D" w:rsidRDefault="00080E3D">
      <w:pPr>
        <w:numPr>
          <w:ilvl w:val="0"/>
          <w:numId w:val="5"/>
        </w:numPr>
        <w:rPr>
          <w:sz w:val="24"/>
        </w:rPr>
      </w:pPr>
      <w:r>
        <w:rPr>
          <w:sz w:val="24"/>
        </w:rPr>
        <w:t>Ascertain whether local police have been notified; if not, have complainant notify the local police.</w:t>
      </w:r>
    </w:p>
    <w:p w:rsidR="00080E3D" w:rsidRDefault="00080E3D">
      <w:pPr>
        <w:numPr>
          <w:ilvl w:val="0"/>
          <w:numId w:val="5"/>
        </w:numPr>
        <w:rPr>
          <w:sz w:val="24"/>
        </w:rPr>
      </w:pPr>
      <w:r>
        <w:rPr>
          <w:sz w:val="24"/>
        </w:rPr>
        <w:t>Interview complainant as to circumstances, including detailed description of stolen property.</w:t>
      </w:r>
    </w:p>
    <w:p w:rsidR="00080E3D" w:rsidRDefault="00080E3D">
      <w:pPr>
        <w:numPr>
          <w:ilvl w:val="0"/>
          <w:numId w:val="5"/>
        </w:numPr>
        <w:rPr>
          <w:sz w:val="24"/>
        </w:rPr>
      </w:pPr>
      <w:r>
        <w:rPr>
          <w:sz w:val="24"/>
        </w:rPr>
        <w:t>Advise complainant to immediately notify credit card companies, banks, etc., if any of the stolen items could be used to make purchases, withdraw money or write checks in the name of the complainant.</w:t>
      </w:r>
    </w:p>
    <w:p w:rsidR="00080E3D" w:rsidRDefault="00080E3D">
      <w:pPr>
        <w:pStyle w:val="BodyText2"/>
        <w:numPr>
          <w:ilvl w:val="0"/>
          <w:numId w:val="6"/>
        </w:numPr>
      </w:pPr>
      <w:r>
        <w:t>Advise complainant as to possible hazard of stolen keys for residence and automobile; also consider contacting GSA or building management to change locks on IRS facilities if such keys were stolen.</w:t>
      </w:r>
    </w:p>
    <w:p w:rsidR="00080E3D" w:rsidRDefault="00080E3D">
      <w:pPr>
        <w:numPr>
          <w:ilvl w:val="0"/>
          <w:numId w:val="7"/>
        </w:numPr>
        <w:rPr>
          <w:sz w:val="24"/>
        </w:rPr>
      </w:pPr>
      <w:r>
        <w:rPr>
          <w:sz w:val="24"/>
        </w:rPr>
        <w:t>Search premises for stolen items hidden for later retrieval, or for items abandoned by the thief as valueless; protect such items for possible fingerprint identification by local authorities.</w:t>
      </w:r>
    </w:p>
    <w:p w:rsidR="00080E3D" w:rsidRDefault="00080E3D">
      <w:pPr>
        <w:pStyle w:val="BodyText2"/>
        <w:numPr>
          <w:ilvl w:val="0"/>
          <w:numId w:val="7"/>
        </w:numPr>
      </w:pPr>
      <w:r>
        <w:t>Interview any witnesses who may recall any persons in the area of the theft; obtain descriptions of suspects.</w:t>
      </w:r>
    </w:p>
    <w:p w:rsidR="00080E3D" w:rsidRDefault="00080E3D">
      <w:pPr>
        <w:numPr>
          <w:ilvl w:val="0"/>
          <w:numId w:val="7"/>
        </w:numPr>
        <w:rPr>
          <w:sz w:val="24"/>
        </w:rPr>
      </w:pPr>
      <w:r>
        <w:rPr>
          <w:sz w:val="24"/>
        </w:rPr>
        <w:t>Obtain copies of any “sign-in'' or “sign-out'' logs maintained by building security personnel.</w:t>
      </w:r>
    </w:p>
    <w:p w:rsidR="00080E3D" w:rsidRDefault="00080E3D">
      <w:pPr>
        <w:numPr>
          <w:ilvl w:val="0"/>
          <w:numId w:val="8"/>
        </w:numPr>
        <w:rPr>
          <w:sz w:val="24"/>
        </w:rPr>
      </w:pPr>
      <w:r>
        <w:rPr>
          <w:sz w:val="24"/>
        </w:rPr>
        <w:t xml:space="preserve">If the incident involves a burglary or break-in of government owned or leased premises, survey the location for any security weaknesses, and make recommendations to the local IRS Security function to correct any deficiencies. </w:t>
      </w:r>
    </w:p>
    <w:p w:rsidR="00080E3D" w:rsidRDefault="00080E3D">
      <w:pPr>
        <w:rPr>
          <w:sz w:val="24"/>
        </w:rPr>
      </w:pPr>
    </w:p>
    <w:p w:rsidR="00080E3D" w:rsidRDefault="00080E3D">
      <w:pPr>
        <w:rPr>
          <w:sz w:val="24"/>
        </w:rPr>
      </w:pPr>
      <w:r>
        <w:rPr>
          <w:sz w:val="24"/>
        </w:rPr>
        <w:t xml:space="preserve">400.3.3   </w:t>
      </w:r>
      <w:r>
        <w:rPr>
          <w:sz w:val="24"/>
          <w:u w:val="single"/>
        </w:rPr>
        <w:t>Extent of Investigation.</w:t>
      </w:r>
      <w:r>
        <w:rPr>
          <w:sz w:val="24"/>
        </w:rPr>
        <w:t xml:space="preserve">   Determine the extent of investigation in these cases by the amount of information or number of leads available from the complainant and witnesses.  Advise complainants of any significant developments in the investigation and instruct them to report to TIGTA any contact from banks, credit card companies or local police concerning use or recovery of any stolen items.</w:t>
      </w:r>
    </w:p>
    <w:p w:rsidR="00080E3D" w:rsidRDefault="00080E3D">
      <w:pPr>
        <w:rPr>
          <w:sz w:val="24"/>
        </w:rPr>
      </w:pPr>
    </w:p>
    <w:p w:rsidR="00080E3D" w:rsidRDefault="00080E3D">
      <w:pPr>
        <w:rPr>
          <w:sz w:val="24"/>
        </w:rPr>
      </w:pPr>
      <w:r>
        <w:rPr>
          <w:sz w:val="24"/>
        </w:rPr>
        <w:t xml:space="preserve">Coordinate referral of any information to the local authorities assigned to investigate the incident with the TIGTA Disclosure Officer.  See </w:t>
      </w:r>
      <w:hyperlink r:id="rId10" w:anchor="Referrals" w:history="1">
        <w:r w:rsidR="00763A25">
          <w:rPr>
            <w:rStyle w:val="Hyperlink"/>
            <w:sz w:val="24"/>
          </w:rPr>
          <w:t>Chapter 700, Chief Counsel, Section 70.5</w:t>
        </w:r>
      </w:hyperlink>
      <w:r>
        <w:rPr>
          <w:sz w:val="24"/>
        </w:rPr>
        <w:t xml:space="preserve"> of the TIGTA Operations Manual. </w:t>
      </w:r>
    </w:p>
    <w:p w:rsidR="00080E3D" w:rsidRDefault="00080E3D">
      <w:pPr>
        <w:rPr>
          <w:sz w:val="24"/>
        </w:rPr>
      </w:pPr>
    </w:p>
    <w:p w:rsidR="00080E3D" w:rsidRDefault="00080E3D">
      <w:pPr>
        <w:rPr>
          <w:sz w:val="24"/>
        </w:rPr>
      </w:pPr>
      <w:r>
        <w:rPr>
          <w:sz w:val="24"/>
        </w:rPr>
        <w:t xml:space="preserve">Close the case when it is apparent that all investigative leads have been fully covered and there appears to be no employee involvement.  Closing the case does not preclude continued cooperation with local authorities investigating the incident. </w:t>
      </w:r>
    </w:p>
    <w:p w:rsidR="00080E3D" w:rsidRDefault="00080E3D">
      <w:pPr>
        <w:rPr>
          <w:sz w:val="24"/>
        </w:rPr>
      </w:pPr>
    </w:p>
    <w:p w:rsidR="00080E3D" w:rsidRDefault="00080E3D">
      <w:pPr>
        <w:rPr>
          <w:sz w:val="24"/>
        </w:rPr>
      </w:pPr>
      <w:r>
        <w:rPr>
          <w:sz w:val="24"/>
        </w:rPr>
        <w:t xml:space="preserve">400.4   </w:t>
      </w:r>
      <w:bookmarkStart w:id="10" w:name="ProsecutionLocalJurisdictions"/>
      <w:r>
        <w:rPr>
          <w:sz w:val="24"/>
          <w:u w:val="single"/>
        </w:rPr>
        <w:t>Prosecution in Local Jurisdictions.</w:t>
      </w:r>
      <w:bookmarkEnd w:id="10"/>
    </w:p>
    <w:p w:rsidR="00080E3D" w:rsidRDefault="00080E3D">
      <w:pPr>
        <w:rPr>
          <w:sz w:val="24"/>
        </w:rPr>
      </w:pPr>
      <w:r>
        <w:rPr>
          <w:sz w:val="24"/>
        </w:rPr>
        <w:t xml:space="preserve">If TIGTA identifies a suspect, contact the TIGTA Disclosure Officer before furnishing the information to the local authorities investigating the incident.  See </w:t>
      </w:r>
      <w:hyperlink r:id="rId11" w:anchor="Referrals" w:history="1">
        <w:r>
          <w:rPr>
            <w:rStyle w:val="Hyperlink"/>
            <w:sz w:val="24"/>
          </w:rPr>
          <w:t>Chapter 700, Chief Counsel, Section 70.5</w:t>
        </w:r>
      </w:hyperlink>
      <w:r>
        <w:rPr>
          <w:sz w:val="24"/>
        </w:rPr>
        <w:t xml:space="preserve"> of the TIGTA Operations Manual. </w:t>
      </w:r>
    </w:p>
    <w:p w:rsidR="00080E3D" w:rsidRDefault="00080E3D">
      <w:pPr>
        <w:rPr>
          <w:sz w:val="24"/>
        </w:rPr>
      </w:pPr>
    </w:p>
    <w:p w:rsidR="00080E3D" w:rsidRDefault="00080E3D">
      <w:pPr>
        <w:rPr>
          <w:sz w:val="24"/>
        </w:rPr>
      </w:pPr>
      <w:r>
        <w:rPr>
          <w:sz w:val="24"/>
        </w:rPr>
        <w:t xml:space="preserve">400.5   </w:t>
      </w:r>
      <w:bookmarkStart w:id="11" w:name="ROIFormat"/>
      <w:r>
        <w:rPr>
          <w:sz w:val="24"/>
          <w:u w:val="single"/>
        </w:rPr>
        <w:t>Report of Investigation (ROI) Format.</w:t>
      </w:r>
      <w:bookmarkEnd w:id="11"/>
    </w:p>
    <w:p w:rsidR="00080E3D" w:rsidRDefault="00080E3D">
      <w:pPr>
        <w:rPr>
          <w:sz w:val="24"/>
        </w:rPr>
      </w:pPr>
      <w:r>
        <w:rPr>
          <w:sz w:val="24"/>
        </w:rPr>
        <w:t xml:space="preserve">If there is no prosecution in the case, prepare the ROI in accordance with </w:t>
      </w:r>
      <w:hyperlink r:id="rId12" w:anchor="ROI" w:history="1">
        <w:r>
          <w:rPr>
            <w:rStyle w:val="Hyperlink"/>
            <w:sz w:val="24"/>
          </w:rPr>
          <w:t>Section 250.7</w:t>
        </w:r>
      </w:hyperlink>
      <w:r>
        <w:rPr>
          <w:sz w:val="24"/>
        </w:rPr>
        <w:t xml:space="preserve"> of this Chapter.  </w:t>
      </w:r>
    </w:p>
    <w:p w:rsidR="00080E3D" w:rsidRDefault="00080E3D">
      <w:pPr>
        <w:rPr>
          <w:sz w:val="24"/>
        </w:rPr>
      </w:pPr>
    </w:p>
    <w:p w:rsidR="00080E3D" w:rsidRDefault="00080E3D">
      <w:pPr>
        <w:rPr>
          <w:sz w:val="24"/>
        </w:rPr>
      </w:pPr>
      <w:r>
        <w:rPr>
          <w:sz w:val="24"/>
        </w:rPr>
        <w:t xml:space="preserve">If the case is to be prosecuted in state court, prepare the ROI in accordance with </w:t>
      </w:r>
      <w:hyperlink r:id="rId13" w:anchor="ROI" w:history="1">
        <w:r w:rsidR="00763A25">
          <w:rPr>
            <w:rStyle w:val="Hyperlink"/>
            <w:sz w:val="24"/>
          </w:rPr>
          <w:t>Section 250.7</w:t>
        </w:r>
      </w:hyperlink>
      <w:r>
        <w:rPr>
          <w:sz w:val="24"/>
        </w:rPr>
        <w:t xml:space="preserve"> of this Chapter </w:t>
      </w:r>
      <w:r>
        <w:rPr>
          <w:b/>
          <w:sz w:val="24"/>
        </w:rPr>
        <w:t>and</w:t>
      </w:r>
      <w:r w:rsidR="00874991" w:rsidRPr="00874991">
        <w:rPr>
          <w:sz w:val="24"/>
        </w:rPr>
        <w:t xml:space="preserve"> s</w:t>
      </w:r>
      <w:r>
        <w:rPr>
          <w:sz w:val="24"/>
        </w:rPr>
        <w:t xml:space="preserve">end the original to the TIGTA Disclosure Officer for review prior to referral to the state prosecutor as outlined </w:t>
      </w:r>
      <w:proofErr w:type="gramStart"/>
      <w:r>
        <w:rPr>
          <w:sz w:val="24"/>
        </w:rPr>
        <w:t xml:space="preserve">in </w:t>
      </w:r>
      <w:proofErr w:type="gramEnd"/>
      <w:hyperlink r:id="rId14" w:anchor="Referrals" w:history="1">
        <w:r>
          <w:rPr>
            <w:rStyle w:val="Hyperlink"/>
            <w:sz w:val="24"/>
          </w:rPr>
          <w:t>Chapter 700, Chief Counsel, Section 70.5</w:t>
        </w:r>
      </w:hyperlink>
      <w:r>
        <w:rPr>
          <w:sz w:val="24"/>
        </w:rPr>
        <w:t>, of the TIGTA Operations Manua</w:t>
      </w:r>
      <w:bookmarkStart w:id="12" w:name="_GoBack"/>
      <w:bookmarkEnd w:id="12"/>
      <w:r>
        <w:rPr>
          <w:sz w:val="24"/>
        </w:rPr>
        <w:t xml:space="preserve">l.  </w:t>
      </w:r>
    </w:p>
    <w:sectPr w:rsidR="00080E3D">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code="1"/>
      <w:pgMar w:top="1440"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7D4" w:rsidRDefault="004C57D4">
      <w:pPr>
        <w:spacing w:line="-20" w:lineRule="auto"/>
      </w:pPr>
    </w:p>
  </w:endnote>
  <w:endnote w:type="continuationSeparator" w:id="0">
    <w:p w:rsidR="004C57D4" w:rsidRDefault="004C57D4">
      <w:r>
        <w:t xml:space="preserve"> </w:t>
      </w:r>
    </w:p>
  </w:endnote>
  <w:endnote w:type="continuationNotice" w:id="1">
    <w:p w:rsidR="004C57D4" w:rsidRDefault="004C57D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F0" w:rsidRDefault="009357F0">
    <w:pPr>
      <w:pStyle w:val="Footer"/>
      <w:pBdr>
        <w:top w:val="single" w:sz="6" w:space="0" w:color="auto"/>
      </w:pBdr>
      <w:rPr>
        <w:rStyle w:val="MTDate"/>
        <w:sz w:val="22"/>
      </w:rPr>
    </w:pPr>
    <w:r>
      <w:rPr>
        <w:rStyle w:val="MTDate"/>
        <w:i w:val="0"/>
        <w:sz w:val="22"/>
      </w:rPr>
      <w:t>TIGTA Manual, Volume 400                                                         Special Agent’s Handbook</w:t>
    </w:r>
    <w:r>
      <w:rPr>
        <w:rStyle w:val="MTDate"/>
        <w:sz w:val="22"/>
      </w:rPr>
      <w:tab/>
    </w:r>
  </w:p>
  <w:p w:rsidR="009357F0" w:rsidRDefault="009357F0">
    <w:pPr>
      <w:pStyle w:val="Footer"/>
      <w:pBdr>
        <w:top w:val="single" w:sz="6" w:space="0" w:color="auto"/>
      </w:pBdr>
      <w:rPr>
        <w:rStyle w:val="MTDate"/>
        <w:i w:val="0"/>
        <w:sz w:val="22"/>
      </w:rPr>
    </w:pPr>
    <w:r>
      <w:rPr>
        <w:rStyle w:val="MTDate"/>
        <w:i w:val="0"/>
        <w:sz w:val="22"/>
      </w:rPr>
      <w:t xml:space="preserve">MT </w:t>
    </w:r>
    <w:proofErr w:type="gramStart"/>
    <w:r>
      <w:rPr>
        <w:rStyle w:val="MTDate"/>
        <w:i w:val="0"/>
        <w:sz w:val="22"/>
      </w:rPr>
      <w:t>1  (</w:t>
    </w:r>
    <w:proofErr w:type="gramEnd"/>
    <w:r>
      <w:rPr>
        <w:rStyle w:val="MTDate"/>
        <w:i w:val="0"/>
        <w:sz w:val="22"/>
      </w:rPr>
      <w:t>7/1/99)</w:t>
    </w:r>
  </w:p>
  <w:p w:rsidR="009357F0" w:rsidRDefault="009357F0">
    <w:pPr>
      <w:pStyle w:val="Footer"/>
      <w:pBdr>
        <w:top w:val="single" w:sz="6" w:space="0" w:color="auto"/>
      </w:pBdr>
      <w:rPr>
        <w:rStyle w:val="MTDate"/>
      </w:rPr>
    </w:pPr>
    <w:r>
      <w:rPr>
        <w:rStyle w:val="MTDat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F0" w:rsidRDefault="009357F0">
    <w:pPr>
      <w:pStyle w:val="Footer"/>
      <w:pBdr>
        <w:top w:val="single" w:sz="4" w:space="1" w:color="auto"/>
      </w:pBdr>
      <w:tabs>
        <w:tab w:val="clear" w:pos="4320"/>
        <w:tab w:val="clear" w:pos="8640"/>
        <w:tab w:val="center" w:pos="4680"/>
        <w:tab w:val="right" w:pos="9360"/>
      </w:tabs>
      <w:rPr>
        <w:rStyle w:val="MTDate"/>
      </w:rPr>
    </w:pPr>
    <w:r>
      <w:rPr>
        <w:rStyle w:val="MTDate"/>
        <w:i w:val="0"/>
        <w:sz w:val="24"/>
      </w:rPr>
      <w:t>Operations Manual</w:t>
    </w:r>
    <w:r>
      <w:rPr>
        <w:rStyle w:val="MTDate"/>
        <w:i w:val="0"/>
        <w:sz w:val="24"/>
      </w:rPr>
      <w:tab/>
    </w:r>
    <w:r>
      <w:rPr>
        <w:rStyle w:val="PageNumber"/>
        <w:sz w:val="24"/>
      </w:rPr>
      <w:fldChar w:fldCharType="begin"/>
    </w:r>
    <w:r>
      <w:rPr>
        <w:rStyle w:val="PageNumber"/>
        <w:sz w:val="24"/>
      </w:rPr>
      <w:instrText xml:space="preserve"> PAGE </w:instrText>
    </w:r>
    <w:r>
      <w:rPr>
        <w:rStyle w:val="PageNumber"/>
        <w:sz w:val="24"/>
      </w:rPr>
      <w:fldChar w:fldCharType="separate"/>
    </w:r>
    <w:r w:rsidR="001A055D">
      <w:rPr>
        <w:rStyle w:val="PageNumber"/>
        <w:noProof/>
        <w:sz w:val="24"/>
      </w:rPr>
      <w:t>4</w:t>
    </w:r>
    <w:r>
      <w:rPr>
        <w:rStyle w:val="PageNumber"/>
        <w:sz w:val="24"/>
      </w:rPr>
      <w:fldChar w:fldCharType="end"/>
    </w:r>
    <w:r>
      <w:rPr>
        <w:rStyle w:val="PageNumber"/>
      </w:rPr>
      <w:tab/>
    </w:r>
    <w:r>
      <w:rPr>
        <w:rStyle w:val="PageNumber"/>
        <w:sz w:val="24"/>
      </w:rPr>
      <w:t>Chapter 400</w:t>
    </w:r>
    <w:r>
      <w:rPr>
        <w:rStyle w:val="MTDate"/>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F0" w:rsidRDefault="009357F0">
    <w:pPr>
      <w:pStyle w:val="Footer"/>
      <w:pBdr>
        <w:top w:val="single" w:sz="6" w:space="1" w:color="auto"/>
      </w:pBdr>
      <w:rPr>
        <w:rStyle w:val="MTDate"/>
        <w:i w:val="0"/>
        <w:sz w:val="22"/>
      </w:rPr>
    </w:pPr>
    <w:r>
      <w:rPr>
        <w:rStyle w:val="MTDate"/>
        <w:i w:val="0"/>
        <w:sz w:val="22"/>
      </w:rPr>
      <w:t>TIGTA Manual, Volume 400                                                        Special Agent’s Handbook</w:t>
    </w:r>
  </w:p>
  <w:p w:rsidR="009357F0" w:rsidRDefault="009357F0">
    <w:pPr>
      <w:pStyle w:val="Footer"/>
      <w:pBdr>
        <w:top w:val="single" w:sz="6" w:space="1" w:color="auto"/>
      </w:pBdr>
      <w:rPr>
        <w:rStyle w:val="MTDate"/>
        <w:sz w:val="22"/>
      </w:rPr>
    </w:pPr>
    <w:r>
      <w:rPr>
        <w:rStyle w:val="MTDate"/>
        <w:i w:val="0"/>
        <w:sz w:val="22"/>
      </w:rPr>
      <w:t xml:space="preserve">MT </w:t>
    </w:r>
    <w:proofErr w:type="gramStart"/>
    <w:r>
      <w:rPr>
        <w:rStyle w:val="MTDate"/>
        <w:i w:val="0"/>
        <w:sz w:val="22"/>
      </w:rPr>
      <w:t>1  (</w:t>
    </w:r>
    <w:proofErr w:type="gramEnd"/>
    <w:r>
      <w:rPr>
        <w:rStyle w:val="MTDate"/>
        <w:i w:val="0"/>
        <w:sz w:val="22"/>
      </w:rPr>
      <w:t>7/1/99)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7D4" w:rsidRDefault="004C57D4">
      <w:r>
        <w:separator/>
      </w:r>
    </w:p>
  </w:footnote>
  <w:footnote w:type="continuationSeparator" w:id="0">
    <w:p w:rsidR="004C57D4" w:rsidRDefault="004C5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548"/>
      <w:gridCol w:w="8028"/>
    </w:tblGrid>
    <w:tr w:rsidR="009357F0">
      <w:tc>
        <w:tcPr>
          <w:tcW w:w="1548" w:type="dxa"/>
          <w:tcBorders>
            <w:top w:val="single" w:sz="4" w:space="0" w:color="auto"/>
            <w:bottom w:val="single" w:sz="6" w:space="0" w:color="auto"/>
          </w:tcBorders>
        </w:tcPr>
        <w:p w:rsidR="009357F0" w:rsidRDefault="009357F0">
          <w:pPr>
            <w:pStyle w:val="Header"/>
            <w:rPr>
              <w:rStyle w:val="pagenum"/>
            </w:rPr>
          </w:pPr>
          <w:r>
            <w:rPr>
              <w:rStyle w:val="pagenum"/>
            </w:rPr>
            <w:t>page 32-</w:t>
          </w:r>
          <w:r>
            <w:rPr>
              <w:rStyle w:val="pagenum"/>
            </w:rPr>
            <w:fldChar w:fldCharType="begin"/>
          </w:r>
          <w:r>
            <w:rPr>
              <w:rStyle w:val="pagenum"/>
            </w:rPr>
            <w:instrText xml:space="preserve"> PAGE </w:instrText>
          </w:r>
          <w:r>
            <w:rPr>
              <w:rStyle w:val="pagenum"/>
            </w:rPr>
            <w:fldChar w:fldCharType="separate"/>
          </w:r>
          <w:r>
            <w:rPr>
              <w:rStyle w:val="pagenum"/>
              <w:noProof/>
            </w:rPr>
            <w:t>32</w:t>
          </w:r>
          <w:r>
            <w:rPr>
              <w:rStyle w:val="pagenum"/>
            </w:rPr>
            <w:fldChar w:fldCharType="end"/>
          </w:r>
        </w:p>
      </w:tc>
      <w:tc>
        <w:tcPr>
          <w:tcW w:w="8028" w:type="dxa"/>
          <w:tcBorders>
            <w:top w:val="single" w:sz="4" w:space="0" w:color="auto"/>
            <w:bottom w:val="single" w:sz="6" w:space="0" w:color="auto"/>
          </w:tcBorders>
        </w:tcPr>
        <w:p w:rsidR="009357F0" w:rsidRDefault="009357F0">
          <w:pPr>
            <w:pStyle w:val="Header"/>
            <w:jc w:val="right"/>
          </w:pPr>
          <w:r>
            <w:rPr>
              <w:rStyle w:val="Booktitle"/>
              <w:b w:val="0"/>
            </w:rPr>
            <w:t xml:space="preserve">Special Inquiry Investigations </w:t>
          </w:r>
        </w:p>
      </w:tc>
    </w:tr>
  </w:tbl>
  <w:p w:rsidR="009357F0" w:rsidRDefault="009357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F0" w:rsidRDefault="009357F0">
    <w:pPr>
      <w:jc w:val="center"/>
      <w:rPr>
        <w:rStyle w:val="pagenum"/>
        <w:sz w:val="24"/>
      </w:rPr>
    </w:pPr>
    <w:r>
      <w:rPr>
        <w:rStyle w:val="pagenum"/>
        <w:sz w:val="24"/>
      </w:rPr>
      <w:t>TREASURY INSPECTOR GENERAL</w:t>
    </w:r>
  </w:p>
  <w:p w:rsidR="009357F0" w:rsidRDefault="009357F0">
    <w:pPr>
      <w:jc w:val="center"/>
      <w:rPr>
        <w:rStyle w:val="pagenum"/>
        <w:sz w:val="24"/>
      </w:rPr>
    </w:pPr>
    <w:r>
      <w:rPr>
        <w:rStyle w:val="pagenum"/>
        <w:sz w:val="24"/>
      </w:rPr>
      <w:t>FOR TAX ADMINISTRATION</w:t>
    </w:r>
  </w:p>
  <w:p w:rsidR="009357F0" w:rsidRDefault="009357F0">
    <w:pPr>
      <w:rPr>
        <w:rStyle w:val="pagenum"/>
        <w:sz w:val="24"/>
      </w:rPr>
    </w:pPr>
  </w:p>
  <w:p w:rsidR="009357F0" w:rsidRDefault="009357F0">
    <w:pPr>
      <w:pBdr>
        <w:bottom w:val="single" w:sz="4" w:space="1" w:color="auto"/>
      </w:pBdr>
      <w:jc w:val="right"/>
      <w:rPr>
        <w:rStyle w:val="pagenum"/>
        <w:b/>
        <w:sz w:val="24"/>
      </w:rPr>
    </w:pPr>
    <w:r>
      <w:rPr>
        <w:rStyle w:val="pagenum"/>
        <w:b/>
        <w:sz w:val="24"/>
      </w:rPr>
      <w:t xml:space="preserve">DATE:  </w:t>
    </w:r>
    <w:r w:rsidR="00A1526C">
      <w:rPr>
        <w:rStyle w:val="pagenum"/>
        <w:b/>
        <w:sz w:val="24"/>
      </w:rPr>
      <w:t xml:space="preserve">July </w:t>
    </w:r>
    <w:r>
      <w:rPr>
        <w:rStyle w:val="pagenum"/>
        <w:b/>
        <w:sz w:val="24"/>
      </w:rPr>
      <w:t>1, 200</w:t>
    </w:r>
    <w:r w:rsidR="00A1526C">
      <w:rPr>
        <w:rStyle w:val="pagenum"/>
        <w:b/>
        <w:sz w:val="24"/>
      </w:rPr>
      <w:t>9</w:t>
    </w:r>
  </w:p>
  <w:p w:rsidR="009357F0" w:rsidRDefault="009357F0">
    <w:pPr>
      <w:pStyle w:val="Header"/>
      <w:tabs>
        <w:tab w:val="clear" w:pos="4320"/>
        <w:tab w:val="clear" w:pos="8640"/>
        <w:tab w:val="left" w:pos="7920"/>
      </w:tabs>
      <w:jc w:val="right"/>
      <w:rPr>
        <w:rStyle w:val="pagenum"/>
        <w:b/>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7F0" w:rsidRDefault="009357F0">
    <w:r>
      <w:rPr>
        <w:rStyle w:val="Chapter"/>
      </w:rPr>
      <w:t>Chapter 32</w:t>
    </w:r>
  </w:p>
  <w:p w:rsidR="009357F0" w:rsidRDefault="009357F0">
    <w:pPr>
      <w:pBdr>
        <w:bottom w:val="single" w:sz="4" w:space="1" w:color="auto"/>
      </w:pBdr>
      <w:tabs>
        <w:tab w:val="left" w:pos="7920"/>
      </w:tabs>
      <w:rPr>
        <w:rStyle w:val="pagenum"/>
      </w:rPr>
    </w:pPr>
    <w:r>
      <w:rPr>
        <w:rStyle w:val="Chaptitle"/>
      </w:rPr>
      <w:t xml:space="preserve">Special Inquiry Investigations                                         </w:t>
    </w:r>
    <w:r>
      <w:rPr>
        <w:rStyle w:val="pagenum"/>
      </w:rPr>
      <w:t>page 32-</w:t>
    </w:r>
    <w:r>
      <w:rPr>
        <w:rStyle w:val="pagenum"/>
      </w:rPr>
      <w:fldChar w:fldCharType="begin"/>
    </w:r>
    <w:r>
      <w:rPr>
        <w:rStyle w:val="pagenum"/>
      </w:rPr>
      <w:instrText xml:space="preserve"> PAGE </w:instrText>
    </w:r>
    <w:r>
      <w:rPr>
        <w:rStyle w:val="pagenum"/>
      </w:rPr>
      <w:fldChar w:fldCharType="separate"/>
    </w:r>
    <w:r>
      <w:rPr>
        <w:rStyle w:val="pagenum"/>
        <w:noProof/>
      </w:rPr>
      <w:t>1</w:t>
    </w:r>
    <w:r>
      <w:rPr>
        <w:rStyle w:val="pagenum"/>
      </w:rPr>
      <w:fldChar w:fldCharType="end"/>
    </w:r>
    <w:r>
      <w:rPr>
        <w:rStyle w:val="pagenum"/>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8"/>
      <w:numFmt w:val="decimal"/>
      <w:pStyle w:val="Heading1"/>
      <w:lvlText w:val="%1."/>
      <w:legacy w:legacy="1" w:legacySpace="0" w:legacyIndent="0"/>
      <w:lvlJc w:val="left"/>
      <w:rPr>
        <w:rFonts w:ascii="Arial" w:hAnsi="Arial" w:hint="default"/>
        <w:b w:val="0"/>
        <w:i w:val="0"/>
        <w:strike w:val="0"/>
        <w:sz w:val="2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3AD05B9"/>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2">
    <w:nsid w:val="36940726"/>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3">
    <w:nsid w:val="36C67D5E"/>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4">
    <w:nsid w:val="59BE1608"/>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5">
    <w:nsid w:val="5A6E6EA9"/>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6">
    <w:nsid w:val="624F4EE4"/>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7">
    <w:nsid w:val="718015F7"/>
    <w:multiLevelType w:val="singleLevel"/>
    <w:tmpl w:val="81A283BC"/>
    <w:lvl w:ilvl="0">
      <w:start w:val="1"/>
      <w:numFmt w:val="bullet"/>
      <w:lvlText w:val=""/>
      <w:lvlJc w:val="left"/>
      <w:pPr>
        <w:tabs>
          <w:tab w:val="num" w:pos="1008"/>
        </w:tabs>
        <w:ind w:left="1008" w:hanging="504"/>
      </w:pPr>
      <w:rPr>
        <w:rFonts w:ascii="Symbol" w:hAnsi="Symbol" w:hint="default"/>
      </w:rPr>
    </w:lvl>
  </w:abstractNum>
  <w:abstractNum w:abstractNumId="8">
    <w:nsid w:val="76462A79"/>
    <w:multiLevelType w:val="singleLevel"/>
    <w:tmpl w:val="8F4A7150"/>
    <w:lvl w:ilvl="0">
      <w:start w:val="1"/>
      <w:numFmt w:val="bullet"/>
      <w:pStyle w:val="Bullet"/>
      <w:lvlText w:val=""/>
      <w:legacy w:legacy="1" w:legacySpace="0" w:legacyIndent="504"/>
      <w:lvlJc w:val="left"/>
      <w:pPr>
        <w:ind w:left="1008" w:hanging="504"/>
      </w:pPr>
      <w:rPr>
        <w:rFonts w:ascii="Symbol" w:hAnsi="Symbol" w:hint="default"/>
      </w:r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0"/>
  <w:hyphenationZone w:val="98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16"/>
    <w:rsid w:val="0002104C"/>
    <w:rsid w:val="00046EE7"/>
    <w:rsid w:val="00055B41"/>
    <w:rsid w:val="00080E3D"/>
    <w:rsid w:val="00141BBA"/>
    <w:rsid w:val="001A055D"/>
    <w:rsid w:val="00210A88"/>
    <w:rsid w:val="00410B16"/>
    <w:rsid w:val="00477AD9"/>
    <w:rsid w:val="004836B2"/>
    <w:rsid w:val="004848C6"/>
    <w:rsid w:val="00492791"/>
    <w:rsid w:val="004A3A29"/>
    <w:rsid w:val="004C57D4"/>
    <w:rsid w:val="004F6C04"/>
    <w:rsid w:val="005126C2"/>
    <w:rsid w:val="005D59F7"/>
    <w:rsid w:val="006E14EE"/>
    <w:rsid w:val="006F2B5F"/>
    <w:rsid w:val="00736551"/>
    <w:rsid w:val="00761AFD"/>
    <w:rsid w:val="00763A25"/>
    <w:rsid w:val="00840302"/>
    <w:rsid w:val="00874991"/>
    <w:rsid w:val="009357F0"/>
    <w:rsid w:val="009D7036"/>
    <w:rsid w:val="009F4DE4"/>
    <w:rsid w:val="00A1526C"/>
    <w:rsid w:val="00A224B7"/>
    <w:rsid w:val="00B10985"/>
    <w:rsid w:val="00B63E88"/>
    <w:rsid w:val="00C33DD5"/>
    <w:rsid w:val="00C8435D"/>
    <w:rsid w:val="00CF7EC2"/>
    <w:rsid w:val="00DE3F79"/>
    <w:rsid w:val="00EA6CC4"/>
    <w:rsid w:val="00F9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napToGrid w:val="0"/>
    </w:rPr>
  </w:style>
  <w:style w:type="paragraph" w:styleId="Heading1">
    <w:name w:val="heading 1"/>
    <w:aliases w:val="StartNum"/>
    <w:basedOn w:val="Normal"/>
    <w:next w:val="Normal"/>
    <w:qFormat/>
    <w:pPr>
      <w:numPr>
        <w:numId w:val="1"/>
      </w:numPr>
      <w:outlineLvl w:val="0"/>
    </w:pPr>
  </w:style>
  <w:style w:type="paragraph" w:styleId="Heading2">
    <w:name w:val="heading 2"/>
    <w:aliases w:val="SectionNum"/>
    <w:basedOn w:val="Normal"/>
    <w:next w:val="Normal"/>
    <w:qFormat/>
    <w:pPr>
      <w:numPr>
        <w:ilvl w:val="1"/>
        <w:numId w:val="1"/>
      </w:numPr>
      <w:outlineLvl w:val="1"/>
    </w:pPr>
  </w:style>
  <w:style w:type="paragraph" w:styleId="Heading3">
    <w:name w:val="heading 3"/>
    <w:aliases w:val="SubSecNum"/>
    <w:basedOn w:val="Normal"/>
    <w:next w:val="Normal"/>
    <w:qFormat/>
    <w:pPr>
      <w:numPr>
        <w:ilvl w:val="2"/>
        <w:numId w:val="1"/>
      </w:numPr>
      <w:outlineLvl w:val="2"/>
    </w:pPr>
  </w:style>
  <w:style w:type="paragraph" w:styleId="Heading4">
    <w:name w:val="heading 4"/>
    <w:aliases w:val="SubSec2Num"/>
    <w:basedOn w:val="Normal"/>
    <w:next w:val="Normal"/>
    <w:qFormat/>
    <w:pPr>
      <w:numPr>
        <w:ilvl w:val="3"/>
        <w:numId w:val="1"/>
      </w:numPr>
      <w:outlineLvl w:val="3"/>
    </w:pPr>
  </w:style>
  <w:style w:type="paragraph" w:styleId="Heading5">
    <w:name w:val="heading 5"/>
    <w:aliases w:val="SubSec3Num"/>
    <w:basedOn w:val="Normal"/>
    <w:next w:val="Normal"/>
    <w:qFormat/>
    <w:pPr>
      <w:numPr>
        <w:ilvl w:val="4"/>
        <w:numId w:val="1"/>
      </w:numPr>
      <w:outlineLvl w:val="4"/>
    </w:pPr>
  </w:style>
  <w:style w:type="paragraph" w:styleId="Heading6">
    <w:name w:val="heading 6"/>
    <w:aliases w:val="SubSec4Num"/>
    <w:basedOn w:val="Normal"/>
    <w:next w:val="Normal"/>
    <w:qFormat/>
    <w:pPr>
      <w:numPr>
        <w:ilvl w:val="5"/>
        <w:numId w:val="1"/>
      </w:numPr>
      <w:outlineLvl w:val="5"/>
    </w:pPr>
  </w:style>
  <w:style w:type="paragraph" w:styleId="Heading7">
    <w:name w:val="heading 7"/>
    <w:aliases w:val="SubSec5Num"/>
    <w:basedOn w:val="Normal"/>
    <w:next w:val="Normal"/>
    <w:qFormat/>
    <w:pPr>
      <w:numPr>
        <w:ilvl w:val="6"/>
        <w:numId w:val="1"/>
      </w:numPr>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360"/>
      </w:tabs>
      <w:spacing w:before="360"/>
    </w:pPr>
    <w:rPr>
      <w:b/>
      <w:caps/>
      <w:sz w:val="24"/>
    </w:rPr>
  </w:style>
  <w:style w:type="paragraph" w:styleId="TOC2">
    <w:name w:val="toc 2"/>
    <w:basedOn w:val="Normal"/>
    <w:next w:val="Normal"/>
    <w:autoRedefine/>
    <w:semiHidden/>
    <w:pPr>
      <w:tabs>
        <w:tab w:val="right" w:leader="dot" w:pos="9360"/>
      </w:tabs>
      <w:spacing w:before="240"/>
      <w:ind w:left="200"/>
    </w:pPr>
    <w:rPr>
      <w:b/>
    </w:rPr>
  </w:style>
  <w:style w:type="paragraph" w:styleId="TOC3">
    <w:name w:val="toc 3"/>
    <w:basedOn w:val="Normal"/>
    <w:next w:val="Normal"/>
    <w:autoRedefine/>
    <w:semiHidden/>
    <w:pPr>
      <w:tabs>
        <w:tab w:val="right" w:leader="dot" w:pos="9360"/>
      </w:tabs>
      <w:ind w:left="400"/>
    </w:pPr>
  </w:style>
  <w:style w:type="paragraph" w:styleId="TOC4">
    <w:name w:val="toc 4"/>
    <w:basedOn w:val="Normal"/>
    <w:next w:val="Normal"/>
    <w:autoRedefine/>
    <w:semiHidden/>
    <w:pPr>
      <w:tabs>
        <w:tab w:val="right" w:leader="dot" w:pos="9360"/>
      </w:tabs>
      <w:ind w:left="600"/>
    </w:pPr>
  </w:style>
  <w:style w:type="paragraph" w:styleId="TOC5">
    <w:name w:val="toc 5"/>
    <w:basedOn w:val="Normal"/>
    <w:next w:val="Normal"/>
    <w:autoRedefine/>
    <w:semiHidden/>
    <w:pPr>
      <w:tabs>
        <w:tab w:val="right" w:leader="dot" w:pos="9360"/>
      </w:tabs>
      <w:ind w:left="800"/>
    </w:pPr>
  </w:style>
  <w:style w:type="paragraph" w:styleId="TOC6">
    <w:name w:val="toc 6"/>
    <w:basedOn w:val="Normal"/>
    <w:next w:val="Normal"/>
    <w:autoRedefine/>
    <w:semiHidden/>
    <w:pPr>
      <w:tabs>
        <w:tab w:val="right" w:leader="dot" w:pos="9360"/>
      </w:tabs>
      <w:ind w:left="1000"/>
    </w:pPr>
  </w:style>
  <w:style w:type="paragraph" w:styleId="TOC7">
    <w:name w:val="toc 7"/>
    <w:basedOn w:val="Normal"/>
    <w:next w:val="Normal"/>
    <w:autoRedefine/>
    <w:semiHidden/>
    <w:pPr>
      <w:tabs>
        <w:tab w:val="right" w:leader="dot" w:pos="9360"/>
      </w:tabs>
      <w:ind w:left="1200"/>
    </w:pPr>
  </w:style>
  <w:style w:type="paragraph" w:styleId="TOC8">
    <w:name w:val="toc 8"/>
    <w:basedOn w:val="Normal"/>
    <w:next w:val="Normal"/>
    <w:autoRedefine/>
    <w:semiHidden/>
    <w:pPr>
      <w:tabs>
        <w:tab w:val="right" w:leader="dot" w:pos="9360"/>
      </w:tabs>
      <w:ind w:left="1400"/>
    </w:pPr>
  </w:style>
  <w:style w:type="paragraph" w:styleId="TOC9">
    <w:name w:val="toc 9"/>
    <w:basedOn w:val="Normal"/>
    <w:next w:val="Normal"/>
    <w:autoRedefine/>
    <w:semiHidden/>
    <w:pPr>
      <w:tabs>
        <w:tab w:val="right" w:leader="dot" w:pos="9360"/>
      </w:tabs>
      <w:ind w:left="1600"/>
    </w:pPr>
  </w:style>
  <w:style w:type="paragraph" w:styleId="Index1">
    <w:name w:val="index 1"/>
    <w:basedOn w:val="Normal"/>
    <w:next w:val="Normal"/>
    <w:autoRedefine/>
    <w:semiHidden/>
    <w:pPr>
      <w:tabs>
        <w:tab w:val="left" w:leader="dot" w:pos="9000"/>
        <w:tab w:val="right" w:pos="9360"/>
      </w:tabs>
      <w:suppressAutoHyphens/>
      <w:ind w:left="1440" w:right="720" w:hanging="1440"/>
    </w:pPr>
  </w:style>
  <w:style w:type="paragraph" w:styleId="Index2">
    <w:name w:val="index 2"/>
    <w:basedOn w:val="Normal"/>
    <w:next w:val="Normal"/>
    <w:autoRedefine/>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Header">
    <w:name w:val="header"/>
    <w:basedOn w:val="Normal"/>
    <w:pPr>
      <w:tabs>
        <w:tab w:val="center" w:pos="4320"/>
        <w:tab w:val="right" w:pos="8640"/>
      </w:tabs>
    </w:pPr>
  </w:style>
  <w:style w:type="character" w:customStyle="1" w:styleId="Note">
    <w:name w:val="Note"/>
    <w:rPr>
      <w:rFonts w:ascii="Arial" w:hAnsi="Arial"/>
      <w:b/>
      <w:i/>
      <w:sz w:val="20"/>
    </w:rPr>
  </w:style>
  <w:style w:type="paragraph" w:customStyle="1" w:styleId="Para">
    <w:name w:val="Para"/>
    <w:basedOn w:val="Normal"/>
    <w:next w:val="Normal"/>
    <w:pPr>
      <w:tabs>
        <w:tab w:val="left" w:pos="504"/>
      </w:tabs>
      <w:ind w:left="504" w:hanging="504"/>
    </w:pPr>
  </w:style>
  <w:style w:type="paragraph" w:customStyle="1" w:styleId="NotePara">
    <w:name w:val="NotePara"/>
    <w:basedOn w:val="Normal"/>
    <w:next w:val="Normal"/>
    <w:pPr>
      <w:tabs>
        <w:tab w:val="left" w:pos="1152"/>
      </w:tabs>
      <w:ind w:left="1152" w:hanging="1152"/>
    </w:pPr>
  </w:style>
  <w:style w:type="character" w:customStyle="1" w:styleId="Redline">
    <w:name w:val="Redline"/>
    <w:rPr>
      <w:color w:val="FF0000"/>
    </w:rPr>
  </w:style>
  <w:style w:type="character" w:customStyle="1" w:styleId="Caution">
    <w:name w:val="Caution"/>
    <w:rPr>
      <w:rFonts w:ascii="Arial" w:hAnsi="Arial"/>
      <w:b/>
      <w:i/>
      <w:sz w:val="20"/>
    </w:rPr>
  </w:style>
  <w:style w:type="character" w:customStyle="1" w:styleId="Exception">
    <w:name w:val="Exception"/>
    <w:rPr>
      <w:rFonts w:ascii="Arial" w:hAnsi="Arial"/>
      <w:b/>
      <w:i/>
      <w:sz w:val="20"/>
    </w:rPr>
  </w:style>
  <w:style w:type="character" w:customStyle="1" w:styleId="Example">
    <w:name w:val="Example"/>
    <w:rPr>
      <w:rFonts w:ascii="Arial" w:hAnsi="Arial"/>
      <w:b/>
      <w:i/>
      <w:sz w:val="20"/>
    </w:rPr>
  </w:style>
  <w:style w:type="character" w:customStyle="1" w:styleId="Reminder">
    <w:name w:val="Reminder"/>
    <w:rPr>
      <w:rFonts w:ascii="Arial" w:hAnsi="Arial"/>
      <w:b/>
      <w:i/>
      <w:sz w:val="20"/>
    </w:rPr>
  </w:style>
  <w:style w:type="paragraph" w:customStyle="1" w:styleId="Bullet">
    <w:name w:val="Bullet"/>
    <w:basedOn w:val="Normal"/>
    <w:pPr>
      <w:numPr>
        <w:numId w:val="2"/>
      </w:numPr>
    </w:pPr>
  </w:style>
  <w:style w:type="paragraph" w:customStyle="1" w:styleId="AlphaList">
    <w:name w:val="AlphaList"/>
    <w:basedOn w:val="Normal"/>
    <w:pPr>
      <w:ind w:left="1008" w:hanging="504"/>
    </w:pPr>
  </w:style>
  <w:style w:type="paragraph" w:customStyle="1" w:styleId="StepList">
    <w:name w:val="StepList"/>
    <w:basedOn w:val="Normal"/>
    <w:pPr>
      <w:ind w:left="864" w:hanging="360"/>
    </w:pPr>
  </w:style>
  <w:style w:type="paragraph" w:styleId="Title">
    <w:name w:val="Title"/>
    <w:basedOn w:val="Normal"/>
    <w:next w:val="Normal"/>
    <w:qFormat/>
    <w:rPr>
      <w:b/>
      <w:kern w:val="28"/>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Chapter">
    <w:name w:val="Chapter"/>
    <w:rPr>
      <w:rFonts w:ascii="Arial" w:hAnsi="Arial"/>
      <w:sz w:val="32"/>
    </w:rPr>
  </w:style>
  <w:style w:type="character" w:customStyle="1" w:styleId="MTnum">
    <w:name w:val="MTnum"/>
    <w:rPr>
      <w:rFonts w:ascii="Arial" w:hAnsi="Arial"/>
      <w:sz w:val="18"/>
    </w:rPr>
  </w:style>
  <w:style w:type="character" w:customStyle="1" w:styleId="FootText">
    <w:name w:val="FootText"/>
    <w:rPr>
      <w:rFonts w:ascii="Arial" w:hAnsi="Arial"/>
      <w:sz w:val="18"/>
    </w:rPr>
  </w:style>
  <w:style w:type="character" w:customStyle="1" w:styleId="pagenum">
    <w:name w:val="pagenum"/>
    <w:rPr>
      <w:rFonts w:ascii="Arial" w:hAnsi="Arial"/>
      <w:sz w:val="22"/>
    </w:rPr>
  </w:style>
  <w:style w:type="character" w:customStyle="1" w:styleId="chsectnum">
    <w:name w:val="chsectnum"/>
    <w:rPr>
      <w:rFonts w:ascii="Arial" w:hAnsi="Arial"/>
      <w:b/>
      <w:sz w:val="22"/>
    </w:rPr>
  </w:style>
  <w:style w:type="character" w:customStyle="1" w:styleId="MTDate">
    <w:name w:val="MTDate"/>
    <w:rPr>
      <w:rFonts w:ascii="Arial" w:hAnsi="Arial"/>
      <w:i/>
      <w:sz w:val="14"/>
    </w:rPr>
  </w:style>
  <w:style w:type="character" w:customStyle="1" w:styleId="Booknum">
    <w:name w:val="Booknum"/>
    <w:rPr>
      <w:rFonts w:ascii="Arial" w:hAnsi="Arial"/>
      <w:b/>
      <w:sz w:val="32"/>
    </w:rPr>
  </w:style>
  <w:style w:type="character" w:customStyle="1" w:styleId="Booktitle">
    <w:name w:val="Booktitle"/>
    <w:rPr>
      <w:rFonts w:ascii="Arial" w:hAnsi="Arial"/>
      <w:b/>
      <w:sz w:val="32"/>
    </w:rPr>
  </w:style>
  <w:style w:type="character" w:customStyle="1" w:styleId="Chaptitle">
    <w:name w:val="Chaptitle"/>
    <w:rPr>
      <w:rFonts w:ascii="Arial" w:hAnsi="Arial"/>
      <w:sz w:val="32"/>
    </w:rPr>
  </w:style>
  <w:style w:type="paragraph" w:styleId="Caption">
    <w:name w:val="caption"/>
    <w:basedOn w:val="Normal"/>
    <w:next w:val="Normal"/>
    <w:qFormat/>
    <w:pPr>
      <w:spacing w:before="120" w:after="120"/>
    </w:pPr>
    <w:rPr>
      <w:b/>
    </w:rPr>
  </w:style>
  <w:style w:type="character" w:customStyle="1" w:styleId="SecTitle">
    <w:name w:val="SecTitle"/>
    <w:rPr>
      <w:rFonts w:ascii="Arial" w:hAnsi="Arial"/>
      <w:b/>
      <w:sz w:val="22"/>
    </w:rPr>
  </w:style>
  <w:style w:type="character" w:customStyle="1" w:styleId="SectNum">
    <w:name w:val="SectNum"/>
    <w:rPr>
      <w:rFonts w:ascii="Arial" w:hAnsi="Arial"/>
      <w:sz w:val="20"/>
    </w:rPr>
  </w:style>
  <w:style w:type="paragraph" w:customStyle="1" w:styleId="Exhibit">
    <w:name w:val="Exhibit"/>
    <w:basedOn w:val="Normal"/>
    <w:rPr>
      <w:b/>
    </w:rPr>
  </w:style>
  <w:style w:type="paragraph" w:customStyle="1" w:styleId="Exhtitle">
    <w:name w:val="Exhtitle"/>
    <w:basedOn w:val="Exhibit"/>
  </w:style>
  <w:style w:type="paragraph" w:customStyle="1" w:styleId="NoNumPara">
    <w:name w:val="NoNumPara"/>
    <w:basedOn w:val="Para"/>
    <w:rPr>
      <w:color w:val="000000"/>
    </w:rPr>
  </w:style>
  <w:style w:type="paragraph" w:customStyle="1" w:styleId="ListNotePara">
    <w:name w:val="ListNotePara"/>
    <w:basedOn w:val="NotePara"/>
    <w:next w:val="Normal"/>
    <w:pPr>
      <w:ind w:left="1656"/>
    </w:pPr>
  </w:style>
  <w:style w:type="paragraph" w:customStyle="1" w:styleId="Section">
    <w:name w:val="Section"/>
    <w:basedOn w:val="Normal"/>
    <w:rPr>
      <w:b/>
      <w:sz w:val="22"/>
    </w:rPr>
  </w:style>
  <w:style w:type="paragraph" w:customStyle="1" w:styleId="SubSec">
    <w:name w:val="SubSec"/>
    <w:basedOn w:val="Normal"/>
    <w:rPr>
      <w:b/>
      <w:sz w:val="22"/>
    </w:rPr>
  </w:style>
  <w:style w:type="paragraph" w:customStyle="1" w:styleId="SubSec2">
    <w:name w:val="SubSec2"/>
    <w:basedOn w:val="Normal"/>
    <w:rPr>
      <w:b/>
      <w:sz w:val="22"/>
    </w:rPr>
  </w:style>
  <w:style w:type="paragraph" w:customStyle="1" w:styleId="SubSec3">
    <w:name w:val="SubSec3"/>
    <w:basedOn w:val="Normal"/>
    <w:rPr>
      <w:b/>
      <w:sz w:val="22"/>
    </w:rPr>
  </w:style>
  <w:style w:type="paragraph" w:customStyle="1" w:styleId="SubSec4">
    <w:name w:val="SubSec4"/>
    <w:basedOn w:val="Normal"/>
    <w:rPr>
      <w:b/>
      <w:sz w:val="22"/>
    </w:rPr>
  </w:style>
  <w:style w:type="paragraph" w:customStyle="1" w:styleId="SubSec5">
    <w:name w:val="SubSec5"/>
    <w:basedOn w:val="Normal"/>
    <w:rPr>
      <w:b/>
      <w:sz w:val="22"/>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tabs>
        <w:tab w:val="left" w:pos="540"/>
      </w:tabs>
    </w:pPr>
    <w:rPr>
      <w:rFonts w:ascii="Bookman Old Style" w:hAnsi="Bookman Old Style"/>
      <w:sz w:val="22"/>
    </w:rPr>
  </w:style>
  <w:style w:type="paragraph" w:styleId="BodyText2">
    <w:name w:val="Body Text 2"/>
    <w:basedOn w:val="Normal"/>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7365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napToGrid w:val="0"/>
    </w:rPr>
  </w:style>
  <w:style w:type="paragraph" w:styleId="Heading1">
    <w:name w:val="heading 1"/>
    <w:aliases w:val="StartNum"/>
    <w:basedOn w:val="Normal"/>
    <w:next w:val="Normal"/>
    <w:qFormat/>
    <w:pPr>
      <w:numPr>
        <w:numId w:val="1"/>
      </w:numPr>
      <w:outlineLvl w:val="0"/>
    </w:pPr>
  </w:style>
  <w:style w:type="paragraph" w:styleId="Heading2">
    <w:name w:val="heading 2"/>
    <w:aliases w:val="SectionNum"/>
    <w:basedOn w:val="Normal"/>
    <w:next w:val="Normal"/>
    <w:qFormat/>
    <w:pPr>
      <w:numPr>
        <w:ilvl w:val="1"/>
        <w:numId w:val="1"/>
      </w:numPr>
      <w:outlineLvl w:val="1"/>
    </w:pPr>
  </w:style>
  <w:style w:type="paragraph" w:styleId="Heading3">
    <w:name w:val="heading 3"/>
    <w:aliases w:val="SubSecNum"/>
    <w:basedOn w:val="Normal"/>
    <w:next w:val="Normal"/>
    <w:qFormat/>
    <w:pPr>
      <w:numPr>
        <w:ilvl w:val="2"/>
        <w:numId w:val="1"/>
      </w:numPr>
      <w:outlineLvl w:val="2"/>
    </w:pPr>
  </w:style>
  <w:style w:type="paragraph" w:styleId="Heading4">
    <w:name w:val="heading 4"/>
    <w:aliases w:val="SubSec2Num"/>
    <w:basedOn w:val="Normal"/>
    <w:next w:val="Normal"/>
    <w:qFormat/>
    <w:pPr>
      <w:numPr>
        <w:ilvl w:val="3"/>
        <w:numId w:val="1"/>
      </w:numPr>
      <w:outlineLvl w:val="3"/>
    </w:pPr>
  </w:style>
  <w:style w:type="paragraph" w:styleId="Heading5">
    <w:name w:val="heading 5"/>
    <w:aliases w:val="SubSec3Num"/>
    <w:basedOn w:val="Normal"/>
    <w:next w:val="Normal"/>
    <w:qFormat/>
    <w:pPr>
      <w:numPr>
        <w:ilvl w:val="4"/>
        <w:numId w:val="1"/>
      </w:numPr>
      <w:outlineLvl w:val="4"/>
    </w:pPr>
  </w:style>
  <w:style w:type="paragraph" w:styleId="Heading6">
    <w:name w:val="heading 6"/>
    <w:aliases w:val="SubSec4Num"/>
    <w:basedOn w:val="Normal"/>
    <w:next w:val="Normal"/>
    <w:qFormat/>
    <w:pPr>
      <w:numPr>
        <w:ilvl w:val="5"/>
        <w:numId w:val="1"/>
      </w:numPr>
      <w:outlineLvl w:val="5"/>
    </w:pPr>
  </w:style>
  <w:style w:type="paragraph" w:styleId="Heading7">
    <w:name w:val="heading 7"/>
    <w:aliases w:val="SubSec5Num"/>
    <w:basedOn w:val="Normal"/>
    <w:next w:val="Normal"/>
    <w:qFormat/>
    <w:pPr>
      <w:numPr>
        <w:ilvl w:val="6"/>
        <w:numId w:val="1"/>
      </w:numPr>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360"/>
      </w:tabs>
      <w:spacing w:before="360"/>
    </w:pPr>
    <w:rPr>
      <w:b/>
      <w:caps/>
      <w:sz w:val="24"/>
    </w:rPr>
  </w:style>
  <w:style w:type="paragraph" w:styleId="TOC2">
    <w:name w:val="toc 2"/>
    <w:basedOn w:val="Normal"/>
    <w:next w:val="Normal"/>
    <w:autoRedefine/>
    <w:semiHidden/>
    <w:pPr>
      <w:tabs>
        <w:tab w:val="right" w:leader="dot" w:pos="9360"/>
      </w:tabs>
      <w:spacing w:before="240"/>
      <w:ind w:left="200"/>
    </w:pPr>
    <w:rPr>
      <w:b/>
    </w:rPr>
  </w:style>
  <w:style w:type="paragraph" w:styleId="TOC3">
    <w:name w:val="toc 3"/>
    <w:basedOn w:val="Normal"/>
    <w:next w:val="Normal"/>
    <w:autoRedefine/>
    <w:semiHidden/>
    <w:pPr>
      <w:tabs>
        <w:tab w:val="right" w:leader="dot" w:pos="9360"/>
      </w:tabs>
      <w:ind w:left="400"/>
    </w:pPr>
  </w:style>
  <w:style w:type="paragraph" w:styleId="TOC4">
    <w:name w:val="toc 4"/>
    <w:basedOn w:val="Normal"/>
    <w:next w:val="Normal"/>
    <w:autoRedefine/>
    <w:semiHidden/>
    <w:pPr>
      <w:tabs>
        <w:tab w:val="right" w:leader="dot" w:pos="9360"/>
      </w:tabs>
      <w:ind w:left="600"/>
    </w:pPr>
  </w:style>
  <w:style w:type="paragraph" w:styleId="TOC5">
    <w:name w:val="toc 5"/>
    <w:basedOn w:val="Normal"/>
    <w:next w:val="Normal"/>
    <w:autoRedefine/>
    <w:semiHidden/>
    <w:pPr>
      <w:tabs>
        <w:tab w:val="right" w:leader="dot" w:pos="9360"/>
      </w:tabs>
      <w:ind w:left="800"/>
    </w:pPr>
  </w:style>
  <w:style w:type="paragraph" w:styleId="TOC6">
    <w:name w:val="toc 6"/>
    <w:basedOn w:val="Normal"/>
    <w:next w:val="Normal"/>
    <w:autoRedefine/>
    <w:semiHidden/>
    <w:pPr>
      <w:tabs>
        <w:tab w:val="right" w:leader="dot" w:pos="9360"/>
      </w:tabs>
      <w:ind w:left="1000"/>
    </w:pPr>
  </w:style>
  <w:style w:type="paragraph" w:styleId="TOC7">
    <w:name w:val="toc 7"/>
    <w:basedOn w:val="Normal"/>
    <w:next w:val="Normal"/>
    <w:autoRedefine/>
    <w:semiHidden/>
    <w:pPr>
      <w:tabs>
        <w:tab w:val="right" w:leader="dot" w:pos="9360"/>
      </w:tabs>
      <w:ind w:left="1200"/>
    </w:pPr>
  </w:style>
  <w:style w:type="paragraph" w:styleId="TOC8">
    <w:name w:val="toc 8"/>
    <w:basedOn w:val="Normal"/>
    <w:next w:val="Normal"/>
    <w:autoRedefine/>
    <w:semiHidden/>
    <w:pPr>
      <w:tabs>
        <w:tab w:val="right" w:leader="dot" w:pos="9360"/>
      </w:tabs>
      <w:ind w:left="1400"/>
    </w:pPr>
  </w:style>
  <w:style w:type="paragraph" w:styleId="TOC9">
    <w:name w:val="toc 9"/>
    <w:basedOn w:val="Normal"/>
    <w:next w:val="Normal"/>
    <w:autoRedefine/>
    <w:semiHidden/>
    <w:pPr>
      <w:tabs>
        <w:tab w:val="right" w:leader="dot" w:pos="9360"/>
      </w:tabs>
      <w:ind w:left="1600"/>
    </w:pPr>
  </w:style>
  <w:style w:type="paragraph" w:styleId="Index1">
    <w:name w:val="index 1"/>
    <w:basedOn w:val="Normal"/>
    <w:next w:val="Normal"/>
    <w:autoRedefine/>
    <w:semiHidden/>
    <w:pPr>
      <w:tabs>
        <w:tab w:val="left" w:leader="dot" w:pos="9000"/>
        <w:tab w:val="right" w:pos="9360"/>
      </w:tabs>
      <w:suppressAutoHyphens/>
      <w:ind w:left="1440" w:right="720" w:hanging="1440"/>
    </w:pPr>
  </w:style>
  <w:style w:type="paragraph" w:styleId="Index2">
    <w:name w:val="index 2"/>
    <w:basedOn w:val="Normal"/>
    <w:next w:val="Normal"/>
    <w:autoRedefine/>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Header">
    <w:name w:val="header"/>
    <w:basedOn w:val="Normal"/>
    <w:pPr>
      <w:tabs>
        <w:tab w:val="center" w:pos="4320"/>
        <w:tab w:val="right" w:pos="8640"/>
      </w:tabs>
    </w:pPr>
  </w:style>
  <w:style w:type="character" w:customStyle="1" w:styleId="Note">
    <w:name w:val="Note"/>
    <w:rPr>
      <w:rFonts w:ascii="Arial" w:hAnsi="Arial"/>
      <w:b/>
      <w:i/>
      <w:sz w:val="20"/>
    </w:rPr>
  </w:style>
  <w:style w:type="paragraph" w:customStyle="1" w:styleId="Para">
    <w:name w:val="Para"/>
    <w:basedOn w:val="Normal"/>
    <w:next w:val="Normal"/>
    <w:pPr>
      <w:tabs>
        <w:tab w:val="left" w:pos="504"/>
      </w:tabs>
      <w:ind w:left="504" w:hanging="504"/>
    </w:pPr>
  </w:style>
  <w:style w:type="paragraph" w:customStyle="1" w:styleId="NotePara">
    <w:name w:val="NotePara"/>
    <w:basedOn w:val="Normal"/>
    <w:next w:val="Normal"/>
    <w:pPr>
      <w:tabs>
        <w:tab w:val="left" w:pos="1152"/>
      </w:tabs>
      <w:ind w:left="1152" w:hanging="1152"/>
    </w:pPr>
  </w:style>
  <w:style w:type="character" w:customStyle="1" w:styleId="Redline">
    <w:name w:val="Redline"/>
    <w:rPr>
      <w:color w:val="FF0000"/>
    </w:rPr>
  </w:style>
  <w:style w:type="character" w:customStyle="1" w:styleId="Caution">
    <w:name w:val="Caution"/>
    <w:rPr>
      <w:rFonts w:ascii="Arial" w:hAnsi="Arial"/>
      <w:b/>
      <w:i/>
      <w:sz w:val="20"/>
    </w:rPr>
  </w:style>
  <w:style w:type="character" w:customStyle="1" w:styleId="Exception">
    <w:name w:val="Exception"/>
    <w:rPr>
      <w:rFonts w:ascii="Arial" w:hAnsi="Arial"/>
      <w:b/>
      <w:i/>
      <w:sz w:val="20"/>
    </w:rPr>
  </w:style>
  <w:style w:type="character" w:customStyle="1" w:styleId="Example">
    <w:name w:val="Example"/>
    <w:rPr>
      <w:rFonts w:ascii="Arial" w:hAnsi="Arial"/>
      <w:b/>
      <w:i/>
      <w:sz w:val="20"/>
    </w:rPr>
  </w:style>
  <w:style w:type="character" w:customStyle="1" w:styleId="Reminder">
    <w:name w:val="Reminder"/>
    <w:rPr>
      <w:rFonts w:ascii="Arial" w:hAnsi="Arial"/>
      <w:b/>
      <w:i/>
      <w:sz w:val="20"/>
    </w:rPr>
  </w:style>
  <w:style w:type="paragraph" w:customStyle="1" w:styleId="Bullet">
    <w:name w:val="Bullet"/>
    <w:basedOn w:val="Normal"/>
    <w:pPr>
      <w:numPr>
        <w:numId w:val="2"/>
      </w:numPr>
    </w:pPr>
  </w:style>
  <w:style w:type="paragraph" w:customStyle="1" w:styleId="AlphaList">
    <w:name w:val="AlphaList"/>
    <w:basedOn w:val="Normal"/>
    <w:pPr>
      <w:ind w:left="1008" w:hanging="504"/>
    </w:pPr>
  </w:style>
  <w:style w:type="paragraph" w:customStyle="1" w:styleId="StepList">
    <w:name w:val="StepList"/>
    <w:basedOn w:val="Normal"/>
    <w:pPr>
      <w:ind w:left="864" w:hanging="360"/>
    </w:pPr>
  </w:style>
  <w:style w:type="paragraph" w:styleId="Title">
    <w:name w:val="Title"/>
    <w:basedOn w:val="Normal"/>
    <w:next w:val="Normal"/>
    <w:qFormat/>
    <w:rPr>
      <w:b/>
      <w:kern w:val="28"/>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Chapter">
    <w:name w:val="Chapter"/>
    <w:rPr>
      <w:rFonts w:ascii="Arial" w:hAnsi="Arial"/>
      <w:sz w:val="32"/>
    </w:rPr>
  </w:style>
  <w:style w:type="character" w:customStyle="1" w:styleId="MTnum">
    <w:name w:val="MTnum"/>
    <w:rPr>
      <w:rFonts w:ascii="Arial" w:hAnsi="Arial"/>
      <w:sz w:val="18"/>
    </w:rPr>
  </w:style>
  <w:style w:type="character" w:customStyle="1" w:styleId="FootText">
    <w:name w:val="FootText"/>
    <w:rPr>
      <w:rFonts w:ascii="Arial" w:hAnsi="Arial"/>
      <w:sz w:val="18"/>
    </w:rPr>
  </w:style>
  <w:style w:type="character" w:customStyle="1" w:styleId="pagenum">
    <w:name w:val="pagenum"/>
    <w:rPr>
      <w:rFonts w:ascii="Arial" w:hAnsi="Arial"/>
      <w:sz w:val="22"/>
    </w:rPr>
  </w:style>
  <w:style w:type="character" w:customStyle="1" w:styleId="chsectnum">
    <w:name w:val="chsectnum"/>
    <w:rPr>
      <w:rFonts w:ascii="Arial" w:hAnsi="Arial"/>
      <w:b/>
      <w:sz w:val="22"/>
    </w:rPr>
  </w:style>
  <w:style w:type="character" w:customStyle="1" w:styleId="MTDate">
    <w:name w:val="MTDate"/>
    <w:rPr>
      <w:rFonts w:ascii="Arial" w:hAnsi="Arial"/>
      <w:i/>
      <w:sz w:val="14"/>
    </w:rPr>
  </w:style>
  <w:style w:type="character" w:customStyle="1" w:styleId="Booknum">
    <w:name w:val="Booknum"/>
    <w:rPr>
      <w:rFonts w:ascii="Arial" w:hAnsi="Arial"/>
      <w:b/>
      <w:sz w:val="32"/>
    </w:rPr>
  </w:style>
  <w:style w:type="character" w:customStyle="1" w:styleId="Booktitle">
    <w:name w:val="Booktitle"/>
    <w:rPr>
      <w:rFonts w:ascii="Arial" w:hAnsi="Arial"/>
      <w:b/>
      <w:sz w:val="32"/>
    </w:rPr>
  </w:style>
  <w:style w:type="character" w:customStyle="1" w:styleId="Chaptitle">
    <w:name w:val="Chaptitle"/>
    <w:rPr>
      <w:rFonts w:ascii="Arial" w:hAnsi="Arial"/>
      <w:sz w:val="32"/>
    </w:rPr>
  </w:style>
  <w:style w:type="paragraph" w:styleId="Caption">
    <w:name w:val="caption"/>
    <w:basedOn w:val="Normal"/>
    <w:next w:val="Normal"/>
    <w:qFormat/>
    <w:pPr>
      <w:spacing w:before="120" w:after="120"/>
    </w:pPr>
    <w:rPr>
      <w:b/>
    </w:rPr>
  </w:style>
  <w:style w:type="character" w:customStyle="1" w:styleId="SecTitle">
    <w:name w:val="SecTitle"/>
    <w:rPr>
      <w:rFonts w:ascii="Arial" w:hAnsi="Arial"/>
      <w:b/>
      <w:sz w:val="22"/>
    </w:rPr>
  </w:style>
  <w:style w:type="character" w:customStyle="1" w:styleId="SectNum">
    <w:name w:val="SectNum"/>
    <w:rPr>
      <w:rFonts w:ascii="Arial" w:hAnsi="Arial"/>
      <w:sz w:val="20"/>
    </w:rPr>
  </w:style>
  <w:style w:type="paragraph" w:customStyle="1" w:styleId="Exhibit">
    <w:name w:val="Exhibit"/>
    <w:basedOn w:val="Normal"/>
    <w:rPr>
      <w:b/>
    </w:rPr>
  </w:style>
  <w:style w:type="paragraph" w:customStyle="1" w:styleId="Exhtitle">
    <w:name w:val="Exhtitle"/>
    <w:basedOn w:val="Exhibit"/>
  </w:style>
  <w:style w:type="paragraph" w:customStyle="1" w:styleId="NoNumPara">
    <w:name w:val="NoNumPara"/>
    <w:basedOn w:val="Para"/>
    <w:rPr>
      <w:color w:val="000000"/>
    </w:rPr>
  </w:style>
  <w:style w:type="paragraph" w:customStyle="1" w:styleId="ListNotePara">
    <w:name w:val="ListNotePara"/>
    <w:basedOn w:val="NotePara"/>
    <w:next w:val="Normal"/>
    <w:pPr>
      <w:ind w:left="1656"/>
    </w:pPr>
  </w:style>
  <w:style w:type="paragraph" w:customStyle="1" w:styleId="Section">
    <w:name w:val="Section"/>
    <w:basedOn w:val="Normal"/>
    <w:rPr>
      <w:b/>
      <w:sz w:val="22"/>
    </w:rPr>
  </w:style>
  <w:style w:type="paragraph" w:customStyle="1" w:styleId="SubSec">
    <w:name w:val="SubSec"/>
    <w:basedOn w:val="Normal"/>
    <w:rPr>
      <w:b/>
      <w:sz w:val="22"/>
    </w:rPr>
  </w:style>
  <w:style w:type="paragraph" w:customStyle="1" w:styleId="SubSec2">
    <w:name w:val="SubSec2"/>
    <w:basedOn w:val="Normal"/>
    <w:rPr>
      <w:b/>
      <w:sz w:val="22"/>
    </w:rPr>
  </w:style>
  <w:style w:type="paragraph" w:customStyle="1" w:styleId="SubSec3">
    <w:name w:val="SubSec3"/>
    <w:basedOn w:val="Normal"/>
    <w:rPr>
      <w:b/>
      <w:sz w:val="22"/>
    </w:rPr>
  </w:style>
  <w:style w:type="paragraph" w:customStyle="1" w:styleId="SubSec4">
    <w:name w:val="SubSec4"/>
    <w:basedOn w:val="Normal"/>
    <w:rPr>
      <w:b/>
      <w:sz w:val="22"/>
    </w:rPr>
  </w:style>
  <w:style w:type="paragraph" w:customStyle="1" w:styleId="SubSec5">
    <w:name w:val="SubSec5"/>
    <w:basedOn w:val="Normal"/>
    <w:rPr>
      <w:b/>
      <w:sz w:val="22"/>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tabs>
        <w:tab w:val="left" w:pos="540"/>
      </w:tabs>
    </w:pPr>
    <w:rPr>
      <w:rFonts w:ascii="Bookman Old Style" w:hAnsi="Bookman Old Style"/>
      <w:sz w:val="22"/>
    </w:rPr>
  </w:style>
  <w:style w:type="paragraph" w:styleId="BodyText2">
    <w:name w:val="Body Text 2"/>
    <w:basedOn w:val="Normal"/>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736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cronyms-table/acronyms-table.docx" TargetMode="External"/><Relationship Id="rId13" Type="http://schemas.openxmlformats.org/officeDocument/2006/relationships/hyperlink" Target="../400-250/chapter400-250.docx"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400-250/chapter400-250.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hapter700-counsel/700-70/700-70.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chapter700-counsel/700-70/700-70.doc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publish.no.irs.gov/irm/P01/pdf/31784D93.PDF" TargetMode="External"/><Relationship Id="rId14" Type="http://schemas.openxmlformats.org/officeDocument/2006/relationships/hyperlink" Target="../../chapter700-counsel/700-70/700-70.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IRS - Inspection</Company>
  <LinksUpToDate>false</LinksUpToDate>
  <CharactersWithSpaces>8532</CharactersWithSpaces>
  <SharedDoc>false</SharedDoc>
  <HLinks>
    <vt:vector size="66" baseType="variant">
      <vt:variant>
        <vt:i4>7798822</vt:i4>
      </vt:variant>
      <vt:variant>
        <vt:i4>30</vt:i4>
      </vt:variant>
      <vt:variant>
        <vt:i4>0</vt:i4>
      </vt:variant>
      <vt:variant>
        <vt:i4>5</vt:i4>
      </vt:variant>
      <vt:variant>
        <vt:lpwstr>../../chapter700-counsel/700-70/700-70.doc</vt:lpwstr>
      </vt:variant>
      <vt:variant>
        <vt:lpwstr>Referrals</vt:lpwstr>
      </vt:variant>
      <vt:variant>
        <vt:i4>2752619</vt:i4>
      </vt:variant>
      <vt:variant>
        <vt:i4>27</vt:i4>
      </vt:variant>
      <vt:variant>
        <vt:i4>0</vt:i4>
      </vt:variant>
      <vt:variant>
        <vt:i4>5</vt:i4>
      </vt:variant>
      <vt:variant>
        <vt:lpwstr>../400-250/chapter400-250.doc</vt:lpwstr>
      </vt:variant>
      <vt:variant>
        <vt:lpwstr>ROI</vt:lpwstr>
      </vt:variant>
      <vt:variant>
        <vt:i4>2752619</vt:i4>
      </vt:variant>
      <vt:variant>
        <vt:i4>24</vt:i4>
      </vt:variant>
      <vt:variant>
        <vt:i4>0</vt:i4>
      </vt:variant>
      <vt:variant>
        <vt:i4>5</vt:i4>
      </vt:variant>
      <vt:variant>
        <vt:lpwstr>../400-250/chapter400-250.doc</vt:lpwstr>
      </vt:variant>
      <vt:variant>
        <vt:lpwstr>ROI</vt:lpwstr>
      </vt:variant>
      <vt:variant>
        <vt:i4>7798822</vt:i4>
      </vt:variant>
      <vt:variant>
        <vt:i4>21</vt:i4>
      </vt:variant>
      <vt:variant>
        <vt:i4>0</vt:i4>
      </vt:variant>
      <vt:variant>
        <vt:i4>5</vt:i4>
      </vt:variant>
      <vt:variant>
        <vt:lpwstr>../../chapter700-counsel/700-70/700-70.doc</vt:lpwstr>
      </vt:variant>
      <vt:variant>
        <vt:lpwstr>Referrals</vt:lpwstr>
      </vt:variant>
      <vt:variant>
        <vt:i4>7798822</vt:i4>
      </vt:variant>
      <vt:variant>
        <vt:i4>18</vt:i4>
      </vt:variant>
      <vt:variant>
        <vt:i4>0</vt:i4>
      </vt:variant>
      <vt:variant>
        <vt:i4>5</vt:i4>
      </vt:variant>
      <vt:variant>
        <vt:lpwstr>../../chapter700-counsel/700-70/700-70.doc</vt:lpwstr>
      </vt:variant>
      <vt:variant>
        <vt:lpwstr>Referrals</vt:lpwstr>
      </vt:variant>
      <vt:variant>
        <vt:i4>2424889</vt:i4>
      </vt:variant>
      <vt:variant>
        <vt:i4>15</vt:i4>
      </vt:variant>
      <vt:variant>
        <vt:i4>0</vt:i4>
      </vt:variant>
      <vt:variant>
        <vt:i4>5</vt:i4>
      </vt:variant>
      <vt:variant>
        <vt:lpwstr>http://publish.no.irs.gov/irm/P01/pdf/31784D93.PDF</vt:lpwstr>
      </vt:variant>
      <vt:variant>
        <vt:lpwstr/>
      </vt:variant>
      <vt:variant>
        <vt:i4>4390917</vt:i4>
      </vt:variant>
      <vt:variant>
        <vt:i4>12</vt:i4>
      </vt:variant>
      <vt:variant>
        <vt:i4>0</vt:i4>
      </vt:variant>
      <vt:variant>
        <vt:i4>5</vt:i4>
      </vt:variant>
      <vt:variant>
        <vt:lpwstr>../acronyms-table/acronyms-table.docx</vt:lpwstr>
      </vt:variant>
      <vt:variant>
        <vt:lpwstr/>
      </vt:variant>
      <vt:variant>
        <vt:i4>1703961</vt:i4>
      </vt:variant>
      <vt:variant>
        <vt:i4>9</vt:i4>
      </vt:variant>
      <vt:variant>
        <vt:i4>0</vt:i4>
      </vt:variant>
      <vt:variant>
        <vt:i4>5</vt:i4>
      </vt:variant>
      <vt:variant>
        <vt:lpwstr/>
      </vt:variant>
      <vt:variant>
        <vt:lpwstr>ROIFormat</vt:lpwstr>
      </vt:variant>
      <vt:variant>
        <vt:i4>393247</vt:i4>
      </vt:variant>
      <vt:variant>
        <vt:i4>6</vt:i4>
      </vt:variant>
      <vt:variant>
        <vt:i4>0</vt:i4>
      </vt:variant>
      <vt:variant>
        <vt:i4>5</vt:i4>
      </vt:variant>
      <vt:variant>
        <vt:lpwstr/>
      </vt:variant>
      <vt:variant>
        <vt:lpwstr>ProsecutionLocalJurisdictions</vt:lpwstr>
      </vt:variant>
      <vt:variant>
        <vt:i4>1900546</vt:i4>
      </vt:variant>
      <vt:variant>
        <vt:i4>3</vt:i4>
      </vt:variant>
      <vt:variant>
        <vt:i4>0</vt:i4>
      </vt:variant>
      <vt:variant>
        <vt:i4>5</vt:i4>
      </vt:variant>
      <vt:variant>
        <vt:lpwstr/>
      </vt:variant>
      <vt:variant>
        <vt:lpwstr>TheftOfNonGovernmentProperty</vt:lpwstr>
      </vt:variant>
      <vt:variant>
        <vt:i4>983046</vt:i4>
      </vt:variant>
      <vt:variant>
        <vt:i4>0</vt:i4>
      </vt:variant>
      <vt:variant>
        <vt:i4>0</vt:i4>
      </vt:variant>
      <vt:variant>
        <vt:i4>5</vt:i4>
      </vt:variant>
      <vt:variant>
        <vt:lpwstr/>
      </vt:variant>
      <vt:variant>
        <vt:lpwstr>TheftOfGovernmentProperty</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Conway</dc:creator>
  <cp:lastModifiedBy>Ross Annie M TIGTA</cp:lastModifiedBy>
  <cp:revision>3</cp:revision>
  <cp:lastPrinted>2009-06-05T13:44:00Z</cp:lastPrinted>
  <dcterms:created xsi:type="dcterms:W3CDTF">2016-01-22T18:35:00Z</dcterms:created>
  <dcterms:modified xsi:type="dcterms:W3CDTF">2016-01-29T02:36:00Z</dcterms:modified>
</cp:coreProperties>
</file>