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Y="1546"/>
        <w:tblW w:w="8330" w:type="dxa"/>
        <w:tblLook w:val="04A0"/>
      </w:tblPr>
      <w:tblGrid>
        <w:gridCol w:w="8330"/>
      </w:tblGrid>
      <w:tr w:rsidR="00D649C2" w:rsidRPr="00D649C2" w:rsidTr="00372442">
        <w:trPr>
          <w:trHeight w:val="851"/>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center"/>
              <w:rPr>
                <w:rFonts w:ascii="宋体" w:eastAsia="宋体" w:hAnsi="宋体" w:cs="宋体"/>
                <w:b/>
                <w:bCs/>
                <w:color w:val="FF0000"/>
                <w:kern w:val="0"/>
                <w:sz w:val="52"/>
                <w:szCs w:val="52"/>
              </w:rPr>
            </w:pPr>
            <w:r w:rsidRPr="00D649C2">
              <w:rPr>
                <w:rFonts w:ascii="宋体" w:eastAsia="宋体" w:hAnsi="宋体" w:cs="宋体" w:hint="eastAsia"/>
                <w:b/>
                <w:bCs/>
                <w:color w:val="FF0000"/>
                <w:kern w:val="0"/>
                <w:sz w:val="52"/>
                <w:szCs w:val="52"/>
              </w:rPr>
              <w:t>工业4.0背景下中国制造业的明天</w:t>
            </w:r>
          </w:p>
        </w:tc>
      </w:tr>
      <w:tr w:rsidR="00D649C2" w:rsidRPr="00D649C2" w:rsidTr="00D649C2">
        <w:trPr>
          <w:trHeight w:val="615"/>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center"/>
              <w:rPr>
                <w:rFonts w:ascii="宋体" w:eastAsia="宋体" w:hAnsi="宋体" w:cs="宋体"/>
                <w:b/>
                <w:bCs/>
                <w:color w:val="000000"/>
                <w:kern w:val="0"/>
                <w:sz w:val="32"/>
                <w:szCs w:val="32"/>
              </w:rPr>
            </w:pPr>
            <w:r w:rsidRPr="00D649C2">
              <w:rPr>
                <w:rFonts w:ascii="宋体" w:eastAsia="宋体" w:hAnsi="宋体" w:cs="宋体" w:hint="eastAsia"/>
                <w:b/>
                <w:bCs/>
                <w:color w:val="000000"/>
                <w:kern w:val="0"/>
                <w:sz w:val="32"/>
                <w:szCs w:val="32"/>
              </w:rPr>
              <w:t>——从传统到精益化到智能化的卓越生产系统构建</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center"/>
              <w:rPr>
                <w:rFonts w:ascii="宋体" w:eastAsia="宋体" w:hAnsi="宋体" w:cs="宋体"/>
                <w:b/>
                <w:bCs/>
                <w:color w:val="000000"/>
                <w:kern w:val="0"/>
                <w:sz w:val="22"/>
              </w:rPr>
            </w:pPr>
            <w:r w:rsidRPr="00D649C2">
              <w:rPr>
                <w:rFonts w:ascii="宋体" w:eastAsia="宋体" w:hAnsi="宋体" w:cs="宋体" w:hint="eastAsia"/>
                <w:b/>
                <w:bCs/>
                <w:color w:val="000000"/>
                <w:kern w:val="0"/>
                <w:sz w:val="22"/>
              </w:rPr>
              <w:t>——制造型企业（降成本、提效率）必修之课</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b/>
                <w:color w:val="000000"/>
                <w:kern w:val="0"/>
                <w:sz w:val="22"/>
              </w:rPr>
            </w:pPr>
            <w:r w:rsidRPr="00D649C2">
              <w:rPr>
                <w:rFonts w:ascii="宋体" w:eastAsia="宋体" w:hAnsi="宋体" w:cs="宋体" w:hint="eastAsia"/>
                <w:b/>
                <w:bCs/>
                <w:color w:val="000000"/>
                <w:kern w:val="0"/>
                <w:sz w:val="22"/>
              </w:rPr>
              <w:t>【 讲师：宋志军 】</w:t>
            </w:r>
            <w:r w:rsidRPr="00D649C2">
              <w:rPr>
                <w:rFonts w:ascii="宋体" w:eastAsia="宋体" w:hAnsi="宋体" w:cs="宋体" w:hint="eastAsia"/>
                <w:b/>
                <w:color w:val="000000"/>
                <w:kern w:val="0"/>
                <w:sz w:val="22"/>
              </w:rPr>
              <w:t>（JIT精益生产、IE工业工程、成本控制、SMED等实战讲师）</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b/>
                <w:color w:val="000000"/>
                <w:kern w:val="0"/>
                <w:sz w:val="22"/>
              </w:rPr>
            </w:pPr>
            <w:r w:rsidRPr="00D649C2">
              <w:rPr>
                <w:rFonts w:ascii="宋体" w:eastAsia="宋体" w:hAnsi="宋体" w:cs="宋体" w:hint="eastAsia"/>
                <w:b/>
                <w:bCs/>
                <w:color w:val="000000"/>
                <w:kern w:val="0"/>
                <w:sz w:val="22"/>
              </w:rPr>
              <w:t>【时间地点】</w:t>
            </w:r>
            <w:r w:rsidRPr="00D649C2">
              <w:rPr>
                <w:rFonts w:ascii="宋体" w:eastAsia="宋体" w:hAnsi="宋体" w:cs="宋体" w:hint="eastAsia"/>
                <w:b/>
                <w:color w:val="000000"/>
                <w:kern w:val="0"/>
                <w:sz w:val="22"/>
              </w:rPr>
              <w:t xml:space="preserve">   2016年6月29-30上海</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b/>
                <w:color w:val="000000"/>
                <w:kern w:val="0"/>
                <w:sz w:val="22"/>
              </w:rPr>
            </w:pPr>
            <w:r w:rsidRPr="00D649C2">
              <w:rPr>
                <w:rFonts w:ascii="宋体" w:eastAsia="宋体" w:hAnsi="宋体" w:cs="宋体" w:hint="eastAsia"/>
                <w:b/>
                <w:bCs/>
                <w:color w:val="000000"/>
                <w:kern w:val="0"/>
                <w:sz w:val="22"/>
              </w:rPr>
              <w:t>【参加对象】</w:t>
            </w:r>
            <w:r w:rsidRPr="00D649C2">
              <w:rPr>
                <w:rFonts w:ascii="宋体" w:eastAsia="宋体" w:hAnsi="宋体" w:cs="宋体" w:hint="eastAsia"/>
                <w:b/>
                <w:color w:val="000000"/>
                <w:kern w:val="0"/>
                <w:sz w:val="22"/>
              </w:rPr>
              <w:t xml:space="preserve">   企业中高层管理人员</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b/>
                <w:color w:val="000000"/>
                <w:kern w:val="0"/>
                <w:sz w:val="22"/>
              </w:rPr>
            </w:pPr>
            <w:r w:rsidRPr="00D649C2">
              <w:rPr>
                <w:rFonts w:ascii="宋体" w:eastAsia="宋体" w:hAnsi="宋体" w:cs="宋体" w:hint="eastAsia"/>
                <w:b/>
                <w:bCs/>
                <w:color w:val="000000"/>
                <w:kern w:val="0"/>
                <w:sz w:val="22"/>
              </w:rPr>
              <w:t>【学习费用】</w:t>
            </w:r>
            <w:r w:rsidRPr="00D649C2">
              <w:rPr>
                <w:rFonts w:ascii="宋体" w:eastAsia="宋体" w:hAnsi="宋体" w:cs="宋体" w:hint="eastAsia"/>
                <w:b/>
                <w:color w:val="000000"/>
                <w:kern w:val="0"/>
                <w:sz w:val="22"/>
              </w:rPr>
              <w:t xml:space="preserve">   3800元/人(包括培训、培训教材、两天午餐、以及上下午茶点等)</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812FF9">
            <w:pPr>
              <w:widowControl/>
              <w:jc w:val="left"/>
              <w:rPr>
                <w:rFonts w:ascii="宋体" w:eastAsia="宋体" w:hAnsi="宋体" w:cs="宋体"/>
                <w:b/>
                <w:color w:val="000000"/>
                <w:kern w:val="0"/>
                <w:sz w:val="22"/>
              </w:rPr>
            </w:pPr>
            <w:r w:rsidRPr="00D649C2">
              <w:rPr>
                <w:rFonts w:ascii="宋体" w:eastAsia="宋体" w:hAnsi="宋体" w:cs="宋体" w:hint="eastAsia"/>
                <w:b/>
                <w:bCs/>
                <w:color w:val="000000"/>
                <w:kern w:val="0"/>
                <w:sz w:val="22"/>
              </w:rPr>
              <w:t>【联系方式】</w:t>
            </w:r>
            <w:r w:rsidRPr="00D649C2">
              <w:rPr>
                <w:rFonts w:ascii="宋体" w:eastAsia="宋体" w:hAnsi="宋体" w:cs="宋体" w:hint="eastAsia"/>
                <w:b/>
                <w:color w:val="000000"/>
                <w:kern w:val="0"/>
                <w:sz w:val="22"/>
              </w:rPr>
              <w:t xml:space="preserve">   </w:t>
            </w:r>
            <w:r w:rsidR="00372442">
              <w:rPr>
                <w:rFonts w:ascii="宋体" w:eastAsia="宋体" w:hAnsi="宋体" w:cs="宋体" w:hint="eastAsia"/>
                <w:b/>
                <w:color w:val="000000"/>
                <w:kern w:val="0"/>
                <w:sz w:val="22"/>
              </w:rPr>
              <w:t xml:space="preserve">18917870808  </w:t>
            </w:r>
            <w:r w:rsidRPr="00D649C2">
              <w:rPr>
                <w:rFonts w:ascii="宋体" w:eastAsia="宋体" w:hAnsi="宋体" w:cs="宋体" w:hint="eastAsia"/>
                <w:b/>
                <w:color w:val="000000"/>
                <w:kern w:val="0"/>
                <w:sz w:val="22"/>
              </w:rPr>
              <w:t xml:space="preserve">  </w:t>
            </w:r>
            <w:r w:rsidR="00372442">
              <w:rPr>
                <w:rFonts w:ascii="宋体" w:eastAsia="宋体" w:hAnsi="宋体" w:cs="宋体" w:hint="eastAsia"/>
                <w:b/>
                <w:color w:val="000000"/>
                <w:kern w:val="0"/>
                <w:sz w:val="22"/>
              </w:rPr>
              <w:t>许先生</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372442">
            <w:pPr>
              <w:widowControl/>
              <w:jc w:val="left"/>
              <w:rPr>
                <w:rFonts w:ascii="宋体" w:eastAsia="宋体" w:hAnsi="宋体" w:cs="宋体"/>
                <w:b/>
                <w:color w:val="000000"/>
                <w:kern w:val="0"/>
                <w:sz w:val="22"/>
              </w:rPr>
            </w:pPr>
            <w:r w:rsidRPr="00D649C2">
              <w:rPr>
                <w:rFonts w:ascii="宋体" w:eastAsia="宋体" w:hAnsi="宋体" w:cs="宋体" w:hint="eastAsia"/>
                <w:b/>
                <w:bCs/>
                <w:color w:val="000000"/>
                <w:kern w:val="0"/>
                <w:sz w:val="22"/>
              </w:rPr>
              <w:t>【QQ/</w:t>
            </w:r>
            <w:r w:rsidR="00812FF9">
              <w:rPr>
                <w:rFonts w:ascii="宋体" w:eastAsia="宋体" w:hAnsi="宋体" w:cs="宋体" w:hint="eastAsia"/>
                <w:b/>
                <w:bCs/>
                <w:color w:val="000000"/>
                <w:kern w:val="0"/>
                <w:sz w:val="22"/>
              </w:rPr>
              <w:t xml:space="preserve"> </w:t>
            </w:r>
            <w:r w:rsidRPr="00D649C2">
              <w:rPr>
                <w:rFonts w:ascii="宋体" w:eastAsia="宋体" w:hAnsi="宋体" w:cs="宋体" w:hint="eastAsia"/>
                <w:b/>
                <w:bCs/>
                <w:color w:val="000000"/>
                <w:kern w:val="0"/>
                <w:sz w:val="22"/>
              </w:rPr>
              <w:t xml:space="preserve">微信】 </w:t>
            </w:r>
            <w:r w:rsidRPr="00D649C2">
              <w:rPr>
                <w:rFonts w:ascii="宋体" w:eastAsia="宋体" w:hAnsi="宋体" w:cs="宋体" w:hint="eastAsia"/>
                <w:b/>
                <w:color w:val="000000"/>
                <w:kern w:val="0"/>
                <w:sz w:val="22"/>
              </w:rPr>
              <w:t xml:space="preserve">  </w:t>
            </w:r>
            <w:r w:rsidR="00372442">
              <w:rPr>
                <w:rFonts w:ascii="宋体" w:eastAsia="宋体" w:hAnsi="宋体" w:cs="宋体" w:hint="eastAsia"/>
                <w:b/>
                <w:color w:val="000000"/>
                <w:kern w:val="0"/>
                <w:sz w:val="22"/>
              </w:rPr>
              <w:t>320588808</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b/>
                <w:bCs/>
                <w:color w:val="7030A0"/>
                <w:kern w:val="0"/>
                <w:sz w:val="22"/>
              </w:rPr>
            </w:pPr>
            <w:r w:rsidRPr="00D649C2">
              <w:rPr>
                <w:rFonts w:ascii="宋体" w:eastAsia="宋体" w:hAnsi="宋体" w:cs="宋体" w:hint="eastAsia"/>
                <w:b/>
                <w:bCs/>
                <w:color w:val="7030A0"/>
                <w:kern w:val="0"/>
                <w:sz w:val="22"/>
              </w:rPr>
              <w:t>课程背景：</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来自于2011年起的宏观调控、产业政策和各种社会思潮的叠加,导致了中国制造业环境空前恶化，企业家精神荡然无存。其中特别值得一提的是，温州大量的民间资本（含不少“知名品牌制造业企业”）,正在“逃离制造业”,中小企业在一片“产业升级”声中纷纷抛弃主业,加入到资本运作的队伍里来。</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而尚在坚守主业的民营企业则步履维艰，人心思退，正在急切寻找生存的出路，一个产业空心化趋势正在蔓延。企业运作的目标是通过持续的消除浪费并向客户提供完美的价值，从而实现企业的内部增值过程。本课程提供了精益系统整体方案，为你介绍起始于丰田汽车公司的精益思想和精益生产系统的实施过程。目的在于：从客户的角度出发，认识价值和发现过程中的浪费，并持续消除浪费；采用精益化的拉动生产系统，有效控制过程中的库存，降低制造周期时间，提高过程的效率（库存、资金的周转率）及客户满意率；为降低或消除过程中的非增值活动，通过降低设置时间、TPM、Poka-Yoke，生产线平衡以及目视控制，标准化作业等具体的改善方法，降低制造成本并支持拉动生产系统的实施。</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b/>
                <w:bCs/>
                <w:color w:val="7030A0"/>
                <w:kern w:val="0"/>
                <w:sz w:val="22"/>
              </w:rPr>
            </w:pPr>
            <w:r w:rsidRPr="00D649C2">
              <w:rPr>
                <w:rFonts w:ascii="宋体" w:eastAsia="宋体" w:hAnsi="宋体" w:cs="宋体" w:hint="eastAsia"/>
                <w:b/>
                <w:bCs/>
                <w:color w:val="7030A0"/>
                <w:kern w:val="0"/>
                <w:sz w:val="22"/>
              </w:rPr>
              <w:t>课程大纲：</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b/>
                <w:bCs/>
                <w:color w:val="000000"/>
                <w:kern w:val="0"/>
                <w:sz w:val="22"/>
              </w:rPr>
            </w:pPr>
            <w:r w:rsidRPr="00D649C2">
              <w:rPr>
                <w:rFonts w:ascii="宋体" w:eastAsia="宋体" w:hAnsi="宋体" w:cs="宋体" w:hint="eastAsia"/>
                <w:b/>
                <w:bCs/>
                <w:color w:val="000000"/>
                <w:kern w:val="0"/>
                <w:sz w:val="22"/>
              </w:rPr>
              <w:t>第一章、精益生产介绍</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一、精益生产到底是什么？(是理念？是哲学？是模式？是方式？是JIT？)</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二、精益生产的优势在哪里？</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三、丰田生产系统模式的精髓是什么?</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案例--精益制造系统架构介绍</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四、精益在中国的挑战</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b/>
                <w:bCs/>
                <w:color w:val="000000"/>
                <w:kern w:val="0"/>
                <w:sz w:val="22"/>
              </w:rPr>
            </w:pPr>
            <w:r w:rsidRPr="00D649C2">
              <w:rPr>
                <w:rFonts w:ascii="宋体" w:eastAsia="宋体" w:hAnsi="宋体" w:cs="宋体" w:hint="eastAsia"/>
                <w:b/>
                <w:bCs/>
                <w:color w:val="000000"/>
                <w:kern w:val="0"/>
                <w:sz w:val="22"/>
              </w:rPr>
              <w:t>第二章、精益战略与目标</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一、精益战略与文化——跨越危机七大精益战略思考</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二、精益目标—“七个零”浪费目标</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三、价值流革新——压缩80％生产周期L/T的精益方法</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lastRenderedPageBreak/>
              <w:t>四、价值流改善案例（著名外企生产周期改善案例总结）</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b/>
                <w:bCs/>
                <w:color w:val="000000"/>
                <w:kern w:val="0"/>
                <w:sz w:val="22"/>
              </w:rPr>
            </w:pPr>
            <w:r w:rsidRPr="00D649C2">
              <w:rPr>
                <w:rFonts w:ascii="宋体" w:eastAsia="宋体" w:hAnsi="宋体" w:cs="宋体" w:hint="eastAsia"/>
                <w:b/>
                <w:bCs/>
                <w:color w:val="000000"/>
                <w:kern w:val="0"/>
                <w:sz w:val="22"/>
              </w:rPr>
              <w:t>第三章、精益的五项基本原则</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一、根据客户的需求定义价值</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二、识别价值流并据此安排经营活动</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三、让产品在增值过程中流动</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四、让用户拉动价值流</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五、永远追求尽善尽美</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b/>
                <w:bCs/>
                <w:color w:val="000000"/>
                <w:kern w:val="0"/>
                <w:sz w:val="22"/>
              </w:rPr>
            </w:pPr>
            <w:r w:rsidRPr="00D649C2">
              <w:rPr>
                <w:rFonts w:ascii="宋体" w:eastAsia="宋体" w:hAnsi="宋体" w:cs="宋体" w:hint="eastAsia"/>
                <w:b/>
                <w:bCs/>
                <w:color w:val="000000"/>
                <w:kern w:val="0"/>
                <w:sz w:val="22"/>
              </w:rPr>
              <w:t>第四章、精益生产的两大支柱</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一、准时化生产（JIT）</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1)同步生产/连续流</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a)工厂布局与流动单元设计</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b)布局对效率和物流的影响</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c)生产节拍时间（Takt）</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2)均衡生产计划和排程</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a)生产数量的均衡</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b)产品品种的均衡</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c)生产排程的均衡</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d)生产线平衡</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e)实施均衡化步骤</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3)拉动生产</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a)价值流（VSM）设计</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b)推动系统与拉动系统比较</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c)拉动系统的含义及其重要作用</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d)拉动式生产的原则、方法</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e)生产计划和物流控制</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f)看板系统设计与看板数量</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g)实施拉动系统的制约因素</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二、自动化</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1)自动停机</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2)Poka-yoke 及其基本原则</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3)异常的处理、问题的发现和解决流程</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4)质量控制的基本工具</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案例--精益生产实例视频欣赏</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b/>
                <w:bCs/>
                <w:color w:val="000000"/>
                <w:kern w:val="0"/>
                <w:sz w:val="22"/>
              </w:rPr>
            </w:pPr>
            <w:r w:rsidRPr="00D649C2">
              <w:rPr>
                <w:rFonts w:ascii="宋体" w:eastAsia="宋体" w:hAnsi="宋体" w:cs="宋体" w:hint="eastAsia"/>
                <w:b/>
                <w:bCs/>
                <w:color w:val="000000"/>
                <w:kern w:val="0"/>
                <w:sz w:val="22"/>
              </w:rPr>
              <w:lastRenderedPageBreak/>
              <w:t>第五章、从精益化生产走向智能化制造——工业4.0的智能化制造</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一、盘点过去才能定义明天</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1)前言：中国还能是“世界制造工厂”吗？</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2)争议：专家之言带给我们什么思考</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3)观点：中国步入工业化后期“新常态”工业4.0渐行渐近</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4)形势：德国提出工业4.0，中国怎么办？</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5)失误：跟上了形式，却迈错了步子</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6)失策：转移越走越窄，创牌谈何容易</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二、认知现在才能规划明天</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1)战略：固本量变发展  推进质变保位</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2)案例：稳步三级跳高  再行工业革新</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3)政策：促先进制造业  内容措施具体</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4)理论：彼得﹒马什本的新工业革命说</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5)结论：压力产生动力  危机呈现机遇</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三、相信明天才能收获效益</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1)突破：“制造大国”变身“制造强国”</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2)信心：快速确定成为世界知名的决策</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3)用心：了解对手  扬长避短才有竞争力</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4)留心：善于借鉴  学会壁垒才有核心技术</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5)同心：与时俱进  不断完善才有实质效益</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6)恒心：不骄不躁  全面发展才有长期潜力</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四、现场讨论与问题解答</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1)行业发展案例及问题研讨</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2)讨论一：机器人？机器+人？</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讨论二：迷雾中的格力手机</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b/>
                <w:bCs/>
                <w:color w:val="FF0000"/>
                <w:kern w:val="0"/>
                <w:sz w:val="22"/>
              </w:rPr>
            </w:pPr>
            <w:r w:rsidRPr="00D649C2">
              <w:rPr>
                <w:rFonts w:ascii="宋体" w:eastAsia="宋体" w:hAnsi="宋体" w:cs="宋体" w:hint="eastAsia"/>
                <w:b/>
                <w:bCs/>
                <w:color w:val="FF0000"/>
                <w:kern w:val="0"/>
                <w:sz w:val="22"/>
              </w:rPr>
              <w:t>讲师简介：</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b/>
                <w:bCs/>
                <w:color w:val="000000"/>
                <w:kern w:val="0"/>
                <w:sz w:val="22"/>
              </w:rPr>
            </w:pPr>
            <w:r w:rsidRPr="00D649C2">
              <w:rPr>
                <w:rFonts w:ascii="宋体" w:eastAsia="宋体" w:hAnsi="宋体" w:cs="宋体" w:hint="eastAsia"/>
                <w:b/>
                <w:bCs/>
                <w:color w:val="000000"/>
                <w:kern w:val="0"/>
                <w:sz w:val="22"/>
              </w:rPr>
              <w:t>宋志军老师简介</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企业学习网资深实战派专家</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广东省企业管理培训协会理事</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宁波大学特聘《信用成本管控与价值分析》首席专家</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CASIO（中山）电子品质技术部经理、生产部经理</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广州朝日电子科技CEO、曾多次远赴日本研修深造</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清华大学MBA、美国管理协会PTT职业培训师</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lastRenderedPageBreak/>
              <w:t>中国生产成本管控第一人、现场管理实效改善专家</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中国式精益生产系统推进先导者，咨询式培训奠基人</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宋志军老师具有12年以上大型日企、德企等外资制造型企业工作经验及10年以上专业管理咨询、培训工作经验，是中国著名现场管理实效改善专家，中国式精益生产系统提出第一人，专注制造业的精益生产管理、设备工程管理、质量管理、成本管控咨询与培训，精通运用前沿管理技术解决企业实际问题的策略及实务，对不同行业、不同企业生产管理的难点、瓶颈等有系统的研究及丰富的经验。辅导过数千家大型企业集团的培训、咨询项目。</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作为一位杰出的管理顾问与培训师，他的理论来源于对珠三角地区多年的成功咨询实践，因此他的观点和建议具有非常强的可操作性，他的经验与理论对于面临着日益激烈的国际竞争的中小企业尤其宝贵。</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宋老师主导研发的以JIT（及时化生产）为主导内容的新生产系统（NPS）项目，立足于企业现有资源，利用JIT管理理念，改变传统生产型态，通过对企业系统“瓶颈”的认定，在“有效产出”、“经营成本”和“压缩库存”目标下进行“突破改善”，使改善成果迅速体现和产生整体效益。目前，已帮助多家企业成功建立实施了NPS系统，在人工成本降低、计划拉动式生产、在制品量减少、提高有效产出量、生产流线化等方面取得了可喜成效，得到了客户高度的评价和认可；其中，某重型机械公司咨询1个月，配套同步加工作业，有效产出每月多增2台；某机电公司咨询半年，新厂房流线化流程设计，有效产出能力提高50%；某乳业公司咨询一年，生产车间减员30%，人工成本从63元/吨降至50元/吨；某五金塑胶公司，咨询辅导3个月，改稼动率为可动率考核，电力能源费用下降3成；某工艺制品厂（生产仿古家具、珠宝箱、箱包）咨询辅导6个月，人均产能提高30%；某纸业公司咨询三年，建立完善的企业管理机制及激励措施，实施流程化管理，企业年销售额逐年倍增，并成功复制两个分厂……</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b/>
                <w:bCs/>
                <w:color w:val="000000"/>
                <w:kern w:val="0"/>
                <w:sz w:val="22"/>
              </w:rPr>
            </w:pPr>
            <w:r w:rsidRPr="00D649C2">
              <w:rPr>
                <w:rFonts w:ascii="宋体" w:eastAsia="宋体" w:hAnsi="宋体" w:cs="宋体" w:hint="eastAsia"/>
                <w:b/>
                <w:bCs/>
                <w:color w:val="000000"/>
                <w:kern w:val="0"/>
                <w:sz w:val="22"/>
              </w:rPr>
              <w:t>授课风格：</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宋老师善于解答学员疑问，上课形式多样，风趣幽默，深入浅出，具很强的互动性，深受客户好评。</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他利用在系统思维、企业学习与知识管理方法、整合企业变革能力方面的丰富实操经验，向各界优秀企业源源不断地输出管理新理念、新技术和操作方案。曾应邀在广州、深圳、东莞、中山、杭州、上海、宁波、温州、青岛、成都、兰州、西安、天津、贵州、福建、湖北、江西等地举办数百场专题演讲、其中的部分案例已成为咨询、培训界经典案例。</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b/>
                <w:bCs/>
                <w:color w:val="000000"/>
                <w:kern w:val="0"/>
                <w:sz w:val="22"/>
              </w:rPr>
            </w:pPr>
            <w:r w:rsidRPr="00D649C2">
              <w:rPr>
                <w:rFonts w:ascii="宋体" w:eastAsia="宋体" w:hAnsi="宋体" w:cs="宋体" w:hint="eastAsia"/>
                <w:b/>
                <w:bCs/>
                <w:color w:val="000000"/>
                <w:kern w:val="0"/>
                <w:sz w:val="22"/>
              </w:rPr>
              <w:t>宋老师培训五大特色：</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启发式教学 — 充分调动学员的积极性，强化学员的创新性和主动性；</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案例式教学 — 讲解式（印证式）案例和讨论式（探究式）案例研究；</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互动式参与 — 融知识于学员体验中，行为再复制及知识应用度高；</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强化文化式 — 从学员思维形式上、心智模式上将企业文化融入知识中；</w:t>
            </w:r>
          </w:p>
        </w:tc>
      </w:tr>
      <w:tr w:rsidR="00D649C2" w:rsidRPr="00D649C2" w:rsidTr="00D649C2">
        <w:trPr>
          <w:trHeight w:val="402"/>
        </w:trPr>
        <w:tc>
          <w:tcPr>
            <w:tcW w:w="8330" w:type="dxa"/>
            <w:tcBorders>
              <w:top w:val="nil"/>
              <w:left w:val="nil"/>
              <w:bottom w:val="nil"/>
              <w:right w:val="nil"/>
            </w:tcBorders>
            <w:shd w:val="clear" w:color="auto" w:fill="auto"/>
            <w:noWrap/>
            <w:vAlign w:val="center"/>
            <w:hideMark/>
          </w:tcPr>
          <w:p w:rsidR="00D649C2" w:rsidRPr="00D649C2" w:rsidRDefault="00D649C2" w:rsidP="00D649C2">
            <w:pPr>
              <w:widowControl/>
              <w:jc w:val="left"/>
              <w:rPr>
                <w:rFonts w:ascii="宋体" w:eastAsia="宋体" w:hAnsi="宋体" w:cs="宋体"/>
                <w:color w:val="000000"/>
                <w:kern w:val="0"/>
                <w:sz w:val="22"/>
              </w:rPr>
            </w:pPr>
            <w:r w:rsidRPr="00D649C2">
              <w:rPr>
                <w:rFonts w:ascii="宋体" w:eastAsia="宋体" w:hAnsi="宋体" w:cs="宋体" w:hint="eastAsia"/>
                <w:color w:val="000000"/>
                <w:kern w:val="0"/>
                <w:sz w:val="22"/>
              </w:rPr>
              <w:t>情境教学式 — 角色互换、情境模拟、使学员对所学课题有更多感悟。</w:t>
            </w:r>
          </w:p>
        </w:tc>
      </w:tr>
    </w:tbl>
    <w:p w:rsidR="00135971" w:rsidRPr="00D649C2" w:rsidRDefault="00135971"/>
    <w:sectPr w:rsidR="00135971" w:rsidRPr="00D649C2" w:rsidSect="00BF59B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7B9A" w:rsidRDefault="006E7B9A" w:rsidP="00D649C2">
      <w:r>
        <w:separator/>
      </w:r>
    </w:p>
  </w:endnote>
  <w:endnote w:type="continuationSeparator" w:id="1">
    <w:p w:rsidR="006E7B9A" w:rsidRDefault="006E7B9A" w:rsidP="00D649C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7B9A" w:rsidRDefault="006E7B9A" w:rsidP="00D649C2">
      <w:r>
        <w:separator/>
      </w:r>
    </w:p>
  </w:footnote>
  <w:footnote w:type="continuationSeparator" w:id="1">
    <w:p w:rsidR="006E7B9A" w:rsidRDefault="006E7B9A" w:rsidP="00D649C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649C2"/>
    <w:rsid w:val="00135971"/>
    <w:rsid w:val="00372442"/>
    <w:rsid w:val="006E7B9A"/>
    <w:rsid w:val="00812FF9"/>
    <w:rsid w:val="00A600B7"/>
    <w:rsid w:val="00A83D0E"/>
    <w:rsid w:val="00BF59B4"/>
    <w:rsid w:val="00D649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59B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649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649C2"/>
    <w:rPr>
      <w:sz w:val="18"/>
      <w:szCs w:val="18"/>
    </w:rPr>
  </w:style>
  <w:style w:type="paragraph" w:styleId="a4">
    <w:name w:val="footer"/>
    <w:basedOn w:val="a"/>
    <w:link w:val="Char0"/>
    <w:uiPriority w:val="99"/>
    <w:semiHidden/>
    <w:unhideWhenUsed/>
    <w:rsid w:val="00D649C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649C2"/>
    <w:rPr>
      <w:sz w:val="18"/>
      <w:szCs w:val="18"/>
    </w:rPr>
  </w:style>
</w:styles>
</file>

<file path=word/webSettings.xml><?xml version="1.0" encoding="utf-8"?>
<w:webSettings xmlns:r="http://schemas.openxmlformats.org/officeDocument/2006/relationships" xmlns:w="http://schemas.openxmlformats.org/wordprocessingml/2006/main">
  <w:divs>
    <w:div w:id="144187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480</Words>
  <Characters>2742</Characters>
  <Application>Microsoft Office Word</Application>
  <DocSecurity>0</DocSecurity>
  <Lines>22</Lines>
  <Paragraphs>6</Paragraphs>
  <ScaleCrop>false</ScaleCrop>
  <Company/>
  <LinksUpToDate>false</LinksUpToDate>
  <CharactersWithSpaces>3216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XiTongTianDi</cp:lastModifiedBy>
  <cp:revision>5</cp:revision>
  <dcterms:created xsi:type="dcterms:W3CDTF">2016-06-06T03:58:00Z</dcterms:created>
  <dcterms:modified xsi:type="dcterms:W3CDTF">2016-06-13T08:59:00Z</dcterms:modified>
</cp:coreProperties>
</file>