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73" w:rsidRPr="00BE31BD" w:rsidRDefault="00684873" w:rsidP="00684873">
      <w:pPr>
        <w:jc w:val="center"/>
        <w:rPr>
          <w:rFonts w:ascii="Arial" w:hAnsi="Arial" w:cs="Arial"/>
          <w:b/>
          <w:color w:val="002060"/>
          <w:sz w:val="72"/>
          <w:szCs w:val="72"/>
        </w:rPr>
      </w:pPr>
      <w:r>
        <w:rPr>
          <w:rFonts w:ascii="Arial" w:hAnsi="Arial" w:cs="Arial"/>
          <w:b/>
          <w:color w:val="002060"/>
          <w:sz w:val="72"/>
          <w:szCs w:val="72"/>
        </w:rPr>
        <w:t>Sorbitol 95%</w:t>
      </w:r>
      <w:r w:rsidR="00AB0A60">
        <w:rPr>
          <w:rFonts w:ascii="Arial" w:hAnsi="Arial" w:cs="Arial"/>
          <w:b/>
          <w:color w:val="002060"/>
          <w:sz w:val="72"/>
          <w:szCs w:val="72"/>
        </w:rPr>
        <w:t xml:space="preserve"> -</w:t>
      </w:r>
      <w:r>
        <w:rPr>
          <w:rFonts w:ascii="Arial" w:hAnsi="Arial" w:cs="Arial"/>
          <w:b/>
          <w:color w:val="002060"/>
          <w:sz w:val="72"/>
          <w:szCs w:val="72"/>
        </w:rPr>
        <w:t xml:space="preserve"> Spray Dried</w:t>
      </w:r>
    </w:p>
    <w:p w:rsidR="0076620B" w:rsidRPr="00D40BAF" w:rsidRDefault="0061185D" w:rsidP="00020409">
      <w:pPr>
        <w:jc w:val="center"/>
        <w:rPr>
          <w:rFonts w:ascii="Arial" w:hAnsi="Arial" w:cs="Arial"/>
          <w:b/>
          <w:color w:val="990000"/>
          <w:sz w:val="48"/>
          <w:szCs w:val="48"/>
        </w:rPr>
      </w:pPr>
      <w:r w:rsidRPr="00D40BAF">
        <w:rPr>
          <w:rFonts w:ascii="Arial" w:hAnsi="Arial" w:cs="Arial"/>
          <w:b/>
          <w:color w:val="990000"/>
          <w:sz w:val="48"/>
          <w:szCs w:val="48"/>
        </w:rPr>
        <w:t>Modeling and Evaluation with</w:t>
      </w:r>
    </w:p>
    <w:p w:rsidR="00E66CAB" w:rsidRPr="00D40BAF" w:rsidRDefault="00E66CAB" w:rsidP="00020409">
      <w:pPr>
        <w:jc w:val="center"/>
        <w:rPr>
          <w:rFonts w:ascii="Arial" w:hAnsi="Arial" w:cs="Arial"/>
          <w:b/>
          <w:color w:val="990000"/>
          <w:sz w:val="48"/>
          <w:szCs w:val="48"/>
        </w:rPr>
      </w:pPr>
      <w:r w:rsidRPr="00D40BAF">
        <w:rPr>
          <w:rFonts w:ascii="Arial" w:hAnsi="Arial" w:cs="Arial"/>
          <w:b/>
          <w:color w:val="990000"/>
          <w:sz w:val="48"/>
          <w:szCs w:val="48"/>
        </w:rPr>
        <w:t>SuperPro Designer</w:t>
      </w:r>
      <w:r w:rsidRPr="00D40BAF">
        <w:rPr>
          <w:rFonts w:ascii="Arial" w:hAnsi="Arial" w:cs="Arial"/>
          <w:b/>
          <w:color w:val="990000"/>
          <w:sz w:val="48"/>
          <w:szCs w:val="48"/>
          <w:vertAlign w:val="superscript"/>
        </w:rPr>
        <w:t>®</w:t>
      </w:r>
    </w:p>
    <w:p w:rsidR="00E66CAB" w:rsidRPr="00BE31BD" w:rsidRDefault="00E66CAB" w:rsidP="002275FA">
      <w:pPr>
        <w:jc w:val="left"/>
      </w:pPr>
    </w:p>
    <w:p w:rsidR="00E66CAB" w:rsidRPr="00BE31BD" w:rsidRDefault="00E66CAB" w:rsidP="002275FA">
      <w:pPr>
        <w:jc w:val="left"/>
      </w:pPr>
    </w:p>
    <w:p w:rsidR="00E66CAB" w:rsidRPr="00BE31BD" w:rsidRDefault="00E66CAB" w:rsidP="002275FA">
      <w:pPr>
        <w:jc w:val="left"/>
      </w:pPr>
    </w:p>
    <w:p w:rsidR="00E66CAB" w:rsidRPr="00BE31BD" w:rsidRDefault="00E66CAB" w:rsidP="002275FA">
      <w:pPr>
        <w:jc w:val="left"/>
      </w:pPr>
    </w:p>
    <w:p w:rsidR="00E66CAB" w:rsidRDefault="00E66CAB" w:rsidP="002275FA">
      <w:pPr>
        <w:jc w:val="left"/>
      </w:pPr>
    </w:p>
    <w:p w:rsidR="00684873" w:rsidRPr="00BE31BD" w:rsidRDefault="00684873" w:rsidP="002275FA">
      <w:pPr>
        <w:jc w:val="left"/>
      </w:pPr>
    </w:p>
    <w:p w:rsidR="00E66CAB" w:rsidRPr="00BE31BD" w:rsidRDefault="00E66CAB" w:rsidP="002275FA">
      <w:pPr>
        <w:jc w:val="left"/>
      </w:pPr>
    </w:p>
    <w:p w:rsidR="00DA7C31" w:rsidRPr="00BE31BD" w:rsidRDefault="00DA7C31" w:rsidP="002275FA">
      <w:pPr>
        <w:jc w:val="left"/>
      </w:pPr>
    </w:p>
    <w:p w:rsidR="00E66CAB" w:rsidRPr="00BE31BD" w:rsidRDefault="00E66CAB" w:rsidP="002275FA">
      <w:pPr>
        <w:jc w:val="left"/>
      </w:pPr>
    </w:p>
    <w:p w:rsidR="00E66CAB" w:rsidRPr="00BE31BD" w:rsidRDefault="00E66CAB" w:rsidP="002275FA">
      <w:pPr>
        <w:jc w:val="left"/>
      </w:pPr>
    </w:p>
    <w:p w:rsidR="00E66CAB" w:rsidRPr="00BE31BD" w:rsidRDefault="00E66CAB" w:rsidP="002275FA">
      <w:pPr>
        <w:jc w:val="left"/>
      </w:pPr>
    </w:p>
    <w:p w:rsidR="00E66CAB" w:rsidRPr="00BE31BD" w:rsidRDefault="00E66CAB" w:rsidP="002275FA">
      <w:pPr>
        <w:jc w:val="left"/>
      </w:pPr>
    </w:p>
    <w:p w:rsidR="00E66CAB" w:rsidRPr="00BE31BD" w:rsidRDefault="00E66CAB" w:rsidP="00020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</w:rPr>
      </w:pPr>
      <w:r w:rsidRPr="00BE31BD">
        <w:rPr>
          <w:rFonts w:ascii="Arial" w:hAnsi="Arial" w:cs="Arial"/>
          <w:b/>
          <w:bCs/>
          <w:color w:val="000000"/>
          <w:sz w:val="40"/>
          <w:szCs w:val="40"/>
        </w:rPr>
        <w:t>INTELLIGEN, INC.</w:t>
      </w:r>
    </w:p>
    <w:p w:rsidR="00E66CAB" w:rsidRPr="00BE31BD" w:rsidRDefault="00E66CAB" w:rsidP="00020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</w:rPr>
      </w:pPr>
      <w:r w:rsidRPr="00BE31BD">
        <w:rPr>
          <w:rFonts w:ascii="Arial" w:hAnsi="Arial" w:cs="Arial"/>
          <w:i/>
          <w:iCs/>
          <w:color w:val="000000"/>
          <w:sz w:val="40"/>
          <w:szCs w:val="40"/>
        </w:rPr>
        <w:t>Simulation, Design, and Scheduling Tools</w:t>
      </w:r>
    </w:p>
    <w:p w:rsidR="00DA7C31" w:rsidRPr="00BE31BD" w:rsidRDefault="00E66CAB" w:rsidP="00DA7C31">
      <w:pPr>
        <w:jc w:val="center"/>
      </w:pPr>
      <w:r w:rsidRPr="00BE31BD">
        <w:rPr>
          <w:rFonts w:ascii="Arial" w:hAnsi="Arial" w:cs="Arial"/>
          <w:i/>
          <w:iCs/>
          <w:color w:val="000000"/>
          <w:sz w:val="40"/>
          <w:szCs w:val="40"/>
        </w:rPr>
        <w:t>For the Process Manufacturing Industries</w:t>
      </w:r>
      <w:r w:rsidRPr="00BE31BD">
        <w:rPr>
          <w:rFonts w:ascii="Arial" w:hAnsi="Arial" w:cs="Arial"/>
          <w:i/>
          <w:iCs/>
          <w:color w:val="000000"/>
          <w:sz w:val="40"/>
          <w:szCs w:val="40"/>
        </w:rPr>
        <w:br/>
      </w:r>
      <w:hyperlink r:id="rId9" w:history="1">
        <w:r w:rsidRPr="00BE31BD">
          <w:rPr>
            <w:rStyle w:val="Hyperlink"/>
            <w:rFonts w:ascii="Arial" w:hAnsi="Arial" w:cs="Arial"/>
            <w:b/>
            <w:bCs/>
            <w:sz w:val="40"/>
            <w:szCs w:val="40"/>
          </w:rPr>
          <w:t>www.intelligen.com</w:t>
        </w:r>
      </w:hyperlink>
    </w:p>
    <w:p w:rsidR="00254674" w:rsidRPr="009771F8" w:rsidRDefault="00DA7C31" w:rsidP="00FF2AF2">
      <w:pPr>
        <w:spacing w:before="0" w:after="0" w:line="240" w:lineRule="auto"/>
        <w:jc w:val="left"/>
        <w:rPr>
          <w:rFonts w:ascii="Arial" w:hAnsi="Arial" w:cs="Arial"/>
          <w:b/>
          <w:color w:val="984806"/>
          <w:sz w:val="28"/>
          <w:szCs w:val="28"/>
        </w:rPr>
      </w:pPr>
      <w:r w:rsidRPr="00BE31BD">
        <w:br w:type="page"/>
      </w:r>
      <w:r w:rsidR="00254674" w:rsidRPr="00BE31BD">
        <w:rPr>
          <w:rFonts w:ascii="Arial" w:hAnsi="Arial" w:cs="Arial"/>
          <w:b/>
          <w:color w:val="984806"/>
          <w:sz w:val="28"/>
          <w:szCs w:val="28"/>
        </w:rPr>
        <w:lastRenderedPageBreak/>
        <w:t>Introduction</w:t>
      </w:r>
    </w:p>
    <w:p w:rsidR="009771F8" w:rsidRPr="009771F8" w:rsidRDefault="009771F8" w:rsidP="00FF2AF2">
      <w:pPr>
        <w:spacing w:before="0" w:after="0" w:line="240" w:lineRule="auto"/>
        <w:jc w:val="left"/>
        <w:rPr>
          <w:rFonts w:ascii="Arial" w:hAnsi="Arial" w:cs="Arial"/>
          <w:b/>
        </w:rPr>
      </w:pPr>
    </w:p>
    <w:p w:rsidR="00B86AEF" w:rsidRDefault="00254674" w:rsidP="00673530">
      <w:pPr>
        <w:spacing w:before="100" w:beforeAutospacing="1" w:after="0"/>
        <w:jc w:val="left"/>
        <w:rPr>
          <w:rFonts w:ascii="Arial" w:hAnsi="Arial" w:cs="Arial"/>
          <w:sz w:val="20"/>
          <w:szCs w:val="20"/>
        </w:rPr>
      </w:pPr>
      <w:r w:rsidRPr="00BE31BD">
        <w:rPr>
          <w:rFonts w:ascii="Arial" w:hAnsi="Arial" w:cs="Arial"/>
          <w:sz w:val="20"/>
          <w:szCs w:val="20"/>
        </w:rPr>
        <w:t xml:space="preserve">This example </w:t>
      </w:r>
      <w:r>
        <w:rPr>
          <w:rFonts w:ascii="Arial" w:hAnsi="Arial" w:cs="Arial"/>
          <w:sz w:val="20"/>
          <w:szCs w:val="20"/>
        </w:rPr>
        <w:t xml:space="preserve">analyzes the production of </w:t>
      </w:r>
      <w:r w:rsidR="007C605E">
        <w:rPr>
          <w:rFonts w:ascii="Arial" w:hAnsi="Arial" w:cs="Arial"/>
          <w:sz w:val="20"/>
          <w:szCs w:val="20"/>
        </w:rPr>
        <w:t xml:space="preserve">spray dried </w:t>
      </w:r>
      <w:r w:rsidR="00304013">
        <w:rPr>
          <w:rFonts w:ascii="Arial" w:hAnsi="Arial" w:cs="Arial"/>
          <w:sz w:val="20"/>
          <w:szCs w:val="20"/>
        </w:rPr>
        <w:t>sorbitol</w:t>
      </w:r>
      <w:r w:rsidRPr="00BE31BD">
        <w:rPr>
          <w:rFonts w:ascii="Arial" w:hAnsi="Arial" w:cs="Arial"/>
          <w:sz w:val="20"/>
          <w:szCs w:val="20"/>
        </w:rPr>
        <w:t xml:space="preserve">. </w:t>
      </w:r>
      <w:r w:rsidR="00304013">
        <w:rPr>
          <w:rFonts w:ascii="Arial" w:hAnsi="Arial" w:cs="Arial"/>
          <w:sz w:val="20"/>
          <w:szCs w:val="20"/>
        </w:rPr>
        <w:t xml:space="preserve">Sorbitol is a food and pharmaceutical ingredient produced in bulk quantities around the globe. Chemically speaking, sorbitol is </w:t>
      </w:r>
      <w:r w:rsidR="00D10797">
        <w:rPr>
          <w:rFonts w:ascii="Arial" w:hAnsi="Arial" w:cs="Arial"/>
          <w:sz w:val="20"/>
          <w:szCs w:val="20"/>
        </w:rPr>
        <w:t xml:space="preserve">hydrogenated glucose, and for this reason it is also called </w:t>
      </w:r>
      <w:proofErr w:type="spellStart"/>
      <w:r w:rsidR="00D10797">
        <w:rPr>
          <w:rFonts w:ascii="Arial" w:hAnsi="Arial" w:cs="Arial"/>
          <w:sz w:val="20"/>
          <w:szCs w:val="20"/>
        </w:rPr>
        <w:t>glucitol</w:t>
      </w:r>
      <w:proofErr w:type="spellEnd"/>
      <w:r w:rsidR="00D10797">
        <w:rPr>
          <w:rFonts w:ascii="Arial" w:hAnsi="Arial" w:cs="Arial"/>
          <w:sz w:val="20"/>
          <w:szCs w:val="20"/>
        </w:rPr>
        <w:t xml:space="preserve">. </w:t>
      </w:r>
      <w:r w:rsidR="00D10797" w:rsidRPr="007531B3">
        <w:rPr>
          <w:rFonts w:ascii="Arial" w:hAnsi="Arial" w:cs="Arial"/>
          <w:b/>
          <w:sz w:val="20"/>
          <w:szCs w:val="20"/>
        </w:rPr>
        <w:t>Figure 1</w:t>
      </w:r>
      <w:r w:rsidR="00D10797">
        <w:rPr>
          <w:rFonts w:ascii="Arial" w:hAnsi="Arial" w:cs="Arial"/>
          <w:sz w:val="20"/>
          <w:szCs w:val="20"/>
        </w:rPr>
        <w:t xml:space="preserve"> shows the difference between </w:t>
      </w:r>
      <w:r w:rsidR="00F65FC5">
        <w:rPr>
          <w:rFonts w:ascii="Arial" w:hAnsi="Arial" w:cs="Arial"/>
          <w:sz w:val="20"/>
          <w:szCs w:val="20"/>
          <w:lang w:val="en-GB"/>
        </w:rPr>
        <w:t xml:space="preserve">the molecules of </w:t>
      </w:r>
      <w:r w:rsidR="00D10797">
        <w:rPr>
          <w:rFonts w:ascii="Arial" w:hAnsi="Arial" w:cs="Arial"/>
          <w:sz w:val="20"/>
          <w:szCs w:val="20"/>
        </w:rPr>
        <w:t xml:space="preserve">glucose and sorbitol. Glucose, </w:t>
      </w:r>
      <w:r w:rsidR="00F40DFD">
        <w:rPr>
          <w:rFonts w:ascii="Arial" w:hAnsi="Arial" w:cs="Arial"/>
          <w:sz w:val="20"/>
          <w:szCs w:val="20"/>
        </w:rPr>
        <w:t>like</w:t>
      </w:r>
      <w:r w:rsidR="00D10797">
        <w:rPr>
          <w:rFonts w:ascii="Arial" w:hAnsi="Arial" w:cs="Arial"/>
          <w:sz w:val="20"/>
          <w:szCs w:val="20"/>
        </w:rPr>
        <w:t xml:space="preserve"> many other hexose</w:t>
      </w:r>
      <w:r w:rsidR="007531B3">
        <w:rPr>
          <w:rFonts w:ascii="Arial" w:hAnsi="Arial" w:cs="Arial"/>
          <w:sz w:val="20"/>
          <w:szCs w:val="20"/>
        </w:rPr>
        <w:t>s</w:t>
      </w:r>
      <w:r w:rsidR="00D10797">
        <w:rPr>
          <w:rFonts w:ascii="Arial" w:hAnsi="Arial" w:cs="Arial"/>
          <w:sz w:val="20"/>
          <w:szCs w:val="20"/>
        </w:rPr>
        <w:t>, has a free a</w:t>
      </w:r>
      <w:r w:rsidR="007531B3">
        <w:rPr>
          <w:rFonts w:ascii="Arial" w:hAnsi="Arial" w:cs="Arial"/>
          <w:sz w:val="20"/>
          <w:szCs w:val="20"/>
        </w:rPr>
        <w:t>l</w:t>
      </w:r>
      <w:r w:rsidR="00D10797">
        <w:rPr>
          <w:rFonts w:ascii="Arial" w:hAnsi="Arial" w:cs="Arial"/>
          <w:sz w:val="20"/>
          <w:szCs w:val="20"/>
        </w:rPr>
        <w:t>dehyde group</w:t>
      </w:r>
      <w:r w:rsidR="00F65FC5">
        <w:rPr>
          <w:rFonts w:ascii="Arial" w:hAnsi="Arial" w:cs="Arial"/>
          <w:sz w:val="20"/>
          <w:szCs w:val="20"/>
        </w:rPr>
        <w:t xml:space="preserve"> (in Figure 1 it is shown </w:t>
      </w:r>
      <w:r w:rsidR="00D10797">
        <w:rPr>
          <w:rFonts w:ascii="Arial" w:hAnsi="Arial" w:cs="Arial"/>
          <w:sz w:val="20"/>
          <w:szCs w:val="20"/>
        </w:rPr>
        <w:t>at the top of the molecule</w:t>
      </w:r>
      <w:r w:rsidR="00F65FC5">
        <w:rPr>
          <w:rFonts w:ascii="Arial" w:hAnsi="Arial" w:cs="Arial"/>
          <w:sz w:val="20"/>
          <w:szCs w:val="20"/>
        </w:rPr>
        <w:t>)</w:t>
      </w:r>
      <w:r w:rsidR="00D10797">
        <w:rPr>
          <w:rFonts w:ascii="Arial" w:hAnsi="Arial" w:cs="Arial"/>
          <w:sz w:val="20"/>
          <w:szCs w:val="20"/>
        </w:rPr>
        <w:t>. It is this free aldehyde group that makes glucose a reducing sugar, and gives it properties</w:t>
      </w:r>
      <w:r w:rsidR="008C4A69">
        <w:rPr>
          <w:rFonts w:ascii="Arial" w:hAnsi="Arial" w:cs="Arial"/>
          <w:sz w:val="20"/>
          <w:szCs w:val="20"/>
        </w:rPr>
        <w:t xml:space="preserve"> such as the </w:t>
      </w:r>
      <w:r w:rsidR="007531B3">
        <w:rPr>
          <w:rFonts w:ascii="Arial" w:hAnsi="Arial" w:cs="Arial"/>
          <w:sz w:val="20"/>
          <w:szCs w:val="20"/>
        </w:rPr>
        <w:t>ability to react with amino acids (</w:t>
      </w:r>
      <w:proofErr w:type="spellStart"/>
      <w:r w:rsidR="007531B3">
        <w:rPr>
          <w:rFonts w:ascii="Arial" w:hAnsi="Arial" w:cs="Arial"/>
          <w:sz w:val="20"/>
          <w:szCs w:val="20"/>
        </w:rPr>
        <w:t>Maillard</w:t>
      </w:r>
      <w:proofErr w:type="spellEnd"/>
      <w:r w:rsidR="007531B3">
        <w:rPr>
          <w:rFonts w:ascii="Arial" w:hAnsi="Arial" w:cs="Arial"/>
          <w:sz w:val="20"/>
          <w:szCs w:val="20"/>
        </w:rPr>
        <w:t xml:space="preserve"> reaction).</w:t>
      </w:r>
      <w:r w:rsidR="007D4F65">
        <w:rPr>
          <w:rFonts w:ascii="Arial" w:hAnsi="Arial" w:cs="Arial"/>
          <w:sz w:val="20"/>
          <w:szCs w:val="20"/>
        </w:rPr>
        <w:t xml:space="preserve"> If hydrogenated</w:t>
      </w:r>
      <w:r w:rsidR="00D10797">
        <w:rPr>
          <w:rFonts w:ascii="Arial" w:hAnsi="Arial" w:cs="Arial"/>
          <w:sz w:val="20"/>
          <w:szCs w:val="20"/>
        </w:rPr>
        <w:t xml:space="preserve">, the </w:t>
      </w:r>
      <w:r w:rsidR="00580BBA">
        <w:rPr>
          <w:rFonts w:ascii="Arial" w:hAnsi="Arial" w:cs="Arial"/>
          <w:sz w:val="20"/>
          <w:szCs w:val="20"/>
        </w:rPr>
        <w:t xml:space="preserve">molecule’s </w:t>
      </w:r>
      <w:r w:rsidR="007531B3">
        <w:rPr>
          <w:rFonts w:ascii="Arial" w:hAnsi="Arial" w:cs="Arial"/>
          <w:sz w:val="20"/>
          <w:szCs w:val="20"/>
        </w:rPr>
        <w:t xml:space="preserve">carbonyl group </w:t>
      </w:r>
      <w:r w:rsidR="00D10797">
        <w:rPr>
          <w:rFonts w:ascii="Arial" w:hAnsi="Arial" w:cs="Arial"/>
          <w:sz w:val="20"/>
          <w:szCs w:val="20"/>
        </w:rPr>
        <w:t>becomes an alcohol</w:t>
      </w:r>
      <w:r w:rsidR="007531B3">
        <w:rPr>
          <w:rFonts w:ascii="Arial" w:hAnsi="Arial" w:cs="Arial"/>
          <w:sz w:val="20"/>
          <w:szCs w:val="20"/>
        </w:rPr>
        <w:t xml:space="preserve">, </w:t>
      </w:r>
      <w:r w:rsidR="00684873">
        <w:rPr>
          <w:rFonts w:ascii="Arial" w:hAnsi="Arial" w:cs="Arial"/>
          <w:sz w:val="20"/>
          <w:szCs w:val="20"/>
        </w:rPr>
        <w:t>a</w:t>
      </w:r>
      <w:r w:rsidR="007531B3">
        <w:rPr>
          <w:rFonts w:ascii="Arial" w:hAnsi="Arial" w:cs="Arial"/>
          <w:sz w:val="20"/>
          <w:szCs w:val="20"/>
        </w:rPr>
        <w:t xml:space="preserve"> non-reducing</w:t>
      </w:r>
      <w:r w:rsidR="00684873">
        <w:rPr>
          <w:rFonts w:ascii="Arial" w:hAnsi="Arial" w:cs="Arial"/>
          <w:sz w:val="20"/>
          <w:szCs w:val="20"/>
        </w:rPr>
        <w:t xml:space="preserve"> molecule</w:t>
      </w:r>
      <w:r w:rsidR="00D10797">
        <w:rPr>
          <w:rFonts w:ascii="Arial" w:hAnsi="Arial" w:cs="Arial"/>
          <w:sz w:val="20"/>
          <w:szCs w:val="20"/>
        </w:rPr>
        <w:t xml:space="preserve">. </w:t>
      </w:r>
    </w:p>
    <w:p w:rsidR="00304013" w:rsidRDefault="00B86AEF" w:rsidP="00673530">
      <w:pPr>
        <w:spacing w:before="100" w:beforeAutospacing="1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Since sorbitol is produced from</w:t>
      </w:r>
      <w:r w:rsidR="00304013">
        <w:rPr>
          <w:rFonts w:ascii="Arial" w:hAnsi="Arial" w:cs="Arial"/>
          <w:sz w:val="20"/>
          <w:szCs w:val="20"/>
        </w:rPr>
        <w:t xml:space="preserve"> </w:t>
      </w:r>
      <w:r w:rsidR="00684873">
        <w:rPr>
          <w:rFonts w:ascii="Arial" w:hAnsi="Arial" w:cs="Arial"/>
          <w:sz w:val="20"/>
          <w:szCs w:val="20"/>
        </w:rPr>
        <w:t>glucose</w:t>
      </w:r>
      <w:r w:rsidR="007531B3">
        <w:rPr>
          <w:rFonts w:ascii="Arial" w:hAnsi="Arial" w:cs="Arial"/>
          <w:sz w:val="20"/>
          <w:szCs w:val="20"/>
        </w:rPr>
        <w:t xml:space="preserve"> and since glucose is </w:t>
      </w:r>
      <w:r w:rsidR="00304013">
        <w:rPr>
          <w:rFonts w:ascii="Arial" w:hAnsi="Arial" w:cs="Arial"/>
          <w:sz w:val="20"/>
          <w:szCs w:val="20"/>
        </w:rPr>
        <w:t xml:space="preserve">usually </w:t>
      </w:r>
      <w:r w:rsidR="007531B3">
        <w:rPr>
          <w:rFonts w:ascii="Arial" w:hAnsi="Arial" w:cs="Arial"/>
          <w:sz w:val="20"/>
          <w:szCs w:val="20"/>
        </w:rPr>
        <w:t xml:space="preserve">derived </w:t>
      </w:r>
      <w:r w:rsidR="00D50559">
        <w:rPr>
          <w:rFonts w:ascii="Arial" w:hAnsi="Arial" w:cs="Arial"/>
          <w:sz w:val="20"/>
          <w:szCs w:val="20"/>
        </w:rPr>
        <w:t>from</w:t>
      </w:r>
      <w:r w:rsidR="007531B3">
        <w:rPr>
          <w:rFonts w:ascii="Arial" w:hAnsi="Arial" w:cs="Arial"/>
          <w:sz w:val="20"/>
          <w:szCs w:val="20"/>
        </w:rPr>
        <w:t xml:space="preserve"> the hydrolysis of starch</w:t>
      </w:r>
      <w:r w:rsidR="00D50559">
        <w:rPr>
          <w:rFonts w:ascii="Arial" w:hAnsi="Arial" w:cs="Arial"/>
          <w:sz w:val="20"/>
          <w:szCs w:val="20"/>
        </w:rPr>
        <w:t>,</w:t>
      </w:r>
      <w:r w:rsidR="007531B3">
        <w:rPr>
          <w:rFonts w:ascii="Arial" w:hAnsi="Arial" w:cs="Arial"/>
          <w:sz w:val="20"/>
          <w:szCs w:val="20"/>
        </w:rPr>
        <w:t xml:space="preserve"> it is very common </w:t>
      </w:r>
      <w:r w:rsidR="006A6740">
        <w:rPr>
          <w:rFonts w:ascii="Arial" w:hAnsi="Arial" w:cs="Arial"/>
          <w:sz w:val="20"/>
          <w:szCs w:val="20"/>
        </w:rPr>
        <w:t xml:space="preserve">for plants that produce starch to also produce sorbitol. </w:t>
      </w:r>
      <w:r w:rsidR="007531B3">
        <w:rPr>
          <w:rFonts w:ascii="Arial" w:hAnsi="Arial" w:cs="Arial"/>
          <w:sz w:val="20"/>
          <w:szCs w:val="20"/>
        </w:rPr>
        <w:t xml:space="preserve">Details on starch hydrolysis for the production of glucose syrups </w:t>
      </w:r>
      <w:r w:rsidR="00D50559">
        <w:rPr>
          <w:rFonts w:ascii="Arial" w:hAnsi="Arial" w:cs="Arial"/>
          <w:sz w:val="20"/>
          <w:szCs w:val="20"/>
        </w:rPr>
        <w:t>can</w:t>
      </w:r>
      <w:r w:rsidR="007531B3">
        <w:rPr>
          <w:rFonts w:ascii="Arial" w:hAnsi="Arial" w:cs="Arial"/>
          <w:sz w:val="20"/>
          <w:szCs w:val="20"/>
        </w:rPr>
        <w:t xml:space="preserve"> be found in the </w:t>
      </w:r>
      <w:r w:rsidR="007531B3" w:rsidRPr="00A3559E">
        <w:rPr>
          <w:rFonts w:ascii="Arial" w:hAnsi="Arial" w:cs="Arial"/>
          <w:b/>
          <w:sz w:val="20"/>
          <w:szCs w:val="20"/>
        </w:rPr>
        <w:t>Corn Refinery</w:t>
      </w:r>
      <w:r w:rsidR="007531B3">
        <w:rPr>
          <w:rFonts w:ascii="Arial" w:hAnsi="Arial" w:cs="Arial"/>
          <w:sz w:val="20"/>
          <w:szCs w:val="20"/>
        </w:rPr>
        <w:t xml:space="preserve"> example</w:t>
      </w:r>
      <w:r w:rsidR="00A3559E">
        <w:rPr>
          <w:rFonts w:ascii="Arial" w:hAnsi="Arial" w:cs="Arial"/>
          <w:sz w:val="20"/>
          <w:szCs w:val="20"/>
        </w:rPr>
        <w:t xml:space="preserve"> of SuperPro</w:t>
      </w:r>
      <w:r w:rsidR="006A6740">
        <w:rPr>
          <w:rFonts w:ascii="Arial" w:hAnsi="Arial" w:cs="Arial"/>
          <w:sz w:val="20"/>
          <w:szCs w:val="20"/>
        </w:rPr>
        <w:t>. That example includes</w:t>
      </w:r>
      <w:r w:rsidR="007531B3">
        <w:rPr>
          <w:rFonts w:ascii="Arial" w:hAnsi="Arial" w:cs="Arial"/>
          <w:sz w:val="20"/>
          <w:szCs w:val="20"/>
        </w:rPr>
        <w:t xml:space="preserve"> </w:t>
      </w:r>
      <w:r w:rsidR="006A6740">
        <w:rPr>
          <w:rFonts w:ascii="Arial" w:hAnsi="Arial" w:cs="Arial"/>
          <w:sz w:val="20"/>
          <w:szCs w:val="20"/>
        </w:rPr>
        <w:t xml:space="preserve">sections related to </w:t>
      </w:r>
      <w:r w:rsidR="007531B3">
        <w:rPr>
          <w:rFonts w:ascii="Arial" w:hAnsi="Arial" w:cs="Arial"/>
          <w:sz w:val="20"/>
          <w:szCs w:val="20"/>
        </w:rPr>
        <w:t xml:space="preserve">corn </w:t>
      </w:r>
      <w:r w:rsidR="00A12D82">
        <w:rPr>
          <w:rFonts w:ascii="Arial" w:hAnsi="Arial" w:cs="Arial"/>
          <w:sz w:val="20"/>
          <w:szCs w:val="20"/>
        </w:rPr>
        <w:t xml:space="preserve">wet-milling </w:t>
      </w:r>
      <w:r w:rsidR="006A6740">
        <w:rPr>
          <w:rFonts w:ascii="Arial" w:hAnsi="Arial" w:cs="Arial"/>
          <w:sz w:val="20"/>
          <w:szCs w:val="20"/>
        </w:rPr>
        <w:t>(which</w:t>
      </w:r>
      <w:r w:rsidR="007531B3">
        <w:rPr>
          <w:rFonts w:ascii="Arial" w:hAnsi="Arial" w:cs="Arial"/>
          <w:sz w:val="20"/>
          <w:szCs w:val="20"/>
        </w:rPr>
        <w:t xml:space="preserve"> produce</w:t>
      </w:r>
      <w:r w:rsidR="006A6740">
        <w:rPr>
          <w:rFonts w:ascii="Arial" w:hAnsi="Arial" w:cs="Arial"/>
          <w:sz w:val="20"/>
          <w:szCs w:val="20"/>
        </w:rPr>
        <w:t>s</w:t>
      </w:r>
      <w:r w:rsidR="007531B3">
        <w:rPr>
          <w:rFonts w:ascii="Arial" w:hAnsi="Arial" w:cs="Arial"/>
          <w:sz w:val="20"/>
          <w:szCs w:val="20"/>
        </w:rPr>
        <w:t xml:space="preserve"> starch</w:t>
      </w:r>
      <w:r w:rsidR="006A6740">
        <w:rPr>
          <w:rFonts w:ascii="Arial" w:hAnsi="Arial" w:cs="Arial"/>
          <w:sz w:val="20"/>
          <w:szCs w:val="20"/>
        </w:rPr>
        <w:t xml:space="preserve"> and other coproducts)</w:t>
      </w:r>
      <w:r w:rsidR="007531B3">
        <w:rPr>
          <w:rFonts w:ascii="Arial" w:hAnsi="Arial" w:cs="Arial"/>
          <w:sz w:val="20"/>
          <w:szCs w:val="20"/>
        </w:rPr>
        <w:t xml:space="preserve"> and </w:t>
      </w:r>
      <w:r w:rsidR="006A6740">
        <w:rPr>
          <w:rFonts w:ascii="Arial" w:hAnsi="Arial" w:cs="Arial"/>
          <w:sz w:val="20"/>
          <w:szCs w:val="20"/>
        </w:rPr>
        <w:t>hydrolysi</w:t>
      </w:r>
      <w:r w:rsidR="007531B3">
        <w:rPr>
          <w:rFonts w:ascii="Arial" w:hAnsi="Arial" w:cs="Arial"/>
          <w:sz w:val="20"/>
          <w:szCs w:val="20"/>
        </w:rPr>
        <w:t xml:space="preserve">s </w:t>
      </w:r>
      <w:r w:rsidR="006A6740">
        <w:rPr>
          <w:rFonts w:ascii="Arial" w:hAnsi="Arial" w:cs="Arial"/>
          <w:sz w:val="20"/>
          <w:szCs w:val="20"/>
        </w:rPr>
        <w:t xml:space="preserve">of the </w:t>
      </w:r>
      <w:r w:rsidR="007531B3">
        <w:rPr>
          <w:rFonts w:ascii="Arial" w:hAnsi="Arial" w:cs="Arial"/>
          <w:sz w:val="20"/>
          <w:szCs w:val="20"/>
        </w:rPr>
        <w:t>starch to produce glucose and fructose syrups. I</w:t>
      </w:r>
      <w:r w:rsidR="00304013">
        <w:rPr>
          <w:rFonts w:ascii="Arial" w:hAnsi="Arial" w:cs="Arial"/>
          <w:sz w:val="20"/>
          <w:szCs w:val="20"/>
        </w:rPr>
        <w:t xml:space="preserve">n this </w:t>
      </w:r>
      <w:r w:rsidR="007531B3">
        <w:rPr>
          <w:rFonts w:ascii="Arial" w:hAnsi="Arial" w:cs="Arial"/>
          <w:sz w:val="20"/>
          <w:szCs w:val="20"/>
        </w:rPr>
        <w:t>example</w:t>
      </w:r>
      <w:r w:rsidR="00684873">
        <w:rPr>
          <w:rFonts w:ascii="Arial" w:hAnsi="Arial" w:cs="Arial"/>
          <w:sz w:val="20"/>
          <w:szCs w:val="20"/>
        </w:rPr>
        <w:t>,</w:t>
      </w:r>
      <w:r w:rsidR="007531B3">
        <w:rPr>
          <w:rFonts w:ascii="Arial" w:hAnsi="Arial" w:cs="Arial"/>
          <w:sz w:val="20"/>
          <w:szCs w:val="20"/>
        </w:rPr>
        <w:t xml:space="preserve"> the raw material for the production of sorbitol is </w:t>
      </w:r>
      <w:r w:rsidR="00A12D82">
        <w:rPr>
          <w:rFonts w:ascii="Arial" w:hAnsi="Arial" w:cs="Arial"/>
          <w:sz w:val="20"/>
          <w:szCs w:val="20"/>
        </w:rPr>
        <w:t xml:space="preserve">glucose syrup </w:t>
      </w:r>
      <w:r w:rsidR="00845D63">
        <w:rPr>
          <w:rFonts w:ascii="Arial" w:hAnsi="Arial" w:cs="Arial"/>
          <w:sz w:val="20"/>
          <w:szCs w:val="20"/>
        </w:rPr>
        <w:t xml:space="preserve">that is </w:t>
      </w:r>
      <w:r w:rsidR="00A12D82">
        <w:rPr>
          <w:rFonts w:ascii="Arial" w:hAnsi="Arial" w:cs="Arial"/>
          <w:sz w:val="20"/>
          <w:szCs w:val="20"/>
        </w:rPr>
        <w:t>95%</w:t>
      </w:r>
      <w:r w:rsidR="00845D63">
        <w:rPr>
          <w:rFonts w:ascii="Arial" w:hAnsi="Arial" w:cs="Arial"/>
          <w:sz w:val="20"/>
          <w:szCs w:val="20"/>
        </w:rPr>
        <w:t xml:space="preserve"> pure (on a dry </w:t>
      </w:r>
      <w:r w:rsidR="00921579">
        <w:rPr>
          <w:rFonts w:ascii="Arial" w:hAnsi="Arial" w:cs="Arial"/>
          <w:sz w:val="20"/>
          <w:szCs w:val="20"/>
        </w:rPr>
        <w:t>solids</w:t>
      </w:r>
      <w:r w:rsidR="00845D63">
        <w:rPr>
          <w:rFonts w:ascii="Arial" w:hAnsi="Arial" w:cs="Arial"/>
          <w:sz w:val="20"/>
          <w:szCs w:val="20"/>
        </w:rPr>
        <w:t xml:space="preserve"> basis)</w:t>
      </w:r>
      <w:r w:rsidR="00A12D82">
        <w:rPr>
          <w:rFonts w:ascii="Arial" w:hAnsi="Arial" w:cs="Arial"/>
          <w:sz w:val="20"/>
          <w:szCs w:val="20"/>
        </w:rPr>
        <w:t xml:space="preserve">. </w:t>
      </w:r>
    </w:p>
    <w:p w:rsidR="00304013" w:rsidRDefault="00304013" w:rsidP="00673530">
      <w:pPr>
        <w:spacing w:before="100" w:beforeAutospacing="1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8C345E" wp14:editId="0DC1DA82">
            <wp:extent cx="1038225" cy="2038350"/>
            <wp:effectExtent l="19050" t="0" r="9525" b="0"/>
            <wp:docPr id="2" name="Εικόνα 1" descr="C:\Users\Σοφι\Desktop\Nik\Various CV, IChemE etc\Glucose Sorbit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Σοφι\Desktop\Nik\Various CV, IChemE etc\Glucose Sorbitol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53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2D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0E87754" wp14:editId="5136C401">
            <wp:extent cx="1200150" cy="2038350"/>
            <wp:effectExtent l="19050" t="0" r="0" b="0"/>
            <wp:docPr id="4" name="Εικόνα 2" descr="C:\Users\Σοφι\Desktop\Nik\Various CV, IChemE etc\Glucose Sorbit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Σοφι\Desktop\Nik\Various CV, IChemE etc\Glucose Sorbitol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6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013" w:rsidRDefault="007531B3" w:rsidP="00673530">
      <w:pPr>
        <w:spacing w:before="100" w:beforeAutospacing="1" w:after="0"/>
        <w:jc w:val="left"/>
        <w:rPr>
          <w:rFonts w:ascii="Arial" w:hAnsi="Arial" w:cs="Arial"/>
          <w:sz w:val="20"/>
          <w:szCs w:val="20"/>
        </w:rPr>
      </w:pPr>
      <w:r w:rsidRPr="007531B3">
        <w:rPr>
          <w:rFonts w:ascii="Arial" w:hAnsi="Arial" w:cs="Arial"/>
          <w:b/>
          <w:sz w:val="20"/>
          <w:szCs w:val="20"/>
        </w:rPr>
        <w:t>Figure 1</w:t>
      </w:r>
      <w:r>
        <w:rPr>
          <w:rFonts w:ascii="Arial" w:hAnsi="Arial" w:cs="Arial"/>
          <w:sz w:val="20"/>
          <w:szCs w:val="20"/>
        </w:rPr>
        <w:t xml:space="preserve">: The </w:t>
      </w:r>
      <w:r w:rsidR="00F40DFD">
        <w:rPr>
          <w:rFonts w:ascii="Arial" w:hAnsi="Arial" w:cs="Arial"/>
          <w:sz w:val="20"/>
          <w:szCs w:val="20"/>
        </w:rPr>
        <w:t>chemical structures</w:t>
      </w:r>
      <w:r>
        <w:rPr>
          <w:rFonts w:ascii="Arial" w:hAnsi="Arial" w:cs="Arial"/>
          <w:sz w:val="20"/>
          <w:szCs w:val="20"/>
        </w:rPr>
        <w:t xml:space="preserve"> of glucose and sorbitol</w:t>
      </w:r>
    </w:p>
    <w:p w:rsidR="00DD0C0E" w:rsidRDefault="00E21EEA" w:rsidP="00673530">
      <w:pPr>
        <w:spacing w:before="100" w:beforeAutospacing="1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explained in </w:t>
      </w:r>
      <w:r w:rsidR="00F65FC5">
        <w:rPr>
          <w:rFonts w:ascii="Arial" w:hAnsi="Arial" w:cs="Arial"/>
          <w:sz w:val="20"/>
          <w:szCs w:val="20"/>
        </w:rPr>
        <w:t xml:space="preserve">the corn refinery example, </w:t>
      </w:r>
      <w:r>
        <w:rPr>
          <w:rFonts w:ascii="Arial" w:hAnsi="Arial" w:cs="Arial"/>
          <w:sz w:val="20"/>
          <w:szCs w:val="20"/>
        </w:rPr>
        <w:t xml:space="preserve">glucose syrup 95% contains </w:t>
      </w:r>
      <w:r w:rsidR="00450A2D">
        <w:rPr>
          <w:rFonts w:ascii="Arial" w:hAnsi="Arial" w:cs="Arial"/>
          <w:sz w:val="20"/>
          <w:szCs w:val="20"/>
        </w:rPr>
        <w:t>about 5%</w:t>
      </w:r>
      <w:r>
        <w:rPr>
          <w:rFonts w:ascii="Arial" w:hAnsi="Arial" w:cs="Arial"/>
          <w:sz w:val="20"/>
          <w:szCs w:val="20"/>
        </w:rPr>
        <w:t xml:space="preserve"> higher sugars, such as maltose, </w:t>
      </w:r>
      <w:proofErr w:type="spellStart"/>
      <w:r>
        <w:rPr>
          <w:rFonts w:ascii="Arial" w:hAnsi="Arial" w:cs="Arial"/>
          <w:sz w:val="20"/>
          <w:szCs w:val="20"/>
        </w:rPr>
        <w:t>maltotriose</w:t>
      </w:r>
      <w:proofErr w:type="spellEnd"/>
      <w:r w:rsidR="000F2DA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etc</w:t>
      </w:r>
      <w:r w:rsidR="000F2DA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, due to the inevitably imperfect starch </w:t>
      </w:r>
      <w:r w:rsidR="0094218C">
        <w:rPr>
          <w:rFonts w:ascii="Arial" w:hAnsi="Arial" w:cs="Arial"/>
          <w:sz w:val="20"/>
          <w:szCs w:val="20"/>
        </w:rPr>
        <w:t>hydrolysis</w:t>
      </w:r>
      <w:r>
        <w:rPr>
          <w:rFonts w:ascii="Arial" w:hAnsi="Arial" w:cs="Arial"/>
          <w:sz w:val="20"/>
          <w:szCs w:val="20"/>
        </w:rPr>
        <w:t>. These higher sugars are also reducing and since they are included in the raw material</w:t>
      </w:r>
      <w:r w:rsidR="00450A2D">
        <w:rPr>
          <w:rFonts w:ascii="Arial" w:hAnsi="Arial" w:cs="Arial"/>
          <w:sz w:val="20"/>
          <w:szCs w:val="20"/>
        </w:rPr>
        <w:t xml:space="preserve"> </w:t>
      </w:r>
      <w:r w:rsidR="000F2DA3">
        <w:rPr>
          <w:rFonts w:ascii="Arial" w:hAnsi="Arial" w:cs="Arial"/>
          <w:sz w:val="20"/>
          <w:szCs w:val="20"/>
        </w:rPr>
        <w:t xml:space="preserve">stream </w:t>
      </w:r>
      <w:r w:rsidR="002B19EB">
        <w:rPr>
          <w:rFonts w:ascii="Arial" w:hAnsi="Arial" w:cs="Arial"/>
          <w:sz w:val="20"/>
          <w:szCs w:val="20"/>
        </w:rPr>
        <w:t>along</w:t>
      </w:r>
      <w:r w:rsidR="00450A2D">
        <w:rPr>
          <w:rFonts w:ascii="Arial" w:hAnsi="Arial" w:cs="Arial"/>
          <w:sz w:val="20"/>
          <w:szCs w:val="20"/>
        </w:rPr>
        <w:t xml:space="preserve"> with glucose</w:t>
      </w:r>
      <w:r w:rsidR="000F2DA3">
        <w:rPr>
          <w:rFonts w:ascii="Arial" w:hAnsi="Arial" w:cs="Arial"/>
          <w:sz w:val="20"/>
          <w:szCs w:val="20"/>
        </w:rPr>
        <w:t>, they get hydrogenat</w:t>
      </w:r>
      <w:r>
        <w:rPr>
          <w:rFonts w:ascii="Arial" w:hAnsi="Arial" w:cs="Arial"/>
          <w:sz w:val="20"/>
          <w:szCs w:val="20"/>
        </w:rPr>
        <w:t xml:space="preserve">ed to produce </w:t>
      </w:r>
      <w:proofErr w:type="spellStart"/>
      <w:r>
        <w:rPr>
          <w:rFonts w:ascii="Arial" w:hAnsi="Arial" w:cs="Arial"/>
          <w:sz w:val="20"/>
          <w:szCs w:val="20"/>
        </w:rPr>
        <w:t>maltitol</w:t>
      </w:r>
      <w:proofErr w:type="spellEnd"/>
      <w:r w:rsidR="00450A2D">
        <w:rPr>
          <w:rFonts w:ascii="Arial" w:hAnsi="Arial" w:cs="Arial"/>
          <w:sz w:val="20"/>
          <w:szCs w:val="20"/>
        </w:rPr>
        <w:t xml:space="preserve"> (hydrogenated maltose)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maltotritol</w:t>
      </w:r>
      <w:proofErr w:type="spellEnd"/>
      <w:r w:rsidR="00B352F7">
        <w:rPr>
          <w:rFonts w:ascii="Arial" w:hAnsi="Arial" w:cs="Arial"/>
          <w:sz w:val="20"/>
          <w:szCs w:val="20"/>
        </w:rPr>
        <w:t xml:space="preserve"> </w:t>
      </w:r>
      <w:r w:rsidR="00450A2D">
        <w:rPr>
          <w:rFonts w:ascii="Arial" w:hAnsi="Arial" w:cs="Arial"/>
          <w:sz w:val="20"/>
          <w:szCs w:val="20"/>
        </w:rPr>
        <w:t xml:space="preserve">(hydrogenated </w:t>
      </w:r>
      <w:proofErr w:type="spellStart"/>
      <w:r w:rsidR="00450A2D">
        <w:rPr>
          <w:rFonts w:ascii="Arial" w:hAnsi="Arial" w:cs="Arial"/>
          <w:sz w:val="20"/>
          <w:szCs w:val="20"/>
        </w:rPr>
        <w:t>maltotriose</w:t>
      </w:r>
      <w:proofErr w:type="spellEnd"/>
      <w:r w:rsidR="00450A2D">
        <w:rPr>
          <w:rFonts w:ascii="Arial" w:hAnsi="Arial" w:cs="Arial"/>
          <w:sz w:val="20"/>
          <w:szCs w:val="20"/>
        </w:rPr>
        <w:t>) and higher polyols</w:t>
      </w:r>
      <w:r>
        <w:rPr>
          <w:rFonts w:ascii="Arial" w:hAnsi="Arial" w:cs="Arial"/>
          <w:sz w:val="20"/>
          <w:szCs w:val="20"/>
        </w:rPr>
        <w:t>.</w:t>
      </w:r>
      <w:r w:rsidR="00450A2D">
        <w:rPr>
          <w:rFonts w:ascii="Arial" w:hAnsi="Arial" w:cs="Arial"/>
          <w:sz w:val="20"/>
          <w:szCs w:val="20"/>
        </w:rPr>
        <w:t xml:space="preserve"> </w:t>
      </w:r>
      <w:r w:rsidR="00312959">
        <w:rPr>
          <w:rFonts w:ascii="Arial" w:hAnsi="Arial" w:cs="Arial"/>
          <w:sz w:val="20"/>
          <w:szCs w:val="20"/>
        </w:rPr>
        <w:t>Syrup</w:t>
      </w:r>
      <w:r w:rsidR="00450A2D">
        <w:rPr>
          <w:rFonts w:ascii="Arial" w:hAnsi="Arial" w:cs="Arial"/>
          <w:sz w:val="20"/>
          <w:szCs w:val="20"/>
        </w:rPr>
        <w:t xml:space="preserve"> with </w:t>
      </w:r>
      <w:r w:rsidR="005218E1">
        <w:rPr>
          <w:rFonts w:ascii="Arial" w:hAnsi="Arial" w:cs="Arial"/>
          <w:sz w:val="20"/>
          <w:szCs w:val="20"/>
        </w:rPr>
        <w:t xml:space="preserve">a </w:t>
      </w:r>
      <w:r w:rsidR="002B19EB">
        <w:rPr>
          <w:rFonts w:ascii="Arial" w:hAnsi="Arial" w:cs="Arial"/>
          <w:sz w:val="20"/>
          <w:szCs w:val="20"/>
        </w:rPr>
        <w:t>sp</w:t>
      </w:r>
      <w:r w:rsidR="00312959">
        <w:rPr>
          <w:rFonts w:ascii="Arial" w:hAnsi="Arial" w:cs="Arial"/>
          <w:sz w:val="20"/>
          <w:szCs w:val="20"/>
        </w:rPr>
        <w:t xml:space="preserve">ecific sugar profile produces </w:t>
      </w:r>
      <w:r w:rsidR="002B19EB">
        <w:rPr>
          <w:rFonts w:ascii="Arial" w:hAnsi="Arial" w:cs="Arial"/>
          <w:sz w:val="20"/>
          <w:szCs w:val="20"/>
        </w:rPr>
        <w:t xml:space="preserve">a similar polyol profile when </w:t>
      </w:r>
      <w:r w:rsidR="00921579">
        <w:rPr>
          <w:rFonts w:ascii="Arial" w:hAnsi="Arial" w:cs="Arial"/>
          <w:sz w:val="20"/>
          <w:szCs w:val="20"/>
        </w:rPr>
        <w:t xml:space="preserve">it is </w:t>
      </w:r>
      <w:r w:rsidR="002B19EB">
        <w:rPr>
          <w:rFonts w:ascii="Arial" w:hAnsi="Arial" w:cs="Arial"/>
          <w:sz w:val="20"/>
          <w:szCs w:val="20"/>
        </w:rPr>
        <w:t>hydrogenated. Therefore,</w:t>
      </w:r>
      <w:r w:rsidR="005218E1">
        <w:rPr>
          <w:rFonts w:ascii="Arial" w:hAnsi="Arial" w:cs="Arial"/>
          <w:sz w:val="20"/>
          <w:szCs w:val="20"/>
        </w:rPr>
        <w:t xml:space="preserve"> </w:t>
      </w:r>
      <w:r w:rsidR="002B19EB">
        <w:rPr>
          <w:rFonts w:ascii="Arial" w:hAnsi="Arial" w:cs="Arial"/>
          <w:sz w:val="20"/>
          <w:szCs w:val="20"/>
        </w:rPr>
        <w:t>when a</w:t>
      </w:r>
      <w:r w:rsidR="005218E1">
        <w:rPr>
          <w:rFonts w:ascii="Arial" w:hAnsi="Arial" w:cs="Arial"/>
          <w:sz w:val="20"/>
          <w:szCs w:val="20"/>
        </w:rPr>
        <w:t xml:space="preserve"> </w:t>
      </w:r>
      <w:r w:rsidR="002B19EB">
        <w:rPr>
          <w:rFonts w:ascii="Arial" w:hAnsi="Arial" w:cs="Arial"/>
          <w:sz w:val="20"/>
          <w:szCs w:val="20"/>
        </w:rPr>
        <w:t xml:space="preserve">95% </w:t>
      </w:r>
      <w:r w:rsidR="005218E1">
        <w:rPr>
          <w:rFonts w:ascii="Arial" w:hAnsi="Arial" w:cs="Arial"/>
          <w:sz w:val="20"/>
          <w:szCs w:val="20"/>
        </w:rPr>
        <w:t xml:space="preserve">glucose </w:t>
      </w:r>
      <w:r w:rsidR="002B19EB">
        <w:rPr>
          <w:rFonts w:ascii="Arial" w:hAnsi="Arial" w:cs="Arial"/>
          <w:sz w:val="20"/>
          <w:szCs w:val="20"/>
        </w:rPr>
        <w:t>stream is hydrogenated</w:t>
      </w:r>
      <w:r w:rsidR="005218E1">
        <w:rPr>
          <w:rFonts w:ascii="Arial" w:hAnsi="Arial" w:cs="Arial"/>
          <w:sz w:val="20"/>
          <w:szCs w:val="20"/>
        </w:rPr>
        <w:t xml:space="preserve">, the corresponding </w:t>
      </w:r>
      <w:r w:rsidR="00F65FC5">
        <w:rPr>
          <w:rFonts w:ascii="Arial" w:hAnsi="Arial" w:cs="Arial"/>
          <w:sz w:val="20"/>
          <w:szCs w:val="20"/>
        </w:rPr>
        <w:t xml:space="preserve">product is </w:t>
      </w:r>
      <w:r w:rsidR="002B19EB">
        <w:rPr>
          <w:rFonts w:ascii="Arial" w:hAnsi="Arial" w:cs="Arial"/>
          <w:sz w:val="20"/>
          <w:szCs w:val="20"/>
        </w:rPr>
        <w:t xml:space="preserve">95% </w:t>
      </w:r>
      <w:r w:rsidR="005218E1">
        <w:rPr>
          <w:rFonts w:ascii="Arial" w:hAnsi="Arial" w:cs="Arial"/>
          <w:sz w:val="20"/>
          <w:szCs w:val="20"/>
        </w:rPr>
        <w:t>sorbitol</w:t>
      </w:r>
      <w:r w:rsidR="002B19EB">
        <w:rPr>
          <w:rFonts w:ascii="Arial" w:hAnsi="Arial" w:cs="Arial"/>
          <w:sz w:val="20"/>
          <w:szCs w:val="20"/>
        </w:rPr>
        <w:t xml:space="preserve">. This product </w:t>
      </w:r>
      <w:r w:rsidR="00F65FC5">
        <w:rPr>
          <w:rFonts w:ascii="Arial" w:hAnsi="Arial" w:cs="Arial"/>
          <w:sz w:val="20"/>
          <w:szCs w:val="20"/>
        </w:rPr>
        <w:t xml:space="preserve">is typically </w:t>
      </w:r>
      <w:r w:rsidR="005218E1">
        <w:rPr>
          <w:rFonts w:ascii="Arial" w:hAnsi="Arial" w:cs="Arial"/>
          <w:sz w:val="20"/>
          <w:szCs w:val="20"/>
        </w:rPr>
        <w:t>spray dried</w:t>
      </w:r>
      <w:r w:rsidR="002B19EB">
        <w:rPr>
          <w:rFonts w:ascii="Arial" w:hAnsi="Arial" w:cs="Arial"/>
          <w:sz w:val="20"/>
          <w:szCs w:val="20"/>
        </w:rPr>
        <w:t xml:space="preserve"> in order to produce </w:t>
      </w:r>
      <w:r w:rsidR="009D7E1B">
        <w:rPr>
          <w:rFonts w:ascii="Arial" w:hAnsi="Arial" w:cs="Arial"/>
          <w:sz w:val="20"/>
          <w:szCs w:val="20"/>
        </w:rPr>
        <w:t>the</w:t>
      </w:r>
      <w:r w:rsidR="00B352F7">
        <w:rPr>
          <w:rFonts w:ascii="Arial" w:hAnsi="Arial" w:cs="Arial"/>
          <w:sz w:val="20"/>
          <w:szCs w:val="20"/>
        </w:rPr>
        <w:t xml:space="preserve"> </w:t>
      </w:r>
      <w:r w:rsidR="005218E1">
        <w:rPr>
          <w:rFonts w:ascii="Arial" w:hAnsi="Arial" w:cs="Arial"/>
          <w:sz w:val="20"/>
          <w:szCs w:val="20"/>
        </w:rPr>
        <w:t>commercial form of sorbitol</w:t>
      </w:r>
      <w:r w:rsidR="009D7E1B">
        <w:rPr>
          <w:rFonts w:ascii="Arial" w:hAnsi="Arial" w:cs="Arial"/>
          <w:sz w:val="20"/>
          <w:szCs w:val="20"/>
        </w:rPr>
        <w:t xml:space="preserve"> that </w:t>
      </w:r>
      <w:r w:rsidR="004F3239">
        <w:rPr>
          <w:rFonts w:ascii="Arial" w:hAnsi="Arial" w:cs="Arial"/>
          <w:sz w:val="20"/>
          <w:szCs w:val="20"/>
        </w:rPr>
        <w:t>is</w:t>
      </w:r>
      <w:r w:rsidR="009D7E1B">
        <w:rPr>
          <w:rFonts w:ascii="Arial" w:hAnsi="Arial" w:cs="Arial"/>
          <w:sz w:val="20"/>
          <w:szCs w:val="20"/>
        </w:rPr>
        <w:t xml:space="preserve"> modeled in this example</w:t>
      </w:r>
      <w:r w:rsidR="005218E1">
        <w:rPr>
          <w:rFonts w:ascii="Arial" w:hAnsi="Arial" w:cs="Arial"/>
          <w:sz w:val="20"/>
          <w:szCs w:val="20"/>
        </w:rPr>
        <w:t>.</w:t>
      </w:r>
      <w:r w:rsidR="00B352F7" w:rsidRPr="00B352F7">
        <w:rPr>
          <w:rFonts w:ascii="Arial" w:hAnsi="Arial" w:cs="Arial"/>
          <w:sz w:val="20"/>
          <w:szCs w:val="20"/>
        </w:rPr>
        <w:t xml:space="preserve"> </w:t>
      </w:r>
      <w:r w:rsidR="003D6DE0">
        <w:rPr>
          <w:rFonts w:ascii="Arial" w:hAnsi="Arial" w:cs="Arial"/>
          <w:sz w:val="20"/>
          <w:szCs w:val="20"/>
        </w:rPr>
        <w:t xml:space="preserve">Sorbitol is also sold in the form of </w:t>
      </w:r>
      <w:r w:rsidR="004F3239">
        <w:rPr>
          <w:rFonts w:ascii="Arial" w:hAnsi="Arial" w:cs="Arial"/>
          <w:sz w:val="20"/>
          <w:szCs w:val="20"/>
        </w:rPr>
        <w:t>syrup</w:t>
      </w:r>
      <w:r w:rsidR="003D6DE0">
        <w:rPr>
          <w:rFonts w:ascii="Arial" w:hAnsi="Arial" w:cs="Arial"/>
          <w:sz w:val="20"/>
          <w:szCs w:val="20"/>
        </w:rPr>
        <w:t xml:space="preserve"> with a purity of around 70% on a dry </w:t>
      </w:r>
      <w:r w:rsidR="003D6DE0">
        <w:rPr>
          <w:rFonts w:ascii="Arial" w:hAnsi="Arial" w:cs="Arial"/>
          <w:sz w:val="20"/>
          <w:szCs w:val="20"/>
        </w:rPr>
        <w:lastRenderedPageBreak/>
        <w:t xml:space="preserve">solids (DS) basis. That form of sorbitol is typically produced by hydrogenating glucose </w:t>
      </w:r>
      <w:r w:rsidR="00B352F7">
        <w:rPr>
          <w:rFonts w:ascii="Arial" w:hAnsi="Arial" w:cs="Arial"/>
          <w:sz w:val="20"/>
          <w:szCs w:val="20"/>
        </w:rPr>
        <w:t>syrup</w:t>
      </w:r>
      <w:r w:rsidR="003D6DE0">
        <w:rPr>
          <w:rFonts w:ascii="Arial" w:hAnsi="Arial" w:cs="Arial"/>
          <w:sz w:val="20"/>
          <w:szCs w:val="20"/>
        </w:rPr>
        <w:t>s</w:t>
      </w:r>
      <w:r w:rsidR="00B352F7">
        <w:rPr>
          <w:rFonts w:ascii="Arial" w:hAnsi="Arial" w:cs="Arial"/>
          <w:sz w:val="20"/>
          <w:szCs w:val="20"/>
        </w:rPr>
        <w:t xml:space="preserve"> </w:t>
      </w:r>
      <w:r w:rsidR="003D6DE0">
        <w:rPr>
          <w:rFonts w:ascii="Arial" w:hAnsi="Arial" w:cs="Arial"/>
          <w:sz w:val="20"/>
          <w:szCs w:val="20"/>
        </w:rPr>
        <w:t>of</w:t>
      </w:r>
      <w:r w:rsidR="00B352F7">
        <w:rPr>
          <w:rFonts w:ascii="Arial" w:hAnsi="Arial" w:cs="Arial"/>
          <w:sz w:val="20"/>
          <w:szCs w:val="20"/>
        </w:rPr>
        <w:t xml:space="preserve"> </w:t>
      </w:r>
      <w:r w:rsidR="007335EA">
        <w:rPr>
          <w:rFonts w:ascii="Arial" w:hAnsi="Arial" w:cs="Arial"/>
          <w:sz w:val="20"/>
          <w:szCs w:val="20"/>
        </w:rPr>
        <w:t>lower</w:t>
      </w:r>
      <w:r w:rsidR="00B352F7">
        <w:rPr>
          <w:rFonts w:ascii="Arial" w:hAnsi="Arial" w:cs="Arial"/>
          <w:sz w:val="20"/>
          <w:szCs w:val="20"/>
        </w:rPr>
        <w:t xml:space="preserve"> purity. </w:t>
      </w:r>
    </w:p>
    <w:p w:rsidR="00DD0C0E" w:rsidRDefault="00EA0113" w:rsidP="00673530">
      <w:pPr>
        <w:spacing w:before="100" w:beforeAutospacing="1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several characteristics of polyols which render them useful ingredients in the food, pharmaceutical</w:t>
      </w:r>
      <w:r w:rsidR="007E2AF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health care industries. All polyols are </w:t>
      </w:r>
      <w:r w:rsidR="00CE44A0">
        <w:rPr>
          <w:rFonts w:ascii="Arial" w:hAnsi="Arial" w:cs="Arial"/>
          <w:sz w:val="20"/>
          <w:szCs w:val="20"/>
        </w:rPr>
        <w:t>mildly</w:t>
      </w:r>
      <w:r>
        <w:rPr>
          <w:rFonts w:ascii="Arial" w:hAnsi="Arial" w:cs="Arial"/>
          <w:sz w:val="20"/>
          <w:szCs w:val="20"/>
        </w:rPr>
        <w:t xml:space="preserve"> sweet substances</w:t>
      </w:r>
      <w:r w:rsidR="000D21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</w:t>
      </w:r>
      <w:r w:rsidR="00770997">
        <w:rPr>
          <w:rFonts w:ascii="Arial" w:hAnsi="Arial" w:cs="Arial"/>
          <w:sz w:val="20"/>
          <w:szCs w:val="20"/>
        </w:rPr>
        <w:t>sweetness</w:t>
      </w:r>
      <w:r>
        <w:rPr>
          <w:rFonts w:ascii="Arial" w:hAnsi="Arial" w:cs="Arial"/>
          <w:sz w:val="20"/>
          <w:szCs w:val="20"/>
        </w:rPr>
        <w:t xml:space="preserve"> lower than sucrose (sugar). </w:t>
      </w:r>
      <w:r w:rsidR="00CA2399">
        <w:rPr>
          <w:rFonts w:ascii="Arial" w:hAnsi="Arial" w:cs="Arial"/>
          <w:sz w:val="20"/>
          <w:szCs w:val="20"/>
        </w:rPr>
        <w:t xml:space="preserve">Sorbitol in particular is about 60% as sweet as sucrose. </w:t>
      </w:r>
      <w:r>
        <w:rPr>
          <w:rFonts w:ascii="Arial" w:hAnsi="Arial" w:cs="Arial"/>
          <w:sz w:val="20"/>
          <w:szCs w:val="20"/>
        </w:rPr>
        <w:t>Moreover</w:t>
      </w:r>
      <w:r w:rsidR="007E2AF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7E2AF3">
        <w:rPr>
          <w:rFonts w:ascii="Arial" w:hAnsi="Arial" w:cs="Arial"/>
          <w:sz w:val="20"/>
          <w:szCs w:val="20"/>
        </w:rPr>
        <w:t>polyols</w:t>
      </w:r>
      <w:r w:rsidR="00CA23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are not readily metabolized by humans. As a result, from a nutritional point of view, they have lower </w:t>
      </w:r>
      <w:r w:rsidR="007E2AF3">
        <w:rPr>
          <w:rFonts w:ascii="Arial" w:hAnsi="Arial" w:cs="Arial"/>
          <w:sz w:val="20"/>
          <w:szCs w:val="20"/>
        </w:rPr>
        <w:t>caloric</w:t>
      </w:r>
      <w:r>
        <w:rPr>
          <w:rFonts w:ascii="Arial" w:hAnsi="Arial" w:cs="Arial"/>
          <w:sz w:val="20"/>
          <w:szCs w:val="20"/>
        </w:rPr>
        <w:t xml:space="preserve"> value </w:t>
      </w:r>
      <w:r w:rsidR="007E2AF3">
        <w:rPr>
          <w:rFonts w:ascii="Arial" w:hAnsi="Arial" w:cs="Arial"/>
          <w:sz w:val="20"/>
          <w:szCs w:val="20"/>
        </w:rPr>
        <w:t>than readily metabolized sugars</w:t>
      </w:r>
      <w:r>
        <w:rPr>
          <w:rFonts w:ascii="Arial" w:hAnsi="Arial" w:cs="Arial"/>
          <w:sz w:val="20"/>
          <w:szCs w:val="20"/>
        </w:rPr>
        <w:t xml:space="preserve"> such as sucrose, glucose</w:t>
      </w:r>
      <w:r w:rsidR="007E2AF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fru</w:t>
      </w:r>
      <w:r w:rsidR="007E2AF3">
        <w:rPr>
          <w:rFonts w:ascii="Arial" w:hAnsi="Arial" w:cs="Arial"/>
          <w:sz w:val="20"/>
          <w:szCs w:val="20"/>
        </w:rPr>
        <w:t xml:space="preserve">ctose. Therefore they </w:t>
      </w:r>
      <w:r w:rsidR="00DD0C0E">
        <w:rPr>
          <w:rFonts w:ascii="Arial" w:hAnsi="Arial" w:cs="Arial"/>
          <w:sz w:val="20"/>
          <w:szCs w:val="20"/>
        </w:rPr>
        <w:t>do not increase</w:t>
      </w:r>
      <w:r w:rsidR="007E2AF3">
        <w:rPr>
          <w:rFonts w:ascii="Arial" w:hAnsi="Arial" w:cs="Arial"/>
          <w:sz w:val="20"/>
          <w:szCs w:val="20"/>
        </w:rPr>
        <w:t xml:space="preserve"> the glycemic index of a diet and they do not </w:t>
      </w:r>
      <w:r w:rsidR="004F3239">
        <w:rPr>
          <w:rFonts w:ascii="Arial" w:hAnsi="Arial" w:cs="Arial"/>
          <w:sz w:val="20"/>
          <w:szCs w:val="20"/>
        </w:rPr>
        <w:t>trigger</w:t>
      </w:r>
      <w:r w:rsidR="007E2AF3">
        <w:rPr>
          <w:rFonts w:ascii="Arial" w:hAnsi="Arial" w:cs="Arial"/>
          <w:sz w:val="20"/>
          <w:szCs w:val="20"/>
        </w:rPr>
        <w:t xml:space="preserve"> production of large amounts of insulin to maintain blood sugar levels. </w:t>
      </w:r>
      <w:r>
        <w:rPr>
          <w:rFonts w:ascii="Arial" w:hAnsi="Arial" w:cs="Arial"/>
          <w:sz w:val="20"/>
          <w:szCs w:val="20"/>
        </w:rPr>
        <w:t xml:space="preserve">This combination of properties makes them an ideal </w:t>
      </w:r>
      <w:r w:rsidR="00EF5923">
        <w:rPr>
          <w:rFonts w:ascii="Arial" w:hAnsi="Arial" w:cs="Arial"/>
          <w:sz w:val="20"/>
          <w:szCs w:val="20"/>
        </w:rPr>
        <w:t xml:space="preserve">food </w:t>
      </w:r>
      <w:r>
        <w:rPr>
          <w:rFonts w:ascii="Arial" w:hAnsi="Arial" w:cs="Arial"/>
          <w:sz w:val="20"/>
          <w:szCs w:val="20"/>
        </w:rPr>
        <w:t xml:space="preserve">ingredient </w:t>
      </w:r>
      <w:r w:rsidR="00840FEF">
        <w:rPr>
          <w:rFonts w:ascii="Arial" w:hAnsi="Arial" w:cs="Arial"/>
          <w:sz w:val="20"/>
          <w:szCs w:val="20"/>
        </w:rPr>
        <w:t>for low sugar or low calorie</w:t>
      </w:r>
      <w:r w:rsidR="00EF5923">
        <w:rPr>
          <w:rFonts w:ascii="Arial" w:hAnsi="Arial" w:cs="Arial"/>
          <w:sz w:val="20"/>
          <w:szCs w:val="20"/>
        </w:rPr>
        <w:t xml:space="preserve"> sweet foods in general, and for foods </w:t>
      </w:r>
      <w:r w:rsidR="00517CE9">
        <w:rPr>
          <w:rFonts w:ascii="Arial" w:hAnsi="Arial" w:cs="Arial"/>
          <w:sz w:val="20"/>
          <w:szCs w:val="20"/>
        </w:rPr>
        <w:t>consumed by</w:t>
      </w:r>
      <w:r w:rsidR="00EF5923">
        <w:rPr>
          <w:rFonts w:ascii="Arial" w:hAnsi="Arial" w:cs="Arial"/>
          <w:sz w:val="20"/>
          <w:szCs w:val="20"/>
        </w:rPr>
        <w:t xml:space="preserve"> people with diabetes in particular. </w:t>
      </w:r>
      <w:r w:rsidR="00517CE9">
        <w:rPr>
          <w:rFonts w:ascii="Arial" w:hAnsi="Arial" w:cs="Arial"/>
          <w:sz w:val="20"/>
          <w:szCs w:val="20"/>
        </w:rPr>
        <w:t>Furthermore, polyols</w:t>
      </w:r>
      <w:r w:rsidR="00EF5923">
        <w:rPr>
          <w:rFonts w:ascii="Arial" w:hAnsi="Arial" w:cs="Arial"/>
          <w:sz w:val="20"/>
          <w:szCs w:val="20"/>
        </w:rPr>
        <w:t xml:space="preserve"> have many applications in pharmaceutical products, such as syrups </w:t>
      </w:r>
      <w:r w:rsidR="00633772">
        <w:rPr>
          <w:rFonts w:ascii="Arial" w:hAnsi="Arial" w:cs="Arial"/>
          <w:sz w:val="20"/>
          <w:szCs w:val="20"/>
        </w:rPr>
        <w:t>containing</w:t>
      </w:r>
      <w:r w:rsidR="00EF5923">
        <w:rPr>
          <w:rFonts w:ascii="Arial" w:hAnsi="Arial" w:cs="Arial"/>
          <w:sz w:val="20"/>
          <w:szCs w:val="20"/>
        </w:rPr>
        <w:t xml:space="preserve"> ac</w:t>
      </w:r>
      <w:r w:rsidR="00633772">
        <w:rPr>
          <w:rFonts w:ascii="Arial" w:hAnsi="Arial" w:cs="Arial"/>
          <w:sz w:val="20"/>
          <w:szCs w:val="20"/>
        </w:rPr>
        <w:t>tive pharmaceutical ingredients. In these formulations, the syrup</w:t>
      </w:r>
      <w:r w:rsidR="00EF5923">
        <w:rPr>
          <w:rFonts w:ascii="Arial" w:hAnsi="Arial" w:cs="Arial"/>
          <w:sz w:val="20"/>
          <w:szCs w:val="20"/>
        </w:rPr>
        <w:t xml:space="preserve"> provide</w:t>
      </w:r>
      <w:r w:rsidR="00633772">
        <w:rPr>
          <w:rFonts w:ascii="Arial" w:hAnsi="Arial" w:cs="Arial"/>
          <w:sz w:val="20"/>
          <w:szCs w:val="20"/>
        </w:rPr>
        <w:t>s</w:t>
      </w:r>
      <w:r w:rsidR="00EF5923">
        <w:rPr>
          <w:rFonts w:ascii="Arial" w:hAnsi="Arial" w:cs="Arial"/>
          <w:sz w:val="20"/>
          <w:szCs w:val="20"/>
        </w:rPr>
        <w:t xml:space="preserve"> a pleasant sweetness without rendering the product unsuitable for people with diabetes. The fact that </w:t>
      </w:r>
      <w:r w:rsidR="00633772">
        <w:rPr>
          <w:rFonts w:ascii="Arial" w:hAnsi="Arial" w:cs="Arial"/>
          <w:sz w:val="20"/>
          <w:szCs w:val="20"/>
        </w:rPr>
        <w:t>polyols</w:t>
      </w:r>
      <w:r w:rsidR="00D62635">
        <w:rPr>
          <w:rFonts w:ascii="Arial" w:hAnsi="Arial" w:cs="Arial"/>
          <w:sz w:val="20"/>
          <w:szCs w:val="20"/>
        </w:rPr>
        <w:t xml:space="preserve"> </w:t>
      </w:r>
      <w:r w:rsidR="00EF5923">
        <w:rPr>
          <w:rFonts w:ascii="Arial" w:hAnsi="Arial" w:cs="Arial"/>
          <w:sz w:val="20"/>
          <w:szCs w:val="20"/>
        </w:rPr>
        <w:t xml:space="preserve">are not easily metabolized by microorganisms </w:t>
      </w:r>
      <w:r w:rsidR="00633772">
        <w:rPr>
          <w:rFonts w:ascii="Arial" w:hAnsi="Arial" w:cs="Arial"/>
          <w:sz w:val="20"/>
          <w:szCs w:val="20"/>
        </w:rPr>
        <w:t xml:space="preserve">also </w:t>
      </w:r>
      <w:r w:rsidR="00EF5923">
        <w:rPr>
          <w:rFonts w:ascii="Arial" w:hAnsi="Arial" w:cs="Arial"/>
          <w:sz w:val="20"/>
          <w:szCs w:val="20"/>
        </w:rPr>
        <w:t xml:space="preserve">makes them </w:t>
      </w:r>
      <w:r w:rsidR="00633772">
        <w:rPr>
          <w:rFonts w:ascii="Arial" w:hAnsi="Arial" w:cs="Arial"/>
          <w:sz w:val="20"/>
          <w:szCs w:val="20"/>
        </w:rPr>
        <w:t xml:space="preserve">useful </w:t>
      </w:r>
      <w:r w:rsidR="00EF5923">
        <w:rPr>
          <w:rFonts w:ascii="Arial" w:hAnsi="Arial" w:cs="Arial"/>
          <w:sz w:val="20"/>
          <w:szCs w:val="20"/>
        </w:rPr>
        <w:t xml:space="preserve">in oral </w:t>
      </w:r>
      <w:r w:rsidR="00D62635">
        <w:rPr>
          <w:rFonts w:ascii="Arial" w:hAnsi="Arial" w:cs="Arial"/>
          <w:sz w:val="20"/>
          <w:szCs w:val="20"/>
        </w:rPr>
        <w:t xml:space="preserve">hygiene products, such as </w:t>
      </w:r>
      <w:r w:rsidR="005A774F">
        <w:rPr>
          <w:rFonts w:ascii="Arial" w:hAnsi="Arial" w:cs="Arial"/>
          <w:sz w:val="20"/>
          <w:szCs w:val="20"/>
        </w:rPr>
        <w:t xml:space="preserve">toothpastes and </w:t>
      </w:r>
      <w:r w:rsidR="00D62635">
        <w:rPr>
          <w:rFonts w:ascii="Arial" w:hAnsi="Arial" w:cs="Arial"/>
          <w:sz w:val="20"/>
          <w:szCs w:val="20"/>
        </w:rPr>
        <w:t xml:space="preserve">oral </w:t>
      </w:r>
      <w:r w:rsidR="00EF5923">
        <w:rPr>
          <w:rFonts w:ascii="Arial" w:hAnsi="Arial" w:cs="Arial"/>
          <w:sz w:val="20"/>
          <w:szCs w:val="20"/>
        </w:rPr>
        <w:t>solutions</w:t>
      </w:r>
      <w:r w:rsidR="005A774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5A774F">
        <w:rPr>
          <w:rFonts w:ascii="Arial" w:hAnsi="Arial" w:cs="Arial"/>
          <w:sz w:val="20"/>
          <w:szCs w:val="20"/>
        </w:rPr>
        <w:t>Bahndorf</w:t>
      </w:r>
      <w:proofErr w:type="spellEnd"/>
      <w:r w:rsidR="005A774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5A774F">
        <w:rPr>
          <w:rFonts w:ascii="Arial" w:hAnsi="Arial" w:cs="Arial"/>
          <w:sz w:val="20"/>
          <w:szCs w:val="20"/>
        </w:rPr>
        <w:t>Kienle</w:t>
      </w:r>
      <w:proofErr w:type="spellEnd"/>
      <w:r w:rsidR="005A774F">
        <w:rPr>
          <w:rFonts w:ascii="Arial" w:hAnsi="Arial" w:cs="Arial"/>
          <w:sz w:val="20"/>
          <w:szCs w:val="20"/>
        </w:rPr>
        <w:t>, 2004)</w:t>
      </w:r>
      <w:r w:rsidR="00EF5923">
        <w:rPr>
          <w:rFonts w:ascii="Arial" w:hAnsi="Arial" w:cs="Arial"/>
          <w:sz w:val="20"/>
          <w:szCs w:val="20"/>
        </w:rPr>
        <w:t xml:space="preserve">. </w:t>
      </w:r>
      <w:r w:rsidR="00633772">
        <w:rPr>
          <w:rFonts w:ascii="Arial" w:hAnsi="Arial" w:cs="Arial"/>
          <w:sz w:val="20"/>
          <w:szCs w:val="20"/>
        </w:rPr>
        <w:t>In addition, since</w:t>
      </w:r>
      <w:r w:rsidR="00EF5923">
        <w:rPr>
          <w:rFonts w:ascii="Arial" w:hAnsi="Arial" w:cs="Arial"/>
          <w:sz w:val="20"/>
          <w:szCs w:val="20"/>
        </w:rPr>
        <w:t xml:space="preserve"> sorbitol has a lower molecular weight than sucrose, it </w:t>
      </w:r>
      <w:r w:rsidR="00633772">
        <w:rPr>
          <w:rFonts w:ascii="Arial" w:hAnsi="Arial" w:cs="Arial"/>
          <w:sz w:val="20"/>
          <w:szCs w:val="20"/>
        </w:rPr>
        <w:t>generates</w:t>
      </w:r>
      <w:r w:rsidR="00EF5923">
        <w:rPr>
          <w:rFonts w:ascii="Arial" w:hAnsi="Arial" w:cs="Arial"/>
          <w:sz w:val="20"/>
          <w:szCs w:val="20"/>
        </w:rPr>
        <w:t xml:space="preserve"> higher osmotic pressure</w:t>
      </w:r>
      <w:r w:rsidR="00CA2399">
        <w:rPr>
          <w:rFonts w:ascii="Arial" w:hAnsi="Arial" w:cs="Arial"/>
          <w:sz w:val="20"/>
          <w:szCs w:val="20"/>
        </w:rPr>
        <w:t>s</w:t>
      </w:r>
      <w:r w:rsidR="00EF5923">
        <w:rPr>
          <w:rFonts w:ascii="Arial" w:hAnsi="Arial" w:cs="Arial"/>
          <w:sz w:val="20"/>
          <w:szCs w:val="20"/>
        </w:rPr>
        <w:t xml:space="preserve">, </w:t>
      </w:r>
      <w:r w:rsidR="00633772">
        <w:rPr>
          <w:rFonts w:ascii="Arial" w:hAnsi="Arial" w:cs="Arial"/>
          <w:sz w:val="20"/>
          <w:szCs w:val="20"/>
        </w:rPr>
        <w:t xml:space="preserve">thereby </w:t>
      </w:r>
      <w:r w:rsidR="00EF5923">
        <w:rPr>
          <w:rFonts w:ascii="Arial" w:hAnsi="Arial" w:cs="Arial"/>
          <w:sz w:val="20"/>
          <w:szCs w:val="20"/>
        </w:rPr>
        <w:t xml:space="preserve">extending </w:t>
      </w:r>
      <w:r w:rsidR="00D62635">
        <w:rPr>
          <w:rFonts w:ascii="Arial" w:hAnsi="Arial" w:cs="Arial"/>
          <w:sz w:val="20"/>
          <w:szCs w:val="20"/>
        </w:rPr>
        <w:t>the</w:t>
      </w:r>
      <w:r w:rsidR="00633772">
        <w:rPr>
          <w:rFonts w:ascii="Arial" w:hAnsi="Arial" w:cs="Arial"/>
          <w:sz w:val="20"/>
          <w:szCs w:val="20"/>
        </w:rPr>
        <w:t xml:space="preserve"> </w:t>
      </w:r>
      <w:r w:rsidR="00D62635">
        <w:rPr>
          <w:rFonts w:ascii="Arial" w:hAnsi="Arial" w:cs="Arial"/>
          <w:sz w:val="20"/>
          <w:szCs w:val="20"/>
        </w:rPr>
        <w:t xml:space="preserve">shelf </w:t>
      </w:r>
      <w:r w:rsidR="00EF5923">
        <w:rPr>
          <w:rFonts w:ascii="Arial" w:hAnsi="Arial" w:cs="Arial"/>
          <w:sz w:val="20"/>
          <w:szCs w:val="20"/>
        </w:rPr>
        <w:t>life</w:t>
      </w:r>
      <w:r w:rsidR="00D62635">
        <w:rPr>
          <w:rFonts w:ascii="Arial" w:hAnsi="Arial" w:cs="Arial"/>
          <w:sz w:val="20"/>
          <w:szCs w:val="20"/>
        </w:rPr>
        <w:t xml:space="preserve"> of food products such as jams </w:t>
      </w:r>
      <w:r w:rsidR="00633772">
        <w:rPr>
          <w:rFonts w:ascii="Arial" w:hAnsi="Arial" w:cs="Arial"/>
          <w:sz w:val="20"/>
          <w:szCs w:val="20"/>
        </w:rPr>
        <w:t>and</w:t>
      </w:r>
      <w:r w:rsidR="00D62635">
        <w:rPr>
          <w:rFonts w:ascii="Arial" w:hAnsi="Arial" w:cs="Arial"/>
          <w:sz w:val="20"/>
          <w:szCs w:val="20"/>
        </w:rPr>
        <w:t xml:space="preserve"> bakery products</w:t>
      </w:r>
      <w:r w:rsidR="00EF5923">
        <w:rPr>
          <w:rFonts w:ascii="Arial" w:hAnsi="Arial" w:cs="Arial"/>
          <w:sz w:val="20"/>
          <w:szCs w:val="20"/>
        </w:rPr>
        <w:t xml:space="preserve">. </w:t>
      </w:r>
      <w:r w:rsidR="00633772">
        <w:rPr>
          <w:rFonts w:ascii="Arial" w:hAnsi="Arial" w:cs="Arial"/>
          <w:sz w:val="20"/>
          <w:szCs w:val="20"/>
        </w:rPr>
        <w:t>Finally, c</w:t>
      </w:r>
      <w:r w:rsidR="00D62635">
        <w:rPr>
          <w:rFonts w:ascii="Arial" w:hAnsi="Arial" w:cs="Arial"/>
          <w:sz w:val="20"/>
          <w:szCs w:val="20"/>
        </w:rPr>
        <w:t xml:space="preserve">rystalline polyols </w:t>
      </w:r>
      <w:r w:rsidR="005A774F">
        <w:rPr>
          <w:rFonts w:ascii="Arial" w:hAnsi="Arial" w:cs="Arial"/>
          <w:sz w:val="20"/>
          <w:szCs w:val="20"/>
        </w:rPr>
        <w:t xml:space="preserve">have </w:t>
      </w:r>
      <w:r w:rsidR="00633772">
        <w:rPr>
          <w:rFonts w:ascii="Arial" w:hAnsi="Arial" w:cs="Arial"/>
          <w:sz w:val="20"/>
          <w:szCs w:val="20"/>
        </w:rPr>
        <w:t xml:space="preserve">a </w:t>
      </w:r>
      <w:r w:rsidR="005A774F">
        <w:rPr>
          <w:rFonts w:ascii="Arial" w:hAnsi="Arial" w:cs="Arial"/>
          <w:sz w:val="20"/>
          <w:szCs w:val="20"/>
        </w:rPr>
        <w:t>negative</w:t>
      </w:r>
      <w:r w:rsidR="00D62635">
        <w:rPr>
          <w:rFonts w:ascii="Arial" w:hAnsi="Arial" w:cs="Arial"/>
          <w:sz w:val="20"/>
          <w:szCs w:val="20"/>
        </w:rPr>
        <w:t xml:space="preserve"> heat of solution</w:t>
      </w:r>
      <w:r w:rsidR="00633772">
        <w:rPr>
          <w:rFonts w:ascii="Arial" w:hAnsi="Arial" w:cs="Arial"/>
          <w:sz w:val="20"/>
          <w:szCs w:val="20"/>
        </w:rPr>
        <w:t>, which creates</w:t>
      </w:r>
      <w:r w:rsidR="00D62635">
        <w:rPr>
          <w:rFonts w:ascii="Arial" w:hAnsi="Arial" w:cs="Arial"/>
          <w:sz w:val="20"/>
          <w:szCs w:val="20"/>
        </w:rPr>
        <w:t xml:space="preserve"> a cooling </w:t>
      </w:r>
      <w:r w:rsidR="005A774F">
        <w:rPr>
          <w:rFonts w:ascii="Arial" w:hAnsi="Arial" w:cs="Arial"/>
          <w:sz w:val="20"/>
          <w:szCs w:val="20"/>
        </w:rPr>
        <w:t>sensation</w:t>
      </w:r>
      <w:r w:rsidR="00D62635">
        <w:rPr>
          <w:rFonts w:ascii="Arial" w:hAnsi="Arial" w:cs="Arial"/>
          <w:sz w:val="20"/>
          <w:szCs w:val="20"/>
        </w:rPr>
        <w:t xml:space="preserve"> in the mouth. For this reason</w:t>
      </w:r>
      <w:r w:rsidR="00DE5DA1">
        <w:rPr>
          <w:rFonts w:ascii="Arial" w:hAnsi="Arial" w:cs="Arial"/>
          <w:sz w:val="20"/>
          <w:szCs w:val="20"/>
        </w:rPr>
        <w:t>,</w:t>
      </w:r>
      <w:r w:rsidR="00D62635">
        <w:rPr>
          <w:rFonts w:ascii="Arial" w:hAnsi="Arial" w:cs="Arial"/>
          <w:sz w:val="20"/>
          <w:szCs w:val="20"/>
        </w:rPr>
        <w:t xml:space="preserve"> they can be combined with mint and other flavors </w:t>
      </w:r>
      <w:r w:rsidR="00B8238E">
        <w:rPr>
          <w:rFonts w:ascii="Arial" w:hAnsi="Arial" w:cs="Arial"/>
          <w:sz w:val="20"/>
          <w:szCs w:val="20"/>
        </w:rPr>
        <w:t xml:space="preserve">to sweeten </w:t>
      </w:r>
      <w:r w:rsidR="00D62635">
        <w:rPr>
          <w:rFonts w:ascii="Arial" w:hAnsi="Arial" w:cs="Arial"/>
          <w:sz w:val="20"/>
          <w:szCs w:val="20"/>
        </w:rPr>
        <w:t xml:space="preserve">low-calorie chewing gums (Hull, 2009). </w:t>
      </w:r>
    </w:p>
    <w:p w:rsidR="000700F9" w:rsidRDefault="008875EA" w:rsidP="00673530">
      <w:pPr>
        <w:spacing w:before="100" w:beforeAutospacing="1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</w:t>
      </w:r>
      <w:r w:rsidR="00B50D80">
        <w:rPr>
          <w:rFonts w:ascii="Arial" w:hAnsi="Arial" w:cs="Arial"/>
          <w:sz w:val="20"/>
          <w:szCs w:val="20"/>
        </w:rPr>
        <w:t>2</w:t>
      </w:r>
      <w:r w:rsidR="00633772">
        <w:rPr>
          <w:rFonts w:ascii="Arial" w:hAnsi="Arial" w:cs="Arial"/>
          <w:sz w:val="20"/>
          <w:szCs w:val="20"/>
        </w:rPr>
        <w:t xml:space="preserve"> </w:t>
      </w:r>
      <w:r w:rsidR="00B50D80">
        <w:rPr>
          <w:rFonts w:ascii="Arial" w:hAnsi="Arial" w:cs="Arial"/>
          <w:sz w:val="20"/>
          <w:szCs w:val="20"/>
        </w:rPr>
        <w:t>displays</w:t>
      </w:r>
      <w:r w:rsidR="00CA2399">
        <w:rPr>
          <w:rFonts w:ascii="Arial" w:hAnsi="Arial" w:cs="Arial"/>
          <w:sz w:val="20"/>
          <w:szCs w:val="20"/>
        </w:rPr>
        <w:t xml:space="preserve"> the global sorbitol </w:t>
      </w:r>
      <w:r w:rsidR="00740E92">
        <w:rPr>
          <w:rFonts w:ascii="Arial" w:hAnsi="Arial" w:cs="Arial"/>
          <w:sz w:val="20"/>
          <w:szCs w:val="20"/>
        </w:rPr>
        <w:t>demand</w:t>
      </w:r>
      <w:r w:rsidR="00CA2399">
        <w:rPr>
          <w:rFonts w:ascii="Arial" w:hAnsi="Arial" w:cs="Arial"/>
          <w:sz w:val="20"/>
          <w:szCs w:val="20"/>
        </w:rPr>
        <w:t xml:space="preserve"> </w:t>
      </w:r>
      <w:r w:rsidR="00740E92">
        <w:rPr>
          <w:rFonts w:ascii="Arial" w:hAnsi="Arial" w:cs="Arial"/>
          <w:sz w:val="20"/>
          <w:szCs w:val="20"/>
        </w:rPr>
        <w:t>up to</w:t>
      </w:r>
      <w:r w:rsidR="00CA2399">
        <w:rPr>
          <w:rFonts w:ascii="Arial" w:hAnsi="Arial" w:cs="Arial"/>
          <w:sz w:val="20"/>
          <w:szCs w:val="20"/>
        </w:rPr>
        <w:t xml:space="preserve"> 2013</w:t>
      </w:r>
      <w:r w:rsidR="00740E92">
        <w:rPr>
          <w:rFonts w:ascii="Arial" w:hAnsi="Arial" w:cs="Arial"/>
          <w:sz w:val="20"/>
          <w:szCs w:val="20"/>
        </w:rPr>
        <w:t xml:space="preserve">, as well as </w:t>
      </w:r>
      <w:r w:rsidR="00CA2399">
        <w:rPr>
          <w:rFonts w:ascii="Arial" w:hAnsi="Arial" w:cs="Arial"/>
          <w:sz w:val="20"/>
          <w:szCs w:val="20"/>
        </w:rPr>
        <w:t xml:space="preserve">a projection for the following years (source: Radiant Insights Inc.). </w:t>
      </w:r>
      <w:r w:rsidR="008B262E">
        <w:rPr>
          <w:rFonts w:ascii="Arial" w:hAnsi="Arial" w:cs="Arial"/>
          <w:sz w:val="20"/>
          <w:szCs w:val="20"/>
        </w:rPr>
        <w:t xml:space="preserve">The global production of sorbitol was </w:t>
      </w:r>
      <w:r w:rsidR="00B50D80">
        <w:rPr>
          <w:rFonts w:ascii="Arial" w:hAnsi="Arial" w:cs="Arial"/>
          <w:sz w:val="20"/>
          <w:szCs w:val="20"/>
        </w:rPr>
        <w:t>around</w:t>
      </w:r>
      <w:r w:rsidR="008B262E">
        <w:rPr>
          <w:rFonts w:ascii="Arial" w:hAnsi="Arial" w:cs="Arial"/>
          <w:sz w:val="20"/>
          <w:szCs w:val="20"/>
        </w:rPr>
        <w:t xml:space="preserve"> 1800 </w:t>
      </w:r>
      <w:proofErr w:type="spellStart"/>
      <w:r w:rsidR="008B262E">
        <w:rPr>
          <w:rFonts w:ascii="Arial" w:hAnsi="Arial" w:cs="Arial"/>
          <w:sz w:val="20"/>
          <w:szCs w:val="20"/>
        </w:rPr>
        <w:t>ktons</w:t>
      </w:r>
      <w:proofErr w:type="spellEnd"/>
      <w:r w:rsidR="008B262E">
        <w:rPr>
          <w:rFonts w:ascii="Arial" w:hAnsi="Arial" w:cs="Arial"/>
          <w:sz w:val="20"/>
          <w:szCs w:val="20"/>
        </w:rPr>
        <w:t xml:space="preserve"> in 2013. Cosmetic and health care end users consumed </w:t>
      </w:r>
      <w:r w:rsidR="00B50D80">
        <w:rPr>
          <w:rFonts w:ascii="Arial" w:hAnsi="Arial" w:cs="Arial"/>
          <w:sz w:val="20"/>
          <w:szCs w:val="20"/>
        </w:rPr>
        <w:t>around</w:t>
      </w:r>
      <w:r w:rsidR="008B262E">
        <w:rPr>
          <w:rFonts w:ascii="Arial" w:hAnsi="Arial" w:cs="Arial"/>
          <w:sz w:val="20"/>
          <w:szCs w:val="20"/>
        </w:rPr>
        <w:t xml:space="preserve"> 600 </w:t>
      </w:r>
      <w:proofErr w:type="spellStart"/>
      <w:r w:rsidR="008B262E">
        <w:rPr>
          <w:rFonts w:ascii="Arial" w:hAnsi="Arial" w:cs="Arial"/>
          <w:sz w:val="20"/>
          <w:szCs w:val="20"/>
        </w:rPr>
        <w:t>ktons</w:t>
      </w:r>
      <w:proofErr w:type="spellEnd"/>
      <w:r w:rsidR="00CD477C">
        <w:rPr>
          <w:rFonts w:ascii="Arial" w:hAnsi="Arial" w:cs="Arial"/>
          <w:sz w:val="20"/>
          <w:szCs w:val="20"/>
        </w:rPr>
        <w:t xml:space="preserve"> (primarily for toothpaste manufacturing)</w:t>
      </w:r>
      <w:r w:rsidR="008B262E">
        <w:rPr>
          <w:rFonts w:ascii="Arial" w:hAnsi="Arial" w:cs="Arial"/>
          <w:sz w:val="20"/>
          <w:szCs w:val="20"/>
        </w:rPr>
        <w:t xml:space="preserve">, while food industries consumed </w:t>
      </w:r>
      <w:r w:rsidR="00B50D80">
        <w:rPr>
          <w:rFonts w:ascii="Arial" w:hAnsi="Arial" w:cs="Arial"/>
          <w:sz w:val="20"/>
          <w:szCs w:val="20"/>
        </w:rPr>
        <w:t>around</w:t>
      </w:r>
      <w:r w:rsidR="008B262E">
        <w:rPr>
          <w:rFonts w:ascii="Arial" w:hAnsi="Arial" w:cs="Arial"/>
          <w:sz w:val="20"/>
          <w:szCs w:val="20"/>
        </w:rPr>
        <w:t xml:space="preserve"> 538 </w:t>
      </w:r>
      <w:proofErr w:type="spellStart"/>
      <w:r w:rsidR="008B262E">
        <w:rPr>
          <w:rFonts w:ascii="Arial" w:hAnsi="Arial" w:cs="Arial"/>
          <w:sz w:val="20"/>
          <w:szCs w:val="20"/>
        </w:rPr>
        <w:t>ktons</w:t>
      </w:r>
      <w:proofErr w:type="spellEnd"/>
      <w:r w:rsidR="008B262E">
        <w:rPr>
          <w:rFonts w:ascii="Arial" w:hAnsi="Arial" w:cs="Arial"/>
          <w:sz w:val="20"/>
          <w:szCs w:val="20"/>
        </w:rPr>
        <w:t xml:space="preserve">. </w:t>
      </w:r>
      <w:r w:rsidR="00CD477C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global sorbitol market </w:t>
      </w:r>
      <w:r w:rsidR="00CD477C">
        <w:rPr>
          <w:rFonts w:ascii="Arial" w:hAnsi="Arial" w:cs="Arial"/>
          <w:sz w:val="20"/>
          <w:szCs w:val="20"/>
        </w:rPr>
        <w:t>is expected to</w:t>
      </w:r>
      <w:r>
        <w:rPr>
          <w:rFonts w:ascii="Arial" w:hAnsi="Arial" w:cs="Arial"/>
          <w:sz w:val="20"/>
          <w:szCs w:val="20"/>
        </w:rPr>
        <w:t xml:space="preserve"> continue growing </w:t>
      </w:r>
      <w:r w:rsidR="00CD477C">
        <w:rPr>
          <w:rFonts w:ascii="Arial" w:hAnsi="Arial" w:cs="Arial"/>
          <w:sz w:val="20"/>
          <w:szCs w:val="20"/>
        </w:rPr>
        <w:t xml:space="preserve">at </w:t>
      </w:r>
      <w:r w:rsidR="00FF5E6A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annual rate of </w:t>
      </w:r>
      <w:r w:rsidR="00FF5E6A">
        <w:rPr>
          <w:rFonts w:ascii="Arial" w:hAnsi="Arial" w:cs="Arial"/>
          <w:sz w:val="20"/>
          <w:szCs w:val="20"/>
        </w:rPr>
        <w:t>around</w:t>
      </w:r>
      <w:r>
        <w:rPr>
          <w:rFonts w:ascii="Arial" w:hAnsi="Arial" w:cs="Arial"/>
          <w:sz w:val="20"/>
          <w:szCs w:val="20"/>
        </w:rPr>
        <w:t xml:space="preserve"> 3.6%</w:t>
      </w:r>
      <w:r w:rsidR="00CD477C">
        <w:rPr>
          <w:rFonts w:ascii="Arial" w:hAnsi="Arial" w:cs="Arial"/>
          <w:sz w:val="20"/>
          <w:szCs w:val="20"/>
        </w:rPr>
        <w:t xml:space="preserve"> in the coming years, partially due to t</w:t>
      </w:r>
      <w:r w:rsidR="00BC2017">
        <w:rPr>
          <w:rFonts w:ascii="Arial" w:hAnsi="Arial" w:cs="Arial"/>
          <w:sz w:val="20"/>
          <w:szCs w:val="20"/>
        </w:rPr>
        <w:t xml:space="preserve">he </w:t>
      </w:r>
      <w:r w:rsidR="00CD477C">
        <w:rPr>
          <w:rFonts w:ascii="Arial" w:hAnsi="Arial" w:cs="Arial"/>
          <w:sz w:val="20"/>
          <w:szCs w:val="20"/>
        </w:rPr>
        <w:t xml:space="preserve">rising </w:t>
      </w:r>
      <w:r w:rsidR="00BC2017">
        <w:rPr>
          <w:rFonts w:ascii="Arial" w:hAnsi="Arial" w:cs="Arial"/>
          <w:sz w:val="20"/>
          <w:szCs w:val="20"/>
        </w:rPr>
        <w:t xml:space="preserve">global awareness of </w:t>
      </w:r>
      <w:r w:rsidR="00CD477C">
        <w:rPr>
          <w:rFonts w:ascii="Arial" w:hAnsi="Arial" w:cs="Arial"/>
          <w:sz w:val="20"/>
          <w:szCs w:val="20"/>
        </w:rPr>
        <w:t xml:space="preserve">good </w:t>
      </w:r>
      <w:r w:rsidR="00BC2017">
        <w:rPr>
          <w:rFonts w:ascii="Arial" w:hAnsi="Arial" w:cs="Arial"/>
          <w:sz w:val="20"/>
          <w:szCs w:val="20"/>
        </w:rPr>
        <w:t>oral hygiene</w:t>
      </w:r>
      <w:r w:rsidR="00CD477C">
        <w:rPr>
          <w:rFonts w:ascii="Arial" w:hAnsi="Arial" w:cs="Arial"/>
          <w:sz w:val="20"/>
          <w:szCs w:val="20"/>
        </w:rPr>
        <w:t>, which</w:t>
      </w:r>
      <w:r w:rsidR="00BC2017">
        <w:rPr>
          <w:rFonts w:ascii="Arial" w:hAnsi="Arial" w:cs="Arial"/>
          <w:sz w:val="20"/>
          <w:szCs w:val="20"/>
        </w:rPr>
        <w:t xml:space="preserve"> is </w:t>
      </w:r>
      <w:r w:rsidR="00CD477C">
        <w:rPr>
          <w:rFonts w:ascii="Arial" w:hAnsi="Arial" w:cs="Arial"/>
          <w:sz w:val="20"/>
          <w:szCs w:val="20"/>
        </w:rPr>
        <w:t>expected</w:t>
      </w:r>
      <w:r w:rsidR="00BC2017">
        <w:rPr>
          <w:rFonts w:ascii="Arial" w:hAnsi="Arial" w:cs="Arial"/>
          <w:sz w:val="20"/>
          <w:szCs w:val="20"/>
        </w:rPr>
        <w:t xml:space="preserve"> to drive </w:t>
      </w:r>
      <w:r w:rsidR="00CD477C">
        <w:rPr>
          <w:rFonts w:ascii="Arial" w:hAnsi="Arial" w:cs="Arial"/>
          <w:sz w:val="20"/>
          <w:szCs w:val="20"/>
        </w:rPr>
        <w:t xml:space="preserve">up </w:t>
      </w:r>
      <w:r w:rsidR="00BC2017">
        <w:rPr>
          <w:rFonts w:ascii="Arial" w:hAnsi="Arial" w:cs="Arial"/>
          <w:sz w:val="20"/>
          <w:szCs w:val="20"/>
        </w:rPr>
        <w:t>the demand for toothpastes.</w:t>
      </w:r>
      <w:r w:rsidR="00CD477C">
        <w:rPr>
          <w:rFonts w:ascii="Arial" w:hAnsi="Arial" w:cs="Arial"/>
          <w:sz w:val="20"/>
          <w:szCs w:val="20"/>
        </w:rPr>
        <w:t xml:space="preserve"> </w:t>
      </w:r>
    </w:p>
    <w:p w:rsidR="004422DB" w:rsidRPr="00032AF6" w:rsidRDefault="004422DB" w:rsidP="004422DB">
      <w:pPr>
        <w:spacing w:before="240" w:after="0"/>
        <w:jc w:val="left"/>
        <w:rPr>
          <w:rFonts w:ascii="Arial" w:hAnsi="Arial" w:cs="Arial"/>
          <w:sz w:val="20"/>
          <w:szCs w:val="20"/>
        </w:rPr>
      </w:pPr>
      <w:r w:rsidRPr="00032AF6">
        <w:rPr>
          <w:rFonts w:ascii="Arial" w:hAnsi="Arial" w:cs="Arial"/>
          <w:sz w:val="20"/>
          <w:szCs w:val="20"/>
        </w:rPr>
        <w:t xml:space="preserve">The sections that follow describe and analyze </w:t>
      </w:r>
      <w:r>
        <w:rPr>
          <w:rFonts w:ascii="Arial" w:hAnsi="Arial" w:cs="Arial"/>
          <w:sz w:val="20"/>
          <w:szCs w:val="20"/>
        </w:rPr>
        <w:t xml:space="preserve">the sorbitol </w:t>
      </w:r>
      <w:r w:rsidRPr="00032AF6">
        <w:rPr>
          <w:rFonts w:ascii="Arial" w:hAnsi="Arial" w:cs="Arial"/>
          <w:sz w:val="20"/>
          <w:szCs w:val="20"/>
        </w:rPr>
        <w:t>production process modeled in SuperPro Designer. The development of the model was based on data that is available in the patent and technical literature suppo</w:t>
      </w:r>
      <w:r>
        <w:rPr>
          <w:rFonts w:ascii="Arial" w:hAnsi="Arial" w:cs="Arial"/>
          <w:sz w:val="20"/>
          <w:szCs w:val="20"/>
        </w:rPr>
        <w:t>rted</w:t>
      </w:r>
      <w:r w:rsidRPr="00032AF6">
        <w:rPr>
          <w:rFonts w:ascii="Arial" w:hAnsi="Arial" w:cs="Arial"/>
          <w:sz w:val="20"/>
          <w:szCs w:val="20"/>
        </w:rPr>
        <w:t xml:space="preserve"> by our experience with related processes and our engineering judgment.</w:t>
      </w:r>
    </w:p>
    <w:p w:rsidR="004422DB" w:rsidRDefault="004422DB" w:rsidP="00673530">
      <w:pPr>
        <w:spacing w:before="100" w:beforeAutospacing="1" w:after="0"/>
        <w:jc w:val="left"/>
        <w:rPr>
          <w:rFonts w:ascii="Arial" w:hAnsi="Arial" w:cs="Arial"/>
          <w:sz w:val="20"/>
          <w:szCs w:val="20"/>
        </w:rPr>
      </w:pPr>
    </w:p>
    <w:p w:rsidR="008875EA" w:rsidRDefault="008875EA" w:rsidP="00254674">
      <w:p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610100" cy="2781300"/>
            <wp:effectExtent l="19050" t="0" r="0" b="0"/>
            <wp:docPr id="3" name="Εικόνα 1" descr="http://www.radiantinsights.com/img/research/global-sorbitol-mar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antinsights.com/img/research/global-sorbitol-marke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5EA" w:rsidRDefault="00B50D80" w:rsidP="00254674">
      <w:pPr>
        <w:spacing w:before="0" w:after="0"/>
        <w:jc w:val="left"/>
        <w:rPr>
          <w:rFonts w:ascii="Arial" w:hAnsi="Arial" w:cs="Arial"/>
          <w:sz w:val="20"/>
          <w:szCs w:val="20"/>
        </w:rPr>
      </w:pPr>
      <w:r w:rsidRPr="00117FC5">
        <w:rPr>
          <w:rFonts w:ascii="Arial" w:hAnsi="Arial" w:cs="Arial"/>
          <w:b/>
          <w:sz w:val="20"/>
          <w:szCs w:val="20"/>
        </w:rPr>
        <w:t>Figure 2</w:t>
      </w:r>
      <w:r w:rsidR="00BC2017">
        <w:rPr>
          <w:rFonts w:ascii="Arial" w:hAnsi="Arial" w:cs="Arial"/>
          <w:sz w:val="20"/>
          <w:szCs w:val="20"/>
        </w:rPr>
        <w:t xml:space="preserve">: Global Sorbitol Market in </w:t>
      </w:r>
      <w:proofErr w:type="spellStart"/>
      <w:r w:rsidR="00BC2017">
        <w:rPr>
          <w:rFonts w:ascii="Arial" w:hAnsi="Arial" w:cs="Arial"/>
          <w:sz w:val="20"/>
          <w:szCs w:val="20"/>
        </w:rPr>
        <w:t>ktons</w:t>
      </w:r>
      <w:proofErr w:type="spellEnd"/>
      <w:r w:rsidR="00BC2017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BC2017">
        <w:rPr>
          <w:rFonts w:ascii="Arial" w:hAnsi="Arial" w:cs="Arial"/>
          <w:sz w:val="20"/>
          <w:szCs w:val="20"/>
        </w:rPr>
        <w:t>Source</w:t>
      </w:r>
      <w:proofErr w:type="gramStart"/>
      <w:r w:rsidR="00BC2017">
        <w:rPr>
          <w:rFonts w:ascii="Arial" w:hAnsi="Arial" w:cs="Arial"/>
          <w:sz w:val="20"/>
          <w:szCs w:val="20"/>
        </w:rPr>
        <w:t>:Radiant</w:t>
      </w:r>
      <w:proofErr w:type="spellEnd"/>
      <w:proofErr w:type="gramEnd"/>
      <w:r w:rsidR="00BC2017">
        <w:rPr>
          <w:rFonts w:ascii="Arial" w:hAnsi="Arial" w:cs="Arial"/>
          <w:sz w:val="20"/>
          <w:szCs w:val="20"/>
        </w:rPr>
        <w:t xml:space="preserve"> Insights Inc.)</w:t>
      </w:r>
    </w:p>
    <w:p w:rsidR="00BC2017" w:rsidRDefault="00BC2017" w:rsidP="00254674">
      <w:pPr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FC0AE3" w:rsidRDefault="00FC0AE3" w:rsidP="00355259">
      <w:pPr>
        <w:jc w:val="left"/>
      </w:pPr>
    </w:p>
    <w:p w:rsidR="00355259" w:rsidRDefault="00355259" w:rsidP="00355259">
      <w:pPr>
        <w:jc w:val="left"/>
        <w:rPr>
          <w:rFonts w:ascii="Arial" w:hAnsi="Arial" w:cs="Arial"/>
          <w:b/>
          <w:color w:val="984806"/>
          <w:sz w:val="28"/>
          <w:szCs w:val="28"/>
        </w:rPr>
      </w:pPr>
      <w:r>
        <w:rPr>
          <w:rFonts w:ascii="Arial" w:hAnsi="Arial" w:cs="Arial"/>
          <w:b/>
          <w:color w:val="984806"/>
          <w:sz w:val="28"/>
          <w:szCs w:val="28"/>
        </w:rPr>
        <w:t>Process D</w:t>
      </w:r>
      <w:r w:rsidRPr="001C783D">
        <w:rPr>
          <w:rFonts w:ascii="Arial" w:hAnsi="Arial" w:cs="Arial"/>
          <w:b/>
          <w:color w:val="984806"/>
          <w:sz w:val="28"/>
          <w:szCs w:val="28"/>
        </w:rPr>
        <w:t>escription</w:t>
      </w:r>
    </w:p>
    <w:p w:rsidR="002A0AE6" w:rsidRDefault="00CF5733" w:rsidP="00254674">
      <w:p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95% (dry solids basis) g</w:t>
      </w:r>
      <w:r w:rsidR="00D1634A">
        <w:rPr>
          <w:rFonts w:ascii="Arial" w:hAnsi="Arial" w:cs="Arial"/>
          <w:sz w:val="20"/>
          <w:szCs w:val="20"/>
        </w:rPr>
        <w:t>luc</w:t>
      </w:r>
      <w:r w:rsidR="00407211">
        <w:rPr>
          <w:rFonts w:ascii="Arial" w:hAnsi="Arial" w:cs="Arial"/>
          <w:sz w:val="20"/>
          <w:szCs w:val="20"/>
        </w:rPr>
        <w:t xml:space="preserve">ose </w:t>
      </w:r>
      <w:r>
        <w:rPr>
          <w:rFonts w:ascii="Arial" w:hAnsi="Arial" w:cs="Arial"/>
          <w:sz w:val="20"/>
          <w:szCs w:val="20"/>
        </w:rPr>
        <w:t xml:space="preserve">solution </w:t>
      </w:r>
      <w:r w:rsidR="00407211">
        <w:rPr>
          <w:rFonts w:ascii="Arial" w:hAnsi="Arial" w:cs="Arial"/>
          <w:sz w:val="20"/>
          <w:szCs w:val="20"/>
        </w:rPr>
        <w:t>enters the process in a</w:t>
      </w:r>
      <w:r w:rsidR="00407211" w:rsidRPr="00407211">
        <w:rPr>
          <w:rFonts w:ascii="Arial" w:hAnsi="Arial" w:cs="Arial"/>
          <w:sz w:val="20"/>
          <w:szCs w:val="20"/>
        </w:rPr>
        <w:t xml:space="preserve"> </w:t>
      </w:r>
      <w:r w:rsidR="00407211">
        <w:rPr>
          <w:rFonts w:ascii="Arial" w:hAnsi="Arial" w:cs="Arial"/>
          <w:sz w:val="20"/>
          <w:szCs w:val="20"/>
          <w:lang w:val="en-GB"/>
        </w:rPr>
        <w:t xml:space="preserve">feed tank </w:t>
      </w:r>
      <w:r w:rsidR="00D1634A">
        <w:rPr>
          <w:rFonts w:ascii="Arial" w:hAnsi="Arial" w:cs="Arial"/>
          <w:sz w:val="20"/>
          <w:szCs w:val="20"/>
        </w:rPr>
        <w:t>(P-1</w:t>
      </w:r>
      <w:r w:rsidR="00037E18">
        <w:rPr>
          <w:rFonts w:ascii="Arial" w:hAnsi="Arial" w:cs="Arial"/>
          <w:sz w:val="20"/>
          <w:szCs w:val="20"/>
        </w:rPr>
        <w:t xml:space="preserve"> / V-101</w:t>
      </w:r>
      <w:r w:rsidR="00D1634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="00D1634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where</w:t>
      </w:r>
      <w:r w:rsidR="00037E18">
        <w:rPr>
          <w:rFonts w:ascii="Arial" w:hAnsi="Arial" w:cs="Arial"/>
          <w:sz w:val="20"/>
          <w:szCs w:val="20"/>
        </w:rPr>
        <w:t xml:space="preserve"> it is mixed with</w:t>
      </w:r>
      <w:r w:rsidR="00407211">
        <w:rPr>
          <w:rFonts w:ascii="Arial" w:hAnsi="Arial" w:cs="Arial"/>
          <w:sz w:val="20"/>
          <w:szCs w:val="20"/>
        </w:rPr>
        <w:t xml:space="preserve"> recyc</w:t>
      </w:r>
      <w:r w:rsidR="00DB00A6">
        <w:rPr>
          <w:rFonts w:ascii="Arial" w:hAnsi="Arial" w:cs="Arial"/>
          <w:sz w:val="20"/>
          <w:szCs w:val="20"/>
        </w:rPr>
        <w:t xml:space="preserve">led </w:t>
      </w:r>
      <w:r w:rsidR="00407211">
        <w:rPr>
          <w:rFonts w:ascii="Arial" w:hAnsi="Arial" w:cs="Arial"/>
          <w:sz w:val="20"/>
          <w:szCs w:val="20"/>
        </w:rPr>
        <w:t xml:space="preserve">water </w:t>
      </w:r>
      <w:r w:rsidR="00037E18">
        <w:rPr>
          <w:rFonts w:ascii="Arial" w:hAnsi="Arial" w:cs="Arial"/>
          <w:sz w:val="20"/>
          <w:szCs w:val="20"/>
        </w:rPr>
        <w:t>(S-113)</w:t>
      </w:r>
      <w:r w:rsidR="00407211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Next, a</w:t>
      </w:r>
      <w:r w:rsidR="00407211">
        <w:rPr>
          <w:rFonts w:ascii="Arial" w:hAnsi="Arial" w:cs="Arial"/>
          <w:sz w:val="20"/>
          <w:szCs w:val="20"/>
        </w:rPr>
        <w:t xml:space="preserve"> custom mixer (P-2) adds more water </w:t>
      </w:r>
      <w:r>
        <w:rPr>
          <w:rFonts w:ascii="Arial" w:hAnsi="Arial" w:cs="Arial"/>
          <w:sz w:val="20"/>
          <w:szCs w:val="20"/>
        </w:rPr>
        <w:t xml:space="preserve">in order to reach </w:t>
      </w:r>
      <w:r w:rsidR="00D1634A">
        <w:rPr>
          <w:rFonts w:ascii="Arial" w:hAnsi="Arial" w:cs="Arial"/>
          <w:sz w:val="20"/>
          <w:szCs w:val="20"/>
        </w:rPr>
        <w:t xml:space="preserve">a final </w:t>
      </w:r>
      <w:r w:rsidR="00407211">
        <w:rPr>
          <w:rFonts w:ascii="Arial" w:hAnsi="Arial" w:cs="Arial"/>
          <w:sz w:val="20"/>
          <w:szCs w:val="20"/>
        </w:rPr>
        <w:t xml:space="preserve">target </w:t>
      </w:r>
      <w:r w:rsidR="00D1634A">
        <w:rPr>
          <w:rFonts w:ascii="Arial" w:hAnsi="Arial" w:cs="Arial"/>
          <w:sz w:val="20"/>
          <w:szCs w:val="20"/>
        </w:rPr>
        <w:t xml:space="preserve">water content of around 50%. </w:t>
      </w:r>
      <w:r>
        <w:rPr>
          <w:rFonts w:ascii="Arial" w:hAnsi="Arial" w:cs="Arial"/>
          <w:sz w:val="20"/>
          <w:szCs w:val="20"/>
        </w:rPr>
        <w:t>Note that g</w:t>
      </w:r>
      <w:r w:rsidR="00D1634A">
        <w:rPr>
          <w:rFonts w:ascii="Arial" w:hAnsi="Arial" w:cs="Arial"/>
          <w:sz w:val="20"/>
          <w:szCs w:val="20"/>
        </w:rPr>
        <w:t xml:space="preserve">lucose syrup is commonly </w:t>
      </w:r>
      <w:r>
        <w:rPr>
          <w:rFonts w:ascii="Arial" w:hAnsi="Arial" w:cs="Arial"/>
          <w:sz w:val="20"/>
          <w:szCs w:val="20"/>
        </w:rPr>
        <w:t>sold</w:t>
      </w:r>
      <w:r w:rsidR="00D1634A">
        <w:rPr>
          <w:rFonts w:ascii="Arial" w:hAnsi="Arial" w:cs="Arial"/>
          <w:sz w:val="20"/>
          <w:szCs w:val="20"/>
        </w:rPr>
        <w:t xml:space="preserve"> with</w:t>
      </w:r>
      <w:r w:rsidR="00050FF0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</w:t>
      </w:r>
      <w:r w:rsidR="00D1634A">
        <w:rPr>
          <w:rFonts w:ascii="Arial" w:hAnsi="Arial" w:cs="Arial"/>
          <w:sz w:val="20"/>
          <w:szCs w:val="20"/>
        </w:rPr>
        <w:t xml:space="preserve">initial water content </w:t>
      </w:r>
      <w:r>
        <w:rPr>
          <w:rFonts w:ascii="Arial" w:hAnsi="Arial" w:cs="Arial"/>
          <w:sz w:val="20"/>
          <w:szCs w:val="20"/>
        </w:rPr>
        <w:t xml:space="preserve">of </w:t>
      </w:r>
      <w:r w:rsidR="00D1634A">
        <w:rPr>
          <w:rFonts w:ascii="Arial" w:hAnsi="Arial" w:cs="Arial"/>
          <w:sz w:val="20"/>
          <w:szCs w:val="20"/>
        </w:rPr>
        <w:t>29%, with the remaining 71% being the dry solids (</w:t>
      </w:r>
      <w:r w:rsidR="00EB534F">
        <w:rPr>
          <w:rFonts w:ascii="Arial" w:hAnsi="Arial" w:cs="Arial"/>
          <w:sz w:val="20"/>
          <w:szCs w:val="20"/>
        </w:rPr>
        <w:t>DS</w:t>
      </w:r>
      <w:r w:rsidR="00D1634A">
        <w:rPr>
          <w:rFonts w:ascii="Arial" w:hAnsi="Arial" w:cs="Arial"/>
          <w:sz w:val="20"/>
          <w:szCs w:val="20"/>
        </w:rPr>
        <w:t xml:space="preserve">). </w:t>
      </w:r>
      <w:r w:rsidR="00050FF0">
        <w:rPr>
          <w:rFonts w:ascii="Arial" w:hAnsi="Arial" w:cs="Arial"/>
          <w:sz w:val="20"/>
          <w:szCs w:val="20"/>
        </w:rPr>
        <w:t>A high</w:t>
      </w:r>
      <w:r>
        <w:rPr>
          <w:rFonts w:ascii="Arial" w:hAnsi="Arial" w:cs="Arial"/>
          <w:sz w:val="20"/>
          <w:szCs w:val="20"/>
        </w:rPr>
        <w:t xml:space="preserve"> </w:t>
      </w:r>
      <w:r w:rsidR="00EB534F">
        <w:rPr>
          <w:rFonts w:ascii="Arial" w:hAnsi="Arial" w:cs="Arial"/>
          <w:sz w:val="20"/>
          <w:szCs w:val="20"/>
        </w:rPr>
        <w:t xml:space="preserve">DS </w:t>
      </w:r>
      <w:r w:rsidR="00050FF0">
        <w:rPr>
          <w:rFonts w:ascii="Arial" w:hAnsi="Arial" w:cs="Arial"/>
          <w:sz w:val="20"/>
          <w:szCs w:val="20"/>
        </w:rPr>
        <w:t xml:space="preserve">percentage </w:t>
      </w:r>
      <w:r w:rsidR="00EB534F">
        <w:rPr>
          <w:rFonts w:ascii="Arial" w:hAnsi="Arial" w:cs="Arial"/>
          <w:sz w:val="20"/>
          <w:szCs w:val="20"/>
        </w:rPr>
        <w:t>is</w:t>
      </w:r>
      <w:r w:rsidR="00D1634A">
        <w:rPr>
          <w:rFonts w:ascii="Arial" w:hAnsi="Arial" w:cs="Arial"/>
          <w:sz w:val="20"/>
          <w:szCs w:val="20"/>
        </w:rPr>
        <w:t xml:space="preserve"> </w:t>
      </w:r>
      <w:r w:rsidR="00050FF0">
        <w:rPr>
          <w:rFonts w:ascii="Arial" w:hAnsi="Arial" w:cs="Arial"/>
          <w:sz w:val="20"/>
          <w:szCs w:val="20"/>
        </w:rPr>
        <w:t>undesirable</w:t>
      </w:r>
      <w:r w:rsidR="00D1634A">
        <w:rPr>
          <w:rFonts w:ascii="Arial" w:hAnsi="Arial" w:cs="Arial"/>
          <w:sz w:val="20"/>
          <w:szCs w:val="20"/>
        </w:rPr>
        <w:t xml:space="preserve"> for the hydrogenation reaction, </w:t>
      </w:r>
      <w:r>
        <w:rPr>
          <w:rFonts w:ascii="Arial" w:hAnsi="Arial" w:cs="Arial"/>
          <w:sz w:val="20"/>
          <w:szCs w:val="20"/>
        </w:rPr>
        <w:t>which is why</w:t>
      </w:r>
      <w:r w:rsidR="00D1634A">
        <w:rPr>
          <w:rFonts w:ascii="Arial" w:hAnsi="Arial" w:cs="Arial"/>
          <w:sz w:val="20"/>
          <w:szCs w:val="20"/>
        </w:rPr>
        <w:t xml:space="preserve"> the syrup needs to be diluted </w:t>
      </w:r>
      <w:r>
        <w:rPr>
          <w:rFonts w:ascii="Arial" w:hAnsi="Arial" w:cs="Arial"/>
          <w:sz w:val="20"/>
          <w:szCs w:val="20"/>
        </w:rPr>
        <w:t>to</w:t>
      </w:r>
      <w:r w:rsidR="00D1634A">
        <w:rPr>
          <w:rFonts w:ascii="Arial" w:hAnsi="Arial" w:cs="Arial"/>
          <w:sz w:val="20"/>
          <w:szCs w:val="20"/>
        </w:rPr>
        <w:t xml:space="preserve"> </w:t>
      </w:r>
      <w:r w:rsidR="00037E18">
        <w:rPr>
          <w:rFonts w:ascii="Arial" w:hAnsi="Arial" w:cs="Arial"/>
          <w:sz w:val="20"/>
          <w:szCs w:val="20"/>
        </w:rPr>
        <w:t>around</w:t>
      </w:r>
      <w:r w:rsidR="00D1634A">
        <w:rPr>
          <w:rFonts w:ascii="Arial" w:hAnsi="Arial" w:cs="Arial"/>
          <w:sz w:val="20"/>
          <w:szCs w:val="20"/>
        </w:rPr>
        <w:t xml:space="preserve"> 50% </w:t>
      </w:r>
      <w:r w:rsidR="00EB534F">
        <w:rPr>
          <w:rFonts w:ascii="Arial" w:hAnsi="Arial" w:cs="Arial"/>
          <w:sz w:val="20"/>
          <w:szCs w:val="20"/>
        </w:rPr>
        <w:t>DS</w:t>
      </w:r>
      <w:r w:rsidR="00D1634A">
        <w:rPr>
          <w:rFonts w:ascii="Arial" w:hAnsi="Arial" w:cs="Arial"/>
          <w:sz w:val="20"/>
          <w:szCs w:val="20"/>
        </w:rPr>
        <w:t xml:space="preserve">. </w:t>
      </w:r>
      <w:r w:rsidR="00407211">
        <w:rPr>
          <w:rFonts w:ascii="Arial" w:hAnsi="Arial" w:cs="Arial"/>
          <w:sz w:val="20"/>
          <w:szCs w:val="20"/>
        </w:rPr>
        <w:t xml:space="preserve">In integrated processes, which co-produce </w:t>
      </w:r>
      <w:r w:rsidR="00050FF0">
        <w:rPr>
          <w:rFonts w:ascii="Arial" w:hAnsi="Arial" w:cs="Arial"/>
          <w:sz w:val="20"/>
          <w:szCs w:val="20"/>
        </w:rPr>
        <w:t xml:space="preserve">95% </w:t>
      </w:r>
      <w:r w:rsidR="00407211">
        <w:rPr>
          <w:rFonts w:ascii="Arial" w:hAnsi="Arial" w:cs="Arial"/>
          <w:sz w:val="20"/>
          <w:szCs w:val="20"/>
        </w:rPr>
        <w:t xml:space="preserve">glucose syrup and sorbitol, the moisture content of the glucose syrup that is utilized for sorbitol </w:t>
      </w:r>
      <w:r w:rsidR="001D5AF9">
        <w:rPr>
          <w:rFonts w:ascii="Arial" w:hAnsi="Arial" w:cs="Arial"/>
          <w:sz w:val="20"/>
          <w:szCs w:val="20"/>
        </w:rPr>
        <w:t xml:space="preserve">production </w:t>
      </w:r>
      <w:r w:rsidR="00407211">
        <w:rPr>
          <w:rFonts w:ascii="Arial" w:hAnsi="Arial" w:cs="Arial"/>
          <w:sz w:val="20"/>
          <w:szCs w:val="20"/>
        </w:rPr>
        <w:t xml:space="preserve">is adjusted directly </w:t>
      </w:r>
      <w:r w:rsidR="00ED3F8E">
        <w:rPr>
          <w:rFonts w:ascii="Arial" w:hAnsi="Arial" w:cs="Arial"/>
          <w:sz w:val="20"/>
          <w:szCs w:val="20"/>
        </w:rPr>
        <w:t>using water from</w:t>
      </w:r>
      <w:r w:rsidR="00407211">
        <w:rPr>
          <w:rFonts w:ascii="Arial" w:hAnsi="Arial" w:cs="Arial"/>
          <w:sz w:val="20"/>
          <w:szCs w:val="20"/>
        </w:rPr>
        <w:t xml:space="preserve"> the final evaporator of the glucose syrup section. In</w:t>
      </w:r>
      <w:r w:rsidR="001D5AF9">
        <w:rPr>
          <w:rFonts w:ascii="Arial" w:hAnsi="Arial" w:cs="Arial"/>
          <w:sz w:val="20"/>
          <w:szCs w:val="20"/>
        </w:rPr>
        <w:t xml:space="preserve"> contrast, in</w:t>
      </w:r>
      <w:r w:rsidR="00407211">
        <w:rPr>
          <w:rFonts w:ascii="Arial" w:hAnsi="Arial" w:cs="Arial"/>
          <w:sz w:val="20"/>
          <w:szCs w:val="20"/>
        </w:rPr>
        <w:t xml:space="preserve"> this flowsheet the moisture is adjusted by </w:t>
      </w:r>
      <w:r w:rsidR="00ED3F8E">
        <w:rPr>
          <w:rFonts w:ascii="Arial" w:hAnsi="Arial" w:cs="Arial"/>
          <w:sz w:val="20"/>
          <w:szCs w:val="20"/>
        </w:rPr>
        <w:t>simply adding fresh</w:t>
      </w:r>
      <w:r w:rsidR="00407211">
        <w:rPr>
          <w:rFonts w:ascii="Arial" w:hAnsi="Arial" w:cs="Arial"/>
          <w:sz w:val="20"/>
          <w:szCs w:val="20"/>
        </w:rPr>
        <w:t xml:space="preserve"> water. </w:t>
      </w:r>
      <w:r w:rsidR="00D1634A">
        <w:rPr>
          <w:rFonts w:ascii="Arial" w:hAnsi="Arial" w:cs="Arial"/>
          <w:sz w:val="20"/>
          <w:szCs w:val="20"/>
        </w:rPr>
        <w:t>The syrup then enters the hydrogenation reactor (P-3</w:t>
      </w:r>
      <w:r w:rsidR="00037E18">
        <w:rPr>
          <w:rFonts w:ascii="Arial" w:hAnsi="Arial" w:cs="Arial"/>
          <w:sz w:val="20"/>
          <w:szCs w:val="20"/>
        </w:rPr>
        <w:t xml:space="preserve"> / R-101</w:t>
      </w:r>
      <w:r w:rsidR="00D1634A">
        <w:rPr>
          <w:rFonts w:ascii="Arial" w:hAnsi="Arial" w:cs="Arial"/>
          <w:sz w:val="20"/>
          <w:szCs w:val="20"/>
        </w:rPr>
        <w:t>)</w:t>
      </w:r>
      <w:r w:rsidR="001D5AF9">
        <w:rPr>
          <w:rFonts w:ascii="Arial" w:hAnsi="Arial" w:cs="Arial"/>
          <w:sz w:val="20"/>
          <w:szCs w:val="20"/>
        </w:rPr>
        <w:t xml:space="preserve">, which </w:t>
      </w:r>
      <w:r w:rsidR="00037E18">
        <w:rPr>
          <w:rFonts w:ascii="Arial" w:hAnsi="Arial" w:cs="Arial"/>
          <w:sz w:val="20"/>
          <w:szCs w:val="20"/>
        </w:rPr>
        <w:t xml:space="preserve">operates in batch mode and </w:t>
      </w:r>
      <w:r w:rsidR="00D1634A">
        <w:rPr>
          <w:rFonts w:ascii="Arial" w:hAnsi="Arial" w:cs="Arial"/>
          <w:sz w:val="20"/>
          <w:szCs w:val="20"/>
        </w:rPr>
        <w:t>includes the following operations:</w:t>
      </w:r>
    </w:p>
    <w:p w:rsidR="00D1634A" w:rsidRDefault="00D1634A" w:rsidP="00D1634A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Pull-In Syrup</w:t>
      </w:r>
    </w:p>
    <w:p w:rsidR="00D1634A" w:rsidRDefault="00D1634A" w:rsidP="00D1634A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Pull-In Hydrogen</w:t>
      </w:r>
    </w:p>
    <w:p w:rsidR="00D1634A" w:rsidRDefault="00D1634A" w:rsidP="00D1634A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Heat</w:t>
      </w:r>
    </w:p>
    <w:p w:rsidR="00D1634A" w:rsidRDefault="00D1634A" w:rsidP="00D1634A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</w:t>
      </w:r>
    </w:p>
    <w:p w:rsidR="00527325" w:rsidRDefault="00527325" w:rsidP="00D1634A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Cool</w:t>
      </w:r>
    </w:p>
    <w:p w:rsidR="00D1634A" w:rsidRDefault="00D1634A" w:rsidP="00D1634A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Gas sweep</w:t>
      </w:r>
    </w:p>
    <w:p w:rsidR="00D1634A" w:rsidRDefault="00182FA4" w:rsidP="00D1634A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Transfer Contents Out</w:t>
      </w:r>
    </w:p>
    <w:p w:rsidR="004C7486" w:rsidRDefault="004C7486" w:rsidP="00D1634A">
      <w:p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this procedure, initially </w:t>
      </w:r>
      <w:r w:rsidR="00D1634A">
        <w:rPr>
          <w:rFonts w:ascii="Arial" w:hAnsi="Arial" w:cs="Arial"/>
          <w:sz w:val="20"/>
          <w:szCs w:val="20"/>
        </w:rPr>
        <w:t>the syrup is pulled in</w:t>
      </w:r>
      <w:r w:rsidR="00232713">
        <w:rPr>
          <w:rFonts w:ascii="Arial" w:hAnsi="Arial" w:cs="Arial"/>
          <w:sz w:val="20"/>
          <w:szCs w:val="20"/>
        </w:rPr>
        <w:t>to</w:t>
      </w:r>
      <w:r w:rsidR="00D1634A">
        <w:rPr>
          <w:rFonts w:ascii="Arial" w:hAnsi="Arial" w:cs="Arial"/>
          <w:sz w:val="20"/>
          <w:szCs w:val="20"/>
        </w:rPr>
        <w:t xml:space="preserve"> the reactor. Then part of the required </w:t>
      </w:r>
      <w:r w:rsidR="00AA0346">
        <w:rPr>
          <w:rFonts w:ascii="Arial" w:hAnsi="Arial" w:cs="Arial"/>
          <w:sz w:val="20"/>
          <w:szCs w:val="20"/>
        </w:rPr>
        <w:t xml:space="preserve">hydrogen is pulled </w:t>
      </w:r>
      <w:r>
        <w:rPr>
          <w:rFonts w:ascii="Arial" w:hAnsi="Arial" w:cs="Arial"/>
          <w:sz w:val="20"/>
          <w:szCs w:val="20"/>
        </w:rPr>
        <w:t>into the</w:t>
      </w:r>
      <w:r w:rsidR="00AA034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headspace</w:t>
      </w:r>
      <w:r w:rsidR="00AA0346">
        <w:rPr>
          <w:rFonts w:ascii="Arial" w:hAnsi="Arial" w:cs="Arial"/>
          <w:sz w:val="20"/>
          <w:szCs w:val="20"/>
        </w:rPr>
        <w:t xml:space="preserve"> of the reactor, pressurizing the vessel. </w:t>
      </w:r>
      <w:r w:rsidR="00A902EE">
        <w:rPr>
          <w:rFonts w:ascii="Arial" w:hAnsi="Arial" w:cs="Arial"/>
          <w:sz w:val="20"/>
          <w:szCs w:val="20"/>
        </w:rPr>
        <w:t xml:space="preserve">The reaction utilizes </w:t>
      </w:r>
      <w:r w:rsidR="00E168A6">
        <w:rPr>
          <w:rFonts w:ascii="Arial" w:hAnsi="Arial" w:cs="Arial"/>
          <w:sz w:val="20"/>
          <w:szCs w:val="20"/>
        </w:rPr>
        <w:t xml:space="preserve">Raney-Nickel </w:t>
      </w:r>
      <w:r w:rsidR="00A902EE">
        <w:rPr>
          <w:rFonts w:ascii="Arial" w:hAnsi="Arial" w:cs="Arial"/>
          <w:sz w:val="20"/>
          <w:szCs w:val="20"/>
        </w:rPr>
        <w:t xml:space="preserve">catalyst </w:t>
      </w:r>
      <w:r w:rsidR="00E168A6">
        <w:rPr>
          <w:rFonts w:ascii="Arial" w:hAnsi="Arial" w:cs="Arial"/>
          <w:sz w:val="20"/>
          <w:szCs w:val="20"/>
        </w:rPr>
        <w:lastRenderedPageBreak/>
        <w:t xml:space="preserve">which was modeled as a consumable. </w:t>
      </w:r>
      <w:r>
        <w:rPr>
          <w:rFonts w:ascii="Arial" w:hAnsi="Arial" w:cs="Arial"/>
          <w:sz w:val="20"/>
          <w:szCs w:val="20"/>
        </w:rPr>
        <w:t xml:space="preserve">In order to initiate the reaction, the syrup is heated using steam to a temperature of around 80 </w:t>
      </w:r>
      <w:r w:rsidRPr="004E4E5D">
        <w:rPr>
          <w:rFonts w:ascii="Arial" w:hAnsi="Arial" w:cs="Arial"/>
          <w:sz w:val="20"/>
          <w:szCs w:val="20"/>
          <w:vertAlign w:val="superscript"/>
        </w:rPr>
        <w:t>◦</w:t>
      </w:r>
      <w:r>
        <w:rPr>
          <w:rFonts w:ascii="Arial" w:hAnsi="Arial" w:cs="Arial"/>
          <w:sz w:val="20"/>
          <w:szCs w:val="20"/>
        </w:rPr>
        <w:t xml:space="preserve">C. </w:t>
      </w:r>
      <w:r w:rsidR="00AA0346">
        <w:rPr>
          <w:rFonts w:ascii="Arial" w:hAnsi="Arial" w:cs="Arial"/>
          <w:sz w:val="20"/>
          <w:szCs w:val="20"/>
        </w:rPr>
        <w:t xml:space="preserve">The hydrogenation of sugars is </w:t>
      </w:r>
      <w:r>
        <w:rPr>
          <w:rFonts w:ascii="Arial" w:hAnsi="Arial" w:cs="Arial"/>
          <w:sz w:val="20"/>
          <w:szCs w:val="20"/>
        </w:rPr>
        <w:t>exothermic, and it is accelerated</w:t>
      </w:r>
      <w:r w:rsidR="00AA0346">
        <w:rPr>
          <w:rFonts w:ascii="Arial" w:hAnsi="Arial" w:cs="Arial"/>
          <w:sz w:val="20"/>
          <w:szCs w:val="20"/>
        </w:rPr>
        <w:t xml:space="preserve"> by </w:t>
      </w:r>
      <w:r>
        <w:rPr>
          <w:rFonts w:ascii="Arial" w:hAnsi="Arial" w:cs="Arial"/>
          <w:sz w:val="20"/>
          <w:szCs w:val="20"/>
        </w:rPr>
        <w:t>high temperatures</w:t>
      </w:r>
      <w:r w:rsidR="00AA0346">
        <w:rPr>
          <w:rFonts w:ascii="Arial" w:hAnsi="Arial" w:cs="Arial"/>
          <w:sz w:val="20"/>
          <w:szCs w:val="20"/>
        </w:rPr>
        <w:t xml:space="preserve">. This means that once the reaction starts it is self-catalyzed because of the </w:t>
      </w:r>
      <w:r>
        <w:rPr>
          <w:rFonts w:ascii="Arial" w:hAnsi="Arial" w:cs="Arial"/>
          <w:sz w:val="20"/>
          <w:szCs w:val="20"/>
        </w:rPr>
        <w:t>generated</w:t>
      </w:r>
      <w:r w:rsidR="00AA0346">
        <w:rPr>
          <w:rFonts w:ascii="Arial" w:hAnsi="Arial" w:cs="Arial"/>
          <w:sz w:val="20"/>
          <w:szCs w:val="20"/>
        </w:rPr>
        <w:t xml:space="preserve"> heat. </w:t>
      </w:r>
    </w:p>
    <w:p w:rsidR="00AA0346" w:rsidRDefault="004C7486" w:rsidP="00D1634A">
      <w:p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noted previously, t</w:t>
      </w:r>
      <w:r w:rsidR="00AA0346">
        <w:rPr>
          <w:rFonts w:ascii="Arial" w:hAnsi="Arial" w:cs="Arial"/>
          <w:sz w:val="20"/>
          <w:szCs w:val="20"/>
        </w:rPr>
        <w:t xml:space="preserve">here are </w:t>
      </w:r>
      <w:r w:rsidR="00A902EE">
        <w:rPr>
          <w:rFonts w:ascii="Arial" w:hAnsi="Arial" w:cs="Arial"/>
          <w:sz w:val="20"/>
          <w:szCs w:val="20"/>
        </w:rPr>
        <w:t>several</w:t>
      </w:r>
      <w:r w:rsidR="00AA0346">
        <w:rPr>
          <w:rFonts w:ascii="Arial" w:hAnsi="Arial" w:cs="Arial"/>
          <w:sz w:val="20"/>
          <w:szCs w:val="20"/>
        </w:rPr>
        <w:t xml:space="preserve"> different sugars in the glucose syrup, with the predominant </w:t>
      </w:r>
      <w:r>
        <w:rPr>
          <w:rFonts w:ascii="Arial" w:hAnsi="Arial" w:cs="Arial"/>
          <w:sz w:val="20"/>
          <w:szCs w:val="20"/>
        </w:rPr>
        <w:t xml:space="preserve">one </w:t>
      </w:r>
      <w:r w:rsidR="00AA0346">
        <w:rPr>
          <w:rFonts w:ascii="Arial" w:hAnsi="Arial" w:cs="Arial"/>
          <w:sz w:val="20"/>
          <w:szCs w:val="20"/>
        </w:rPr>
        <w:t>being glucose</w:t>
      </w:r>
      <w:r w:rsidR="00B236F9">
        <w:rPr>
          <w:rFonts w:ascii="Arial" w:hAnsi="Arial" w:cs="Arial"/>
          <w:sz w:val="20"/>
          <w:szCs w:val="20"/>
        </w:rPr>
        <w:t xml:space="preserve"> at a concentration of </w:t>
      </w:r>
      <w:r>
        <w:rPr>
          <w:rFonts w:ascii="Arial" w:hAnsi="Arial" w:cs="Arial"/>
          <w:sz w:val="20"/>
          <w:szCs w:val="20"/>
        </w:rPr>
        <w:t>about</w:t>
      </w:r>
      <w:r w:rsidR="00B236F9">
        <w:rPr>
          <w:rFonts w:ascii="Arial" w:hAnsi="Arial" w:cs="Arial"/>
          <w:sz w:val="20"/>
          <w:szCs w:val="20"/>
        </w:rPr>
        <w:t xml:space="preserve"> 95% on </w:t>
      </w:r>
      <w:r>
        <w:rPr>
          <w:rFonts w:ascii="Arial" w:hAnsi="Arial" w:cs="Arial"/>
          <w:sz w:val="20"/>
          <w:szCs w:val="20"/>
        </w:rPr>
        <w:t xml:space="preserve">a </w:t>
      </w:r>
      <w:r w:rsidR="00A902EE">
        <w:rPr>
          <w:rFonts w:ascii="Arial" w:hAnsi="Arial" w:cs="Arial"/>
          <w:sz w:val="20"/>
          <w:szCs w:val="20"/>
        </w:rPr>
        <w:t>DS</w:t>
      </w:r>
      <w:r>
        <w:rPr>
          <w:rFonts w:ascii="Arial" w:hAnsi="Arial" w:cs="Arial"/>
          <w:sz w:val="20"/>
          <w:szCs w:val="20"/>
        </w:rPr>
        <w:t xml:space="preserve"> basis</w:t>
      </w:r>
      <w:r w:rsidR="00B236F9">
        <w:rPr>
          <w:rFonts w:ascii="Arial" w:hAnsi="Arial" w:cs="Arial"/>
          <w:sz w:val="20"/>
          <w:szCs w:val="20"/>
        </w:rPr>
        <w:t xml:space="preserve">, and the remaining 5% consisting of  maltose (DP2), </w:t>
      </w:r>
      <w:proofErr w:type="spellStart"/>
      <w:r w:rsidR="00B236F9">
        <w:rPr>
          <w:rFonts w:ascii="Arial" w:hAnsi="Arial" w:cs="Arial"/>
          <w:sz w:val="20"/>
          <w:szCs w:val="20"/>
        </w:rPr>
        <w:t>maltotriose</w:t>
      </w:r>
      <w:proofErr w:type="spellEnd"/>
      <w:r w:rsidR="00B236F9">
        <w:rPr>
          <w:rFonts w:ascii="Arial" w:hAnsi="Arial" w:cs="Arial"/>
          <w:sz w:val="20"/>
          <w:szCs w:val="20"/>
        </w:rPr>
        <w:t xml:space="preserve"> (DP3)</w:t>
      </w:r>
      <w:r w:rsidR="0040650E">
        <w:rPr>
          <w:rFonts w:ascii="Arial" w:hAnsi="Arial" w:cs="Arial"/>
          <w:sz w:val="20"/>
          <w:szCs w:val="20"/>
        </w:rPr>
        <w:t>,</w:t>
      </w:r>
      <w:r w:rsidR="00B236F9">
        <w:rPr>
          <w:rFonts w:ascii="Arial" w:hAnsi="Arial" w:cs="Arial"/>
          <w:sz w:val="20"/>
          <w:szCs w:val="20"/>
        </w:rPr>
        <w:t xml:space="preserve"> and higher sugars (</w:t>
      </w:r>
      <w:proofErr w:type="spellStart"/>
      <w:r w:rsidR="00B236F9">
        <w:rPr>
          <w:rFonts w:ascii="Arial" w:hAnsi="Arial" w:cs="Arial"/>
          <w:sz w:val="20"/>
          <w:szCs w:val="20"/>
        </w:rPr>
        <w:t>DPn</w:t>
      </w:r>
      <w:proofErr w:type="spellEnd"/>
      <w:r w:rsidR="00B236F9">
        <w:rPr>
          <w:rFonts w:ascii="Arial" w:hAnsi="Arial" w:cs="Arial"/>
          <w:sz w:val="20"/>
          <w:szCs w:val="20"/>
        </w:rPr>
        <w:t>)</w:t>
      </w:r>
      <w:r w:rsidR="00AA034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All of these sugars get hydrogenated during the reaction</w:t>
      </w:r>
      <w:r w:rsidR="00AA0346">
        <w:rPr>
          <w:rFonts w:ascii="Arial" w:hAnsi="Arial" w:cs="Arial"/>
          <w:sz w:val="20"/>
          <w:szCs w:val="20"/>
        </w:rPr>
        <w:t xml:space="preserve">. The </w:t>
      </w:r>
      <w:r w:rsidR="00B236F9">
        <w:rPr>
          <w:rFonts w:ascii="Arial" w:hAnsi="Arial" w:cs="Arial"/>
          <w:sz w:val="20"/>
          <w:szCs w:val="20"/>
        </w:rPr>
        <w:t xml:space="preserve">molar </w:t>
      </w:r>
      <w:proofErr w:type="spellStart"/>
      <w:r w:rsidR="00AA0346">
        <w:rPr>
          <w:rFonts w:ascii="Arial" w:hAnsi="Arial" w:cs="Arial"/>
          <w:sz w:val="20"/>
          <w:szCs w:val="20"/>
        </w:rPr>
        <w:t>stoichiometries</w:t>
      </w:r>
      <w:proofErr w:type="spellEnd"/>
      <w:r w:rsidR="00AA0346">
        <w:rPr>
          <w:rFonts w:ascii="Arial" w:hAnsi="Arial" w:cs="Arial"/>
          <w:sz w:val="20"/>
          <w:szCs w:val="20"/>
        </w:rPr>
        <w:t xml:space="preserve"> of the reactions </w:t>
      </w:r>
      <w:r w:rsidR="002748A4">
        <w:rPr>
          <w:rFonts w:ascii="Arial" w:hAnsi="Arial" w:cs="Arial"/>
          <w:sz w:val="20"/>
          <w:szCs w:val="20"/>
        </w:rPr>
        <w:t>follow</w:t>
      </w:r>
      <w:r w:rsidR="00AA0346">
        <w:rPr>
          <w:rFonts w:ascii="Arial" w:hAnsi="Arial" w:cs="Arial"/>
          <w:sz w:val="20"/>
          <w:szCs w:val="20"/>
        </w:rPr>
        <w:t>:</w:t>
      </w:r>
      <w:r w:rsidR="00175846"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780"/>
      </w:tblGrid>
      <w:tr w:rsidR="00175846" w:rsidTr="00175846">
        <w:tc>
          <w:tcPr>
            <w:tcW w:w="3528" w:type="dxa"/>
          </w:tcPr>
          <w:p w:rsidR="00175846" w:rsidRPr="00175846" w:rsidRDefault="00175846" w:rsidP="00D1634A">
            <w:pPr>
              <w:spacing w:before="0" w:after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75846">
              <w:rPr>
                <w:rFonts w:ascii="Arial" w:hAnsi="Arial" w:cs="Arial"/>
                <w:b/>
                <w:sz w:val="20"/>
                <w:szCs w:val="20"/>
              </w:rPr>
              <w:t>Reaction Name</w:t>
            </w:r>
          </w:p>
        </w:tc>
        <w:tc>
          <w:tcPr>
            <w:tcW w:w="3780" w:type="dxa"/>
          </w:tcPr>
          <w:p w:rsidR="00175846" w:rsidRPr="00175846" w:rsidRDefault="00175846" w:rsidP="00D1634A">
            <w:pPr>
              <w:spacing w:before="0" w:after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75846">
              <w:rPr>
                <w:rFonts w:ascii="Arial" w:hAnsi="Arial" w:cs="Arial"/>
                <w:b/>
                <w:sz w:val="20"/>
                <w:szCs w:val="20"/>
              </w:rPr>
              <w:t>Stoichiometry</w:t>
            </w:r>
          </w:p>
        </w:tc>
      </w:tr>
      <w:tr w:rsidR="00175846" w:rsidTr="00175846">
        <w:tc>
          <w:tcPr>
            <w:tcW w:w="3528" w:type="dxa"/>
          </w:tcPr>
          <w:p w:rsidR="00175846" w:rsidRDefault="00175846" w:rsidP="00EA59C5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Glucose H</w:t>
            </w:r>
            <w:r w:rsidRPr="00B236F9">
              <w:rPr>
                <w:rFonts w:ascii="Arial" w:hAnsi="Arial" w:cs="Arial"/>
                <w:sz w:val="20"/>
                <w:szCs w:val="20"/>
              </w:rPr>
              <w:t>ydrogenation</w:t>
            </w:r>
          </w:p>
        </w:tc>
        <w:tc>
          <w:tcPr>
            <w:tcW w:w="3780" w:type="dxa"/>
          </w:tcPr>
          <w:p w:rsidR="00175846" w:rsidRPr="00175846" w:rsidRDefault="00175846" w:rsidP="00EA59C5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75846">
              <w:rPr>
                <w:rFonts w:ascii="Arial" w:hAnsi="Arial" w:cs="Arial"/>
                <w:sz w:val="20"/>
                <w:szCs w:val="20"/>
              </w:rPr>
              <w:t xml:space="preserve">1 Glucose + 1 H2 </w:t>
            </w:r>
            <w:r w:rsidRPr="00175846"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E0"/>
            </w:r>
            <w:r w:rsidRPr="00175846">
              <w:rPr>
                <w:rFonts w:ascii="Arial" w:hAnsi="Arial" w:cs="Arial"/>
                <w:sz w:val="20"/>
                <w:szCs w:val="20"/>
              </w:rPr>
              <w:t xml:space="preserve"> 1 Sorbitol</w:t>
            </w:r>
          </w:p>
        </w:tc>
      </w:tr>
      <w:tr w:rsidR="00175846" w:rsidTr="00175846">
        <w:tc>
          <w:tcPr>
            <w:tcW w:w="3528" w:type="dxa"/>
          </w:tcPr>
          <w:p w:rsidR="00175846" w:rsidRDefault="00175846" w:rsidP="00EA59C5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36F9">
              <w:rPr>
                <w:rFonts w:ascii="Arial" w:hAnsi="Arial" w:cs="Arial"/>
                <w:sz w:val="20"/>
                <w:szCs w:val="20"/>
              </w:rPr>
              <w:t xml:space="preserve">Glucose </w:t>
            </w:r>
            <w:r>
              <w:rPr>
                <w:rFonts w:ascii="Arial" w:hAnsi="Arial" w:cs="Arial"/>
                <w:sz w:val="20"/>
                <w:szCs w:val="20"/>
              </w:rPr>
              <w:t>Decomposition</w:t>
            </w:r>
          </w:p>
        </w:tc>
        <w:tc>
          <w:tcPr>
            <w:tcW w:w="3780" w:type="dxa"/>
          </w:tcPr>
          <w:p w:rsidR="00175846" w:rsidRPr="00175846" w:rsidRDefault="00175846" w:rsidP="00EA59C5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75846">
              <w:rPr>
                <w:rFonts w:ascii="Arial" w:hAnsi="Arial" w:cs="Arial"/>
                <w:sz w:val="20"/>
                <w:szCs w:val="20"/>
              </w:rPr>
              <w:t xml:space="preserve">1 Glucose </w:t>
            </w:r>
            <w:r w:rsidRPr="00175846"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E0"/>
            </w:r>
            <w:r w:rsidRPr="00175846">
              <w:rPr>
                <w:rFonts w:ascii="Arial" w:hAnsi="Arial" w:cs="Arial"/>
                <w:sz w:val="20"/>
                <w:szCs w:val="20"/>
              </w:rPr>
              <w:t>3Organic Acids</w:t>
            </w:r>
          </w:p>
        </w:tc>
      </w:tr>
      <w:tr w:rsidR="00175846" w:rsidTr="00175846">
        <w:tc>
          <w:tcPr>
            <w:tcW w:w="3528" w:type="dxa"/>
          </w:tcPr>
          <w:p w:rsidR="00175846" w:rsidRDefault="00175846" w:rsidP="00D1634A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Maltose H</w:t>
            </w:r>
            <w:r w:rsidRPr="00B236F9">
              <w:rPr>
                <w:rFonts w:ascii="Arial" w:hAnsi="Arial" w:cs="Arial"/>
                <w:sz w:val="20"/>
                <w:szCs w:val="20"/>
              </w:rPr>
              <w:t>ydrogenation</w:t>
            </w:r>
          </w:p>
        </w:tc>
        <w:tc>
          <w:tcPr>
            <w:tcW w:w="3780" w:type="dxa"/>
          </w:tcPr>
          <w:p w:rsidR="00175846" w:rsidRPr="00175846" w:rsidRDefault="00175846" w:rsidP="00D1634A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75846">
              <w:rPr>
                <w:rFonts w:ascii="Arial" w:hAnsi="Arial" w:cs="Arial"/>
                <w:sz w:val="20"/>
                <w:szCs w:val="20"/>
              </w:rPr>
              <w:t xml:space="preserve">1 Maltose + 1 H2 </w:t>
            </w:r>
            <w:r w:rsidRPr="00175846"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E0"/>
            </w:r>
            <w:r w:rsidRPr="00175846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175846">
              <w:rPr>
                <w:rFonts w:ascii="Arial" w:hAnsi="Arial" w:cs="Arial"/>
                <w:sz w:val="20"/>
                <w:szCs w:val="20"/>
              </w:rPr>
              <w:t>Maltitol</w:t>
            </w:r>
            <w:proofErr w:type="spellEnd"/>
          </w:p>
        </w:tc>
      </w:tr>
      <w:tr w:rsidR="00175846" w:rsidTr="00175846">
        <w:tc>
          <w:tcPr>
            <w:tcW w:w="3528" w:type="dxa"/>
          </w:tcPr>
          <w:p w:rsidR="00175846" w:rsidRDefault="00175846" w:rsidP="00D1634A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Maltotriose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</w:t>
            </w:r>
            <w:r w:rsidRPr="00B236F9">
              <w:rPr>
                <w:rFonts w:ascii="Arial" w:hAnsi="Arial" w:cs="Arial"/>
                <w:sz w:val="20"/>
                <w:szCs w:val="20"/>
              </w:rPr>
              <w:t>ydrogenation</w:t>
            </w:r>
          </w:p>
        </w:tc>
        <w:tc>
          <w:tcPr>
            <w:tcW w:w="3780" w:type="dxa"/>
          </w:tcPr>
          <w:p w:rsidR="00175846" w:rsidRPr="00175846" w:rsidRDefault="00175846" w:rsidP="00D1634A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75846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175846">
              <w:rPr>
                <w:rFonts w:ascii="Arial" w:hAnsi="Arial" w:cs="Arial"/>
                <w:sz w:val="20"/>
                <w:szCs w:val="20"/>
              </w:rPr>
              <w:t>Maltotriose</w:t>
            </w:r>
            <w:proofErr w:type="spellEnd"/>
            <w:r w:rsidRPr="00175846">
              <w:rPr>
                <w:rFonts w:ascii="Arial" w:hAnsi="Arial" w:cs="Arial"/>
                <w:sz w:val="20"/>
                <w:szCs w:val="20"/>
              </w:rPr>
              <w:t xml:space="preserve"> + 1 H2 </w:t>
            </w:r>
            <w:r w:rsidRPr="00175846"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E0"/>
            </w:r>
            <w:r w:rsidRPr="00175846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175846">
              <w:rPr>
                <w:rFonts w:ascii="Arial" w:hAnsi="Arial" w:cs="Arial"/>
                <w:sz w:val="20"/>
                <w:szCs w:val="20"/>
              </w:rPr>
              <w:t>Maltotritol</w:t>
            </w:r>
            <w:proofErr w:type="spellEnd"/>
          </w:p>
        </w:tc>
      </w:tr>
      <w:tr w:rsidR="00175846" w:rsidTr="00175846">
        <w:tc>
          <w:tcPr>
            <w:tcW w:w="3528" w:type="dxa"/>
          </w:tcPr>
          <w:p w:rsidR="00175846" w:rsidRDefault="00175846" w:rsidP="00D1634A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Higher Sugars H</w:t>
            </w:r>
            <w:r w:rsidRPr="00B236F9">
              <w:rPr>
                <w:rFonts w:ascii="Arial" w:hAnsi="Arial" w:cs="Arial"/>
                <w:sz w:val="20"/>
                <w:szCs w:val="20"/>
              </w:rPr>
              <w:t>ydrogenation</w:t>
            </w:r>
          </w:p>
        </w:tc>
        <w:tc>
          <w:tcPr>
            <w:tcW w:w="3780" w:type="dxa"/>
          </w:tcPr>
          <w:p w:rsidR="00175846" w:rsidRPr="00175846" w:rsidRDefault="00175846" w:rsidP="00D1634A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75846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175846">
              <w:rPr>
                <w:rFonts w:ascii="Arial" w:hAnsi="Arial" w:cs="Arial"/>
                <w:sz w:val="20"/>
                <w:szCs w:val="20"/>
              </w:rPr>
              <w:t>DPn</w:t>
            </w:r>
            <w:proofErr w:type="spellEnd"/>
            <w:r w:rsidRPr="00175846">
              <w:rPr>
                <w:rFonts w:ascii="Arial" w:hAnsi="Arial" w:cs="Arial"/>
                <w:sz w:val="20"/>
                <w:szCs w:val="20"/>
              </w:rPr>
              <w:t xml:space="preserve"> + 1 H2 </w:t>
            </w:r>
            <w:r w:rsidRPr="00175846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175846">
              <w:rPr>
                <w:rFonts w:ascii="Arial" w:hAnsi="Arial" w:cs="Arial"/>
                <w:sz w:val="20"/>
                <w:szCs w:val="20"/>
              </w:rPr>
              <w:t xml:space="preserve"> 1 Higher Polyols</w:t>
            </w:r>
          </w:p>
        </w:tc>
      </w:tr>
    </w:tbl>
    <w:p w:rsidR="00D1634A" w:rsidRDefault="00D1634A" w:rsidP="00D1634A">
      <w:pPr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B236F9" w:rsidRDefault="005B729C" w:rsidP="00D1634A">
      <w:p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</w:t>
      </w:r>
      <w:r w:rsidR="006359CC">
        <w:rPr>
          <w:rFonts w:ascii="Arial" w:hAnsi="Arial" w:cs="Arial"/>
          <w:sz w:val="20"/>
          <w:szCs w:val="20"/>
        </w:rPr>
        <w:t xml:space="preserve">the </w:t>
      </w:r>
      <w:r w:rsidR="002215E7">
        <w:rPr>
          <w:rFonts w:ascii="Arial" w:hAnsi="Arial" w:cs="Arial"/>
          <w:sz w:val="20"/>
          <w:szCs w:val="20"/>
        </w:rPr>
        <w:t>combined</w:t>
      </w:r>
      <w:r>
        <w:rPr>
          <w:rFonts w:ascii="Arial" w:hAnsi="Arial" w:cs="Arial"/>
          <w:sz w:val="20"/>
          <w:szCs w:val="20"/>
        </w:rPr>
        <w:t xml:space="preserve"> reaction</w:t>
      </w:r>
      <w:r w:rsidR="002215E7">
        <w:rPr>
          <w:rFonts w:ascii="Arial" w:hAnsi="Arial" w:cs="Arial"/>
          <w:sz w:val="20"/>
          <w:szCs w:val="20"/>
        </w:rPr>
        <w:t xml:space="preserve">s are </w:t>
      </w:r>
      <w:r>
        <w:rPr>
          <w:rFonts w:ascii="Arial" w:hAnsi="Arial" w:cs="Arial"/>
          <w:sz w:val="20"/>
          <w:szCs w:val="20"/>
        </w:rPr>
        <w:t xml:space="preserve">exothermic, the feed rate of hydrogen into the reactor is limited to </w:t>
      </w:r>
      <w:r w:rsidR="002215E7">
        <w:rPr>
          <w:rFonts w:ascii="Arial" w:hAnsi="Arial" w:cs="Arial"/>
          <w:sz w:val="20"/>
          <w:szCs w:val="20"/>
        </w:rPr>
        <w:t>50</w:t>
      </w:r>
      <w:r>
        <w:rPr>
          <w:rFonts w:ascii="Arial" w:hAnsi="Arial" w:cs="Arial"/>
          <w:sz w:val="20"/>
          <w:szCs w:val="20"/>
        </w:rPr>
        <w:t xml:space="preserve"> kg/h (using a fed-batch feed)</w:t>
      </w:r>
      <w:r w:rsidR="00AC168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cooling water is used to maintain a reactor temperature of </w:t>
      </w:r>
      <w:r w:rsidR="006059D4">
        <w:rPr>
          <w:rFonts w:ascii="Arial" w:hAnsi="Arial" w:cs="Arial"/>
          <w:sz w:val="20"/>
          <w:szCs w:val="20"/>
        </w:rPr>
        <w:t>around</w:t>
      </w:r>
      <w:r>
        <w:rPr>
          <w:rFonts w:ascii="Arial" w:hAnsi="Arial" w:cs="Arial"/>
          <w:sz w:val="20"/>
          <w:szCs w:val="20"/>
        </w:rPr>
        <w:t xml:space="preserve"> 120-130 </w:t>
      </w:r>
      <w:r w:rsidRPr="004E4E5D">
        <w:rPr>
          <w:rFonts w:ascii="Arial" w:hAnsi="Arial" w:cs="Arial"/>
          <w:sz w:val="20"/>
          <w:szCs w:val="20"/>
          <w:vertAlign w:val="superscript"/>
        </w:rPr>
        <w:t>◦</w:t>
      </w:r>
      <w:r>
        <w:rPr>
          <w:rFonts w:ascii="Arial" w:hAnsi="Arial" w:cs="Arial"/>
          <w:sz w:val="20"/>
          <w:szCs w:val="20"/>
        </w:rPr>
        <w:t xml:space="preserve">C. </w:t>
      </w:r>
      <w:r w:rsidR="00BF36AD">
        <w:rPr>
          <w:rFonts w:ascii="Arial" w:hAnsi="Arial" w:cs="Arial"/>
          <w:sz w:val="20"/>
          <w:szCs w:val="20"/>
        </w:rPr>
        <w:t xml:space="preserve">The pressure is maintained at </w:t>
      </w:r>
      <w:r w:rsidR="006059D4">
        <w:rPr>
          <w:rFonts w:ascii="Arial" w:hAnsi="Arial" w:cs="Arial"/>
          <w:sz w:val="20"/>
          <w:szCs w:val="20"/>
        </w:rPr>
        <w:t>around</w:t>
      </w:r>
      <w:r w:rsidR="00BF36AD">
        <w:rPr>
          <w:rFonts w:ascii="Arial" w:hAnsi="Arial" w:cs="Arial"/>
          <w:sz w:val="20"/>
          <w:szCs w:val="20"/>
        </w:rPr>
        <w:t xml:space="preserve"> 60 </w:t>
      </w:r>
      <w:proofErr w:type="gramStart"/>
      <w:r w:rsidR="00BF36AD">
        <w:rPr>
          <w:rFonts w:ascii="Arial" w:hAnsi="Arial" w:cs="Arial"/>
          <w:sz w:val="20"/>
          <w:szCs w:val="20"/>
        </w:rPr>
        <w:t>bar</w:t>
      </w:r>
      <w:proofErr w:type="gramEnd"/>
      <w:r w:rsidR="00BF36AD">
        <w:rPr>
          <w:rFonts w:ascii="Arial" w:hAnsi="Arial" w:cs="Arial"/>
          <w:sz w:val="20"/>
          <w:szCs w:val="20"/>
        </w:rPr>
        <w:t xml:space="preserve">. </w:t>
      </w:r>
      <w:r w:rsidR="00AC1689">
        <w:rPr>
          <w:rFonts w:ascii="Arial" w:hAnsi="Arial" w:cs="Arial"/>
          <w:sz w:val="20"/>
          <w:szCs w:val="20"/>
        </w:rPr>
        <w:t>Approximately 0.</w:t>
      </w:r>
      <w:r w:rsidR="00E15522">
        <w:rPr>
          <w:rFonts w:ascii="Arial" w:hAnsi="Arial" w:cs="Arial"/>
          <w:sz w:val="20"/>
          <w:szCs w:val="20"/>
        </w:rPr>
        <w:t xml:space="preserve">2% of </w:t>
      </w:r>
      <w:r w:rsidR="00AC1689">
        <w:rPr>
          <w:rFonts w:ascii="Arial" w:hAnsi="Arial" w:cs="Arial"/>
          <w:sz w:val="20"/>
          <w:szCs w:val="20"/>
        </w:rPr>
        <w:t xml:space="preserve">the </w:t>
      </w:r>
      <w:r w:rsidR="00E15522">
        <w:rPr>
          <w:rFonts w:ascii="Arial" w:hAnsi="Arial" w:cs="Arial"/>
          <w:sz w:val="20"/>
          <w:szCs w:val="20"/>
        </w:rPr>
        <w:t xml:space="preserve">glucose in the reactor </w:t>
      </w:r>
      <w:r w:rsidR="00AC1689">
        <w:rPr>
          <w:rFonts w:ascii="Arial" w:hAnsi="Arial" w:cs="Arial"/>
          <w:sz w:val="20"/>
          <w:szCs w:val="20"/>
        </w:rPr>
        <w:t>is lost</w:t>
      </w:r>
      <w:r w:rsidR="006059D4">
        <w:rPr>
          <w:rFonts w:ascii="Arial" w:hAnsi="Arial" w:cs="Arial"/>
          <w:sz w:val="20"/>
          <w:szCs w:val="20"/>
        </w:rPr>
        <w:t xml:space="preserve"> due</w:t>
      </w:r>
      <w:r w:rsidR="00E15522">
        <w:rPr>
          <w:rFonts w:ascii="Arial" w:hAnsi="Arial" w:cs="Arial"/>
          <w:sz w:val="20"/>
          <w:szCs w:val="20"/>
        </w:rPr>
        <w:t xml:space="preserve"> to decomposition. </w:t>
      </w:r>
      <w:r w:rsidR="00AC1689">
        <w:rPr>
          <w:rFonts w:ascii="Arial" w:hAnsi="Arial" w:cs="Arial"/>
          <w:sz w:val="20"/>
          <w:szCs w:val="20"/>
        </w:rPr>
        <w:t>T</w:t>
      </w:r>
      <w:r w:rsidR="00B236F9">
        <w:rPr>
          <w:rFonts w:ascii="Arial" w:hAnsi="Arial" w:cs="Arial"/>
          <w:sz w:val="20"/>
          <w:szCs w:val="20"/>
        </w:rPr>
        <w:t>he extent</w:t>
      </w:r>
      <w:r w:rsidR="00BF36AD">
        <w:rPr>
          <w:rFonts w:ascii="Arial" w:hAnsi="Arial" w:cs="Arial"/>
          <w:sz w:val="20"/>
          <w:szCs w:val="20"/>
        </w:rPr>
        <w:t>s</w:t>
      </w:r>
      <w:r w:rsidR="00AC1689">
        <w:rPr>
          <w:rFonts w:ascii="Arial" w:hAnsi="Arial" w:cs="Arial"/>
          <w:sz w:val="20"/>
          <w:szCs w:val="20"/>
        </w:rPr>
        <w:t xml:space="preserve"> of reaction for the maltose, </w:t>
      </w:r>
      <w:proofErr w:type="spellStart"/>
      <w:r w:rsidR="00AC1689">
        <w:rPr>
          <w:rFonts w:ascii="Arial" w:hAnsi="Arial" w:cs="Arial"/>
          <w:sz w:val="20"/>
          <w:szCs w:val="20"/>
        </w:rPr>
        <w:t>maltotriose</w:t>
      </w:r>
      <w:proofErr w:type="spellEnd"/>
      <w:r w:rsidR="00AC1689">
        <w:rPr>
          <w:rFonts w:ascii="Arial" w:hAnsi="Arial" w:cs="Arial"/>
          <w:sz w:val="20"/>
          <w:szCs w:val="20"/>
        </w:rPr>
        <w:t>, and higher sugar</w:t>
      </w:r>
      <w:r w:rsidR="00BF36AD">
        <w:rPr>
          <w:rFonts w:ascii="Arial" w:hAnsi="Arial" w:cs="Arial"/>
          <w:sz w:val="20"/>
          <w:szCs w:val="20"/>
        </w:rPr>
        <w:t xml:space="preserve"> </w:t>
      </w:r>
      <w:r w:rsidR="00AC1689">
        <w:rPr>
          <w:rFonts w:ascii="Arial" w:hAnsi="Arial" w:cs="Arial"/>
          <w:sz w:val="20"/>
          <w:szCs w:val="20"/>
        </w:rPr>
        <w:t>were set to</w:t>
      </w:r>
      <w:r w:rsidR="00B236F9">
        <w:rPr>
          <w:rFonts w:ascii="Arial" w:hAnsi="Arial" w:cs="Arial"/>
          <w:sz w:val="20"/>
          <w:szCs w:val="20"/>
        </w:rPr>
        <w:t xml:space="preserve"> 100%</w:t>
      </w:r>
      <w:r w:rsidR="00AC1689">
        <w:rPr>
          <w:rFonts w:ascii="Arial" w:hAnsi="Arial" w:cs="Arial"/>
          <w:sz w:val="20"/>
          <w:szCs w:val="20"/>
        </w:rPr>
        <w:t xml:space="preserve"> since</w:t>
      </w:r>
      <w:r w:rsidR="00B236F9">
        <w:rPr>
          <w:rFonts w:ascii="Arial" w:hAnsi="Arial" w:cs="Arial"/>
          <w:sz w:val="20"/>
          <w:szCs w:val="20"/>
        </w:rPr>
        <w:t xml:space="preserve"> there </w:t>
      </w:r>
      <w:r w:rsidR="00BC27C0">
        <w:rPr>
          <w:rFonts w:ascii="Arial" w:hAnsi="Arial" w:cs="Arial"/>
          <w:sz w:val="20"/>
          <w:szCs w:val="20"/>
        </w:rPr>
        <w:t>is</w:t>
      </w:r>
      <w:r w:rsidR="00B236F9">
        <w:rPr>
          <w:rFonts w:ascii="Arial" w:hAnsi="Arial" w:cs="Arial"/>
          <w:sz w:val="20"/>
          <w:szCs w:val="20"/>
        </w:rPr>
        <w:t xml:space="preserve"> typically </w:t>
      </w:r>
      <w:r w:rsidR="00AC1689">
        <w:rPr>
          <w:rFonts w:ascii="Arial" w:hAnsi="Arial" w:cs="Arial"/>
          <w:sz w:val="20"/>
          <w:szCs w:val="20"/>
        </w:rPr>
        <w:t xml:space="preserve">a </w:t>
      </w:r>
      <w:r w:rsidR="00BC27C0">
        <w:rPr>
          <w:rFonts w:ascii="Arial" w:hAnsi="Arial" w:cs="Arial"/>
          <w:sz w:val="20"/>
          <w:szCs w:val="20"/>
        </w:rPr>
        <w:t xml:space="preserve">very small concentration of </w:t>
      </w:r>
      <w:r w:rsidR="00B236F9">
        <w:rPr>
          <w:rFonts w:ascii="Arial" w:hAnsi="Arial" w:cs="Arial"/>
          <w:sz w:val="20"/>
          <w:szCs w:val="20"/>
        </w:rPr>
        <w:t xml:space="preserve">reducing sugars </w:t>
      </w:r>
      <w:r w:rsidR="00AC1689">
        <w:rPr>
          <w:rFonts w:ascii="Arial" w:hAnsi="Arial" w:cs="Arial"/>
          <w:sz w:val="20"/>
          <w:szCs w:val="20"/>
        </w:rPr>
        <w:t xml:space="preserve">remaining </w:t>
      </w:r>
      <w:r w:rsidR="00B236F9">
        <w:rPr>
          <w:rFonts w:ascii="Arial" w:hAnsi="Arial" w:cs="Arial"/>
          <w:sz w:val="20"/>
          <w:szCs w:val="20"/>
        </w:rPr>
        <w:t>at the end of the reaction</w:t>
      </w:r>
      <w:r w:rsidR="00AC1689">
        <w:rPr>
          <w:rFonts w:ascii="Arial" w:hAnsi="Arial" w:cs="Arial"/>
          <w:sz w:val="20"/>
          <w:szCs w:val="20"/>
        </w:rPr>
        <w:t xml:space="preserve"> (</w:t>
      </w:r>
      <w:r w:rsidR="00BC27C0">
        <w:rPr>
          <w:rFonts w:ascii="Arial" w:hAnsi="Arial" w:cs="Arial"/>
          <w:sz w:val="20"/>
          <w:szCs w:val="20"/>
        </w:rPr>
        <w:t>less tha</w:t>
      </w:r>
      <w:r w:rsidR="00527325">
        <w:rPr>
          <w:rFonts w:ascii="Arial" w:hAnsi="Arial" w:cs="Arial"/>
          <w:sz w:val="20"/>
          <w:szCs w:val="20"/>
        </w:rPr>
        <w:t>n 0.</w:t>
      </w:r>
      <w:r w:rsidR="00BC27C0">
        <w:rPr>
          <w:rFonts w:ascii="Arial" w:hAnsi="Arial" w:cs="Arial"/>
          <w:sz w:val="20"/>
          <w:szCs w:val="20"/>
        </w:rPr>
        <w:t>1%</w:t>
      </w:r>
      <w:r w:rsidR="00AC1689">
        <w:rPr>
          <w:rFonts w:ascii="Arial" w:hAnsi="Arial" w:cs="Arial"/>
          <w:sz w:val="20"/>
          <w:szCs w:val="20"/>
        </w:rPr>
        <w:t>)</w:t>
      </w:r>
      <w:r w:rsidR="00B236F9">
        <w:rPr>
          <w:rFonts w:ascii="Arial" w:hAnsi="Arial" w:cs="Arial"/>
          <w:sz w:val="20"/>
          <w:szCs w:val="20"/>
        </w:rPr>
        <w:t>.</w:t>
      </w:r>
      <w:r w:rsidR="00527325">
        <w:rPr>
          <w:rFonts w:ascii="Arial" w:hAnsi="Arial" w:cs="Arial"/>
          <w:sz w:val="20"/>
          <w:szCs w:val="20"/>
        </w:rPr>
        <w:t xml:space="preserve"> </w:t>
      </w:r>
      <w:r w:rsidR="004461C0">
        <w:rPr>
          <w:rFonts w:ascii="Arial" w:hAnsi="Arial" w:cs="Arial"/>
          <w:sz w:val="20"/>
          <w:szCs w:val="20"/>
        </w:rPr>
        <w:t>Once the reaction is complete,</w:t>
      </w:r>
      <w:r w:rsidR="00527325">
        <w:rPr>
          <w:rFonts w:ascii="Arial" w:hAnsi="Arial" w:cs="Arial"/>
          <w:sz w:val="20"/>
          <w:szCs w:val="20"/>
        </w:rPr>
        <w:t xml:space="preserve"> a cooling operation reduces the temperature to 80 </w:t>
      </w:r>
      <w:r w:rsidR="00527325" w:rsidRPr="004E4E5D">
        <w:rPr>
          <w:rFonts w:ascii="Arial" w:hAnsi="Arial" w:cs="Arial"/>
          <w:sz w:val="20"/>
          <w:szCs w:val="20"/>
          <w:vertAlign w:val="superscript"/>
        </w:rPr>
        <w:t>◦</w:t>
      </w:r>
      <w:r w:rsidR="00876C93">
        <w:rPr>
          <w:rFonts w:ascii="Arial" w:hAnsi="Arial" w:cs="Arial"/>
          <w:sz w:val="20"/>
          <w:szCs w:val="20"/>
        </w:rPr>
        <w:t>C. In parallel</w:t>
      </w:r>
      <w:r w:rsidR="004461C0">
        <w:rPr>
          <w:rFonts w:ascii="Arial" w:hAnsi="Arial" w:cs="Arial"/>
          <w:sz w:val="20"/>
          <w:szCs w:val="20"/>
        </w:rPr>
        <w:t>,</w:t>
      </w:r>
      <w:r w:rsidR="00876C93">
        <w:rPr>
          <w:rFonts w:ascii="Arial" w:hAnsi="Arial" w:cs="Arial"/>
          <w:sz w:val="20"/>
          <w:szCs w:val="20"/>
        </w:rPr>
        <w:t xml:space="preserve"> all the </w:t>
      </w:r>
      <w:r w:rsidR="004461C0">
        <w:rPr>
          <w:rFonts w:ascii="Arial" w:hAnsi="Arial" w:cs="Arial"/>
          <w:sz w:val="20"/>
          <w:szCs w:val="20"/>
        </w:rPr>
        <w:t xml:space="preserve">remaining </w:t>
      </w:r>
      <w:r w:rsidR="00876C93">
        <w:rPr>
          <w:rFonts w:ascii="Arial" w:hAnsi="Arial" w:cs="Arial"/>
          <w:sz w:val="20"/>
          <w:szCs w:val="20"/>
        </w:rPr>
        <w:t>unreacted</w:t>
      </w:r>
      <w:r w:rsidR="00527325">
        <w:rPr>
          <w:rFonts w:ascii="Arial" w:hAnsi="Arial" w:cs="Arial"/>
          <w:sz w:val="20"/>
          <w:szCs w:val="20"/>
        </w:rPr>
        <w:t xml:space="preserve"> hydrogen in the overhead of the reactor is removed with</w:t>
      </w:r>
      <w:r w:rsidR="004461C0">
        <w:rPr>
          <w:rFonts w:ascii="Arial" w:hAnsi="Arial" w:cs="Arial"/>
          <w:sz w:val="20"/>
          <w:szCs w:val="20"/>
        </w:rPr>
        <w:t xml:space="preserve"> </w:t>
      </w:r>
      <w:r w:rsidR="00876C93">
        <w:rPr>
          <w:rFonts w:ascii="Arial" w:hAnsi="Arial" w:cs="Arial"/>
          <w:sz w:val="20"/>
          <w:szCs w:val="20"/>
        </w:rPr>
        <w:t xml:space="preserve">nitrogen </w:t>
      </w:r>
      <w:r w:rsidR="004461C0">
        <w:rPr>
          <w:rFonts w:ascii="Arial" w:hAnsi="Arial" w:cs="Arial"/>
          <w:sz w:val="20"/>
          <w:szCs w:val="20"/>
        </w:rPr>
        <w:t>gas sweep</w:t>
      </w:r>
      <w:r w:rsidR="00527325">
        <w:rPr>
          <w:rFonts w:ascii="Arial" w:hAnsi="Arial" w:cs="Arial"/>
          <w:sz w:val="20"/>
          <w:szCs w:val="20"/>
        </w:rPr>
        <w:t>. Finally the</w:t>
      </w:r>
      <w:r w:rsidR="006059D4">
        <w:rPr>
          <w:rFonts w:ascii="Arial" w:hAnsi="Arial" w:cs="Arial"/>
          <w:sz w:val="20"/>
          <w:szCs w:val="20"/>
        </w:rPr>
        <w:t xml:space="preserve"> converted</w:t>
      </w:r>
      <w:r w:rsidR="00527325">
        <w:rPr>
          <w:rFonts w:ascii="Arial" w:hAnsi="Arial" w:cs="Arial"/>
          <w:sz w:val="20"/>
          <w:szCs w:val="20"/>
        </w:rPr>
        <w:t xml:space="preserve"> syrup </w:t>
      </w:r>
      <w:r w:rsidR="006059D4">
        <w:rPr>
          <w:rFonts w:ascii="Arial" w:hAnsi="Arial" w:cs="Arial"/>
          <w:sz w:val="20"/>
          <w:szCs w:val="20"/>
        </w:rPr>
        <w:t>is</w:t>
      </w:r>
      <w:r w:rsidR="00527325">
        <w:rPr>
          <w:rFonts w:ascii="Arial" w:hAnsi="Arial" w:cs="Arial"/>
          <w:sz w:val="20"/>
          <w:szCs w:val="20"/>
        </w:rPr>
        <w:t xml:space="preserve"> transfer</w:t>
      </w:r>
      <w:r w:rsidR="006059D4">
        <w:rPr>
          <w:rFonts w:ascii="Arial" w:hAnsi="Arial" w:cs="Arial"/>
          <w:sz w:val="20"/>
          <w:szCs w:val="20"/>
        </w:rPr>
        <w:t>red to an intermediate storage tank (P-4 / V-102)</w:t>
      </w:r>
      <w:r w:rsidR="00527325">
        <w:rPr>
          <w:rFonts w:ascii="Arial" w:hAnsi="Arial" w:cs="Arial"/>
          <w:sz w:val="20"/>
          <w:szCs w:val="20"/>
        </w:rPr>
        <w:t xml:space="preserve">. </w:t>
      </w:r>
    </w:p>
    <w:p w:rsidR="004D7DC4" w:rsidRPr="00BE31BD" w:rsidRDefault="004D7DC4" w:rsidP="004D7DC4">
      <w:pPr>
        <w:spacing w:before="2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hot syrup is </w:t>
      </w:r>
      <w:r w:rsidR="00811D7B">
        <w:rPr>
          <w:rFonts w:ascii="Arial" w:hAnsi="Arial" w:cs="Arial"/>
          <w:sz w:val="20"/>
          <w:szCs w:val="20"/>
        </w:rPr>
        <w:t xml:space="preserve">subsequently </w:t>
      </w:r>
      <w:r>
        <w:rPr>
          <w:rFonts w:ascii="Arial" w:hAnsi="Arial" w:cs="Arial"/>
          <w:sz w:val="20"/>
          <w:szCs w:val="20"/>
        </w:rPr>
        <w:t>precooled</w:t>
      </w:r>
      <w:r w:rsidR="00B77535">
        <w:rPr>
          <w:rFonts w:ascii="Arial" w:hAnsi="Arial" w:cs="Arial"/>
          <w:sz w:val="20"/>
          <w:szCs w:val="20"/>
        </w:rPr>
        <w:t xml:space="preserve"> to</w:t>
      </w:r>
      <w:r w:rsidR="00702F1F">
        <w:rPr>
          <w:rFonts w:ascii="Arial" w:hAnsi="Arial" w:cs="Arial"/>
          <w:sz w:val="20"/>
          <w:szCs w:val="20"/>
        </w:rPr>
        <w:t xml:space="preserve"> approximately</w:t>
      </w:r>
      <w:r w:rsidR="00B77535">
        <w:rPr>
          <w:rFonts w:ascii="Arial" w:hAnsi="Arial" w:cs="Arial"/>
          <w:sz w:val="20"/>
          <w:szCs w:val="20"/>
        </w:rPr>
        <w:t xml:space="preserve"> 57</w:t>
      </w:r>
      <w:r w:rsidR="00B77535" w:rsidRPr="00BE31BD">
        <w:rPr>
          <w:rFonts w:ascii="Arial" w:hAnsi="Arial" w:cs="Arial"/>
          <w:sz w:val="20"/>
          <w:szCs w:val="20"/>
        </w:rPr>
        <w:t xml:space="preserve"> </w:t>
      </w:r>
      <w:r w:rsidR="00B77535" w:rsidRPr="00BE31BD">
        <w:rPr>
          <w:rFonts w:ascii="Arial" w:hAnsi="Arial" w:cs="Arial"/>
          <w:sz w:val="20"/>
          <w:szCs w:val="20"/>
          <w:vertAlign w:val="superscript"/>
        </w:rPr>
        <w:t>◦</w:t>
      </w:r>
      <w:r w:rsidR="00B77535" w:rsidRPr="00BE31BD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 in a heat exchanger (P-5</w:t>
      </w:r>
      <w:r w:rsidR="00014A7E">
        <w:rPr>
          <w:rFonts w:ascii="Arial" w:hAnsi="Arial" w:cs="Arial"/>
          <w:sz w:val="20"/>
          <w:szCs w:val="20"/>
        </w:rPr>
        <w:t xml:space="preserve"> / HX-101</w:t>
      </w:r>
      <w:r>
        <w:rPr>
          <w:rFonts w:ascii="Arial" w:hAnsi="Arial" w:cs="Arial"/>
          <w:sz w:val="20"/>
          <w:szCs w:val="20"/>
        </w:rPr>
        <w:t xml:space="preserve">), </w:t>
      </w:r>
      <w:r w:rsidRPr="00BE31BD">
        <w:rPr>
          <w:rFonts w:ascii="Arial" w:hAnsi="Arial" w:cs="Arial"/>
          <w:sz w:val="20"/>
          <w:szCs w:val="20"/>
        </w:rPr>
        <w:t xml:space="preserve">which exchanges heat with the outlet stream of the ion exchangers. Then the syrup is cooled to 52 </w:t>
      </w:r>
      <w:r w:rsidRPr="00BE31BD">
        <w:rPr>
          <w:rFonts w:ascii="Arial" w:hAnsi="Arial" w:cs="Arial"/>
          <w:sz w:val="20"/>
          <w:szCs w:val="20"/>
          <w:vertAlign w:val="superscript"/>
        </w:rPr>
        <w:t>◦</w:t>
      </w:r>
      <w:r w:rsidRPr="00BE31BD">
        <w:rPr>
          <w:rFonts w:ascii="Arial" w:hAnsi="Arial" w:cs="Arial"/>
          <w:sz w:val="20"/>
          <w:szCs w:val="20"/>
        </w:rPr>
        <w:t xml:space="preserve">C </w:t>
      </w:r>
      <w:r>
        <w:rPr>
          <w:rFonts w:ascii="Arial" w:hAnsi="Arial" w:cs="Arial"/>
          <w:sz w:val="20"/>
          <w:szCs w:val="20"/>
        </w:rPr>
        <w:t xml:space="preserve">(P-6) and </w:t>
      </w:r>
      <w:r w:rsidRPr="00BE31BD">
        <w:rPr>
          <w:rFonts w:ascii="Arial" w:hAnsi="Arial" w:cs="Arial"/>
          <w:sz w:val="20"/>
          <w:szCs w:val="20"/>
        </w:rPr>
        <w:t>sent into the ion exchangers</w:t>
      </w:r>
      <w:r w:rsidR="002F3420">
        <w:rPr>
          <w:rFonts w:ascii="Arial" w:hAnsi="Arial" w:cs="Arial"/>
          <w:sz w:val="20"/>
          <w:szCs w:val="20"/>
        </w:rPr>
        <w:t xml:space="preserve"> </w:t>
      </w:r>
      <w:r w:rsidRPr="00BE31BD">
        <w:rPr>
          <w:rFonts w:ascii="Arial" w:hAnsi="Arial" w:cs="Arial"/>
          <w:sz w:val="20"/>
          <w:szCs w:val="20"/>
        </w:rPr>
        <w:t>(</w:t>
      </w:r>
      <w:r w:rsidR="00091B2B">
        <w:rPr>
          <w:rFonts w:ascii="Arial" w:hAnsi="Arial" w:cs="Arial"/>
          <w:sz w:val="20"/>
          <w:szCs w:val="20"/>
        </w:rPr>
        <w:t>P-7</w:t>
      </w:r>
      <w:r w:rsidR="00D11A28">
        <w:rPr>
          <w:rFonts w:ascii="Arial" w:hAnsi="Arial" w:cs="Arial"/>
          <w:sz w:val="20"/>
          <w:szCs w:val="20"/>
        </w:rPr>
        <w:t xml:space="preserve"> / INX-101</w:t>
      </w:r>
      <w:r w:rsidRPr="00BE31BD">
        <w:rPr>
          <w:rFonts w:ascii="Arial" w:hAnsi="Arial" w:cs="Arial"/>
          <w:sz w:val="20"/>
          <w:szCs w:val="20"/>
        </w:rPr>
        <w:t xml:space="preserve">), which operate in batch mode. Almost all salts bind to the resin </w:t>
      </w:r>
      <w:r w:rsidR="00D11A28">
        <w:rPr>
          <w:rFonts w:ascii="Arial" w:hAnsi="Arial" w:cs="Arial"/>
          <w:sz w:val="20"/>
          <w:szCs w:val="20"/>
        </w:rPr>
        <w:t xml:space="preserve">of </w:t>
      </w:r>
      <w:r w:rsidRPr="00BE31BD">
        <w:rPr>
          <w:rFonts w:ascii="Arial" w:hAnsi="Arial" w:cs="Arial"/>
          <w:sz w:val="20"/>
          <w:szCs w:val="20"/>
        </w:rPr>
        <w:t>the</w:t>
      </w:r>
      <w:r w:rsidR="00D11A28">
        <w:rPr>
          <w:rFonts w:ascii="Arial" w:hAnsi="Arial" w:cs="Arial"/>
          <w:sz w:val="20"/>
          <w:szCs w:val="20"/>
        </w:rPr>
        <w:t xml:space="preserve"> </w:t>
      </w:r>
      <w:r w:rsidRPr="00BE31BD">
        <w:rPr>
          <w:rFonts w:ascii="Arial" w:hAnsi="Arial" w:cs="Arial"/>
          <w:sz w:val="20"/>
          <w:szCs w:val="20"/>
        </w:rPr>
        <w:t xml:space="preserve">mixed bed ion exchangers. The ion exchangers contain the following operations: </w:t>
      </w:r>
    </w:p>
    <w:p w:rsidR="004D7DC4" w:rsidRPr="00BE31BD" w:rsidRDefault="004D7DC4" w:rsidP="004D7DC4">
      <w:pPr>
        <w:pStyle w:val="ListParagraph"/>
        <w:numPr>
          <w:ilvl w:val="0"/>
          <w:numId w:val="16"/>
        </w:numPr>
        <w:spacing w:before="240"/>
        <w:jc w:val="left"/>
        <w:rPr>
          <w:rFonts w:ascii="Arial" w:hAnsi="Arial" w:cs="Arial"/>
          <w:sz w:val="20"/>
          <w:szCs w:val="20"/>
        </w:rPr>
      </w:pPr>
      <w:r w:rsidRPr="00BE31BD">
        <w:rPr>
          <w:rFonts w:ascii="Arial" w:hAnsi="Arial" w:cs="Arial"/>
          <w:sz w:val="20"/>
          <w:szCs w:val="20"/>
        </w:rPr>
        <w:t>Loading of the syrup.</w:t>
      </w:r>
    </w:p>
    <w:p w:rsidR="004D7DC4" w:rsidRPr="00BE31BD" w:rsidRDefault="005D5D62" w:rsidP="004D7DC4">
      <w:pPr>
        <w:pStyle w:val="ListParagraph"/>
        <w:numPr>
          <w:ilvl w:val="0"/>
          <w:numId w:val="16"/>
        </w:numPr>
        <w:spacing w:before="2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Washing with water</w:t>
      </w:r>
      <w:r w:rsidR="004D7DC4" w:rsidRPr="00BE31BD">
        <w:rPr>
          <w:rFonts w:ascii="Arial" w:hAnsi="Arial" w:cs="Arial"/>
          <w:sz w:val="20"/>
          <w:szCs w:val="20"/>
        </w:rPr>
        <w:t xml:space="preserve"> to recover the syrup contained in the bed volume.</w:t>
      </w:r>
    </w:p>
    <w:p w:rsidR="004D7DC4" w:rsidRPr="00BE31BD" w:rsidRDefault="00E55872" w:rsidP="004D7DC4">
      <w:pPr>
        <w:pStyle w:val="ListParagraph"/>
        <w:numPr>
          <w:ilvl w:val="0"/>
          <w:numId w:val="16"/>
        </w:numPr>
        <w:spacing w:before="2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Regeneration of</w:t>
      </w:r>
      <w:r w:rsidR="004D7DC4" w:rsidRPr="00BE31BD">
        <w:rPr>
          <w:rFonts w:ascii="Arial" w:hAnsi="Arial" w:cs="Arial"/>
          <w:sz w:val="20"/>
          <w:szCs w:val="20"/>
        </w:rPr>
        <w:t xml:space="preserve"> the cation resin with Hydrochloric acid. The acid is prepared in </w:t>
      </w:r>
      <w:r w:rsidR="005208A8">
        <w:rPr>
          <w:rFonts w:ascii="Arial" w:hAnsi="Arial" w:cs="Arial"/>
          <w:sz w:val="20"/>
          <w:szCs w:val="20"/>
        </w:rPr>
        <w:t>P-8</w:t>
      </w:r>
      <w:r w:rsidR="004D7DC4" w:rsidRPr="00BE31BD">
        <w:rPr>
          <w:rFonts w:ascii="Arial" w:hAnsi="Arial" w:cs="Arial"/>
          <w:sz w:val="20"/>
          <w:szCs w:val="20"/>
        </w:rPr>
        <w:t>.</w:t>
      </w:r>
    </w:p>
    <w:p w:rsidR="004D7DC4" w:rsidRPr="00BE31BD" w:rsidRDefault="00E55872" w:rsidP="004D7DC4">
      <w:pPr>
        <w:pStyle w:val="ListParagraph"/>
        <w:numPr>
          <w:ilvl w:val="0"/>
          <w:numId w:val="16"/>
        </w:numPr>
        <w:spacing w:before="2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Regeneration </w:t>
      </w:r>
      <w:r>
        <w:rPr>
          <w:rFonts w:ascii="Arial" w:hAnsi="Arial" w:cs="Arial"/>
          <w:sz w:val="20"/>
          <w:szCs w:val="20"/>
        </w:rPr>
        <w:t xml:space="preserve">of </w:t>
      </w:r>
      <w:r w:rsidR="004D7DC4" w:rsidRPr="00BE31BD">
        <w:rPr>
          <w:rFonts w:ascii="Arial" w:hAnsi="Arial" w:cs="Arial"/>
          <w:sz w:val="20"/>
          <w:szCs w:val="20"/>
        </w:rPr>
        <w:t xml:space="preserve">the anion resin with Sodium Hydroxide. The alkali is prepared in </w:t>
      </w:r>
      <w:r w:rsidR="005208A8">
        <w:rPr>
          <w:rFonts w:ascii="Arial" w:hAnsi="Arial" w:cs="Arial"/>
          <w:sz w:val="20"/>
          <w:szCs w:val="20"/>
        </w:rPr>
        <w:t>P-9</w:t>
      </w:r>
      <w:r w:rsidR="004D7DC4" w:rsidRPr="00BE31BD">
        <w:rPr>
          <w:rFonts w:ascii="Arial" w:hAnsi="Arial" w:cs="Arial"/>
          <w:sz w:val="20"/>
          <w:szCs w:val="20"/>
        </w:rPr>
        <w:t>.</w:t>
      </w:r>
    </w:p>
    <w:p w:rsidR="004D7DC4" w:rsidRPr="00BE31BD" w:rsidRDefault="004D7DC4" w:rsidP="004D7DC4">
      <w:pPr>
        <w:pStyle w:val="ListParagraph"/>
        <w:numPr>
          <w:ilvl w:val="0"/>
          <w:numId w:val="16"/>
        </w:numPr>
        <w:spacing w:before="240"/>
        <w:jc w:val="left"/>
        <w:rPr>
          <w:rFonts w:ascii="Arial" w:hAnsi="Arial" w:cs="Arial"/>
          <w:sz w:val="20"/>
          <w:szCs w:val="20"/>
        </w:rPr>
      </w:pPr>
      <w:r w:rsidRPr="00BE31BD">
        <w:rPr>
          <w:rFonts w:ascii="Arial" w:hAnsi="Arial" w:cs="Arial"/>
          <w:sz w:val="20"/>
          <w:szCs w:val="20"/>
        </w:rPr>
        <w:t>Wash</w:t>
      </w:r>
      <w:r w:rsidR="00CB1908">
        <w:rPr>
          <w:rFonts w:ascii="Arial" w:hAnsi="Arial" w:cs="Arial"/>
          <w:sz w:val="20"/>
          <w:szCs w:val="20"/>
        </w:rPr>
        <w:t>ing</w:t>
      </w:r>
      <w:r w:rsidRPr="00BE31BD">
        <w:rPr>
          <w:rFonts w:ascii="Arial" w:hAnsi="Arial" w:cs="Arial"/>
          <w:sz w:val="20"/>
          <w:szCs w:val="20"/>
        </w:rPr>
        <w:t xml:space="preserve"> the resin with water to remove salts. The water required by the ion exchangers is supplied by </w:t>
      </w:r>
      <w:r w:rsidR="005208A8">
        <w:rPr>
          <w:rFonts w:ascii="Arial" w:hAnsi="Arial" w:cs="Arial"/>
          <w:sz w:val="20"/>
          <w:szCs w:val="20"/>
        </w:rPr>
        <w:t>P-10</w:t>
      </w:r>
      <w:r w:rsidRPr="00BE31BD">
        <w:rPr>
          <w:rFonts w:ascii="Arial" w:hAnsi="Arial" w:cs="Arial"/>
          <w:sz w:val="20"/>
          <w:szCs w:val="20"/>
        </w:rPr>
        <w:t>.</w:t>
      </w:r>
    </w:p>
    <w:p w:rsidR="00527325" w:rsidRDefault="004D7DC4" w:rsidP="004F4284">
      <w:pPr>
        <w:spacing w:before="240" w:after="0"/>
        <w:jc w:val="left"/>
        <w:rPr>
          <w:rFonts w:ascii="Arial" w:hAnsi="Arial" w:cs="Arial"/>
          <w:sz w:val="20"/>
          <w:szCs w:val="20"/>
        </w:rPr>
      </w:pPr>
      <w:r w:rsidRPr="00BE31BD">
        <w:rPr>
          <w:rFonts w:ascii="Arial" w:hAnsi="Arial" w:cs="Arial"/>
          <w:sz w:val="20"/>
          <w:szCs w:val="20"/>
        </w:rPr>
        <w:lastRenderedPageBreak/>
        <w:t>After exiting the ion exchangers</w:t>
      </w:r>
      <w:r w:rsidR="00702F1F">
        <w:rPr>
          <w:rFonts w:ascii="Arial" w:hAnsi="Arial" w:cs="Arial"/>
          <w:sz w:val="20"/>
          <w:szCs w:val="20"/>
        </w:rPr>
        <w:t xml:space="preserve"> and passing through the heat exchanger (P-5)</w:t>
      </w:r>
      <w:r w:rsidRPr="00BE31BD">
        <w:rPr>
          <w:rFonts w:ascii="Arial" w:hAnsi="Arial" w:cs="Arial"/>
          <w:sz w:val="20"/>
          <w:szCs w:val="20"/>
        </w:rPr>
        <w:t xml:space="preserve">, the syrup is </w:t>
      </w:r>
      <w:r w:rsidR="006433C6">
        <w:rPr>
          <w:rFonts w:ascii="Arial" w:hAnsi="Arial" w:cs="Arial"/>
          <w:sz w:val="20"/>
          <w:szCs w:val="20"/>
        </w:rPr>
        <w:t>fed</w:t>
      </w:r>
      <w:r w:rsidRPr="00BE31BD">
        <w:rPr>
          <w:rFonts w:ascii="Arial" w:hAnsi="Arial" w:cs="Arial"/>
          <w:sz w:val="20"/>
          <w:szCs w:val="20"/>
        </w:rPr>
        <w:t xml:space="preserve"> in</w:t>
      </w:r>
      <w:r w:rsidR="00702F1F">
        <w:rPr>
          <w:rFonts w:ascii="Arial" w:hAnsi="Arial" w:cs="Arial"/>
          <w:sz w:val="20"/>
          <w:szCs w:val="20"/>
        </w:rPr>
        <w:t>to</w:t>
      </w:r>
      <w:r w:rsidRPr="00BE31BD">
        <w:rPr>
          <w:rFonts w:ascii="Arial" w:hAnsi="Arial" w:cs="Arial"/>
          <w:sz w:val="20"/>
          <w:szCs w:val="20"/>
        </w:rPr>
        <w:t xml:space="preserve"> a buffer tank (</w:t>
      </w:r>
      <w:r w:rsidR="005208A8">
        <w:rPr>
          <w:rFonts w:ascii="Arial" w:hAnsi="Arial" w:cs="Arial"/>
          <w:sz w:val="20"/>
          <w:szCs w:val="20"/>
        </w:rPr>
        <w:t>P-11</w:t>
      </w:r>
      <w:r w:rsidR="00DA7C38">
        <w:rPr>
          <w:rFonts w:ascii="Arial" w:hAnsi="Arial" w:cs="Arial"/>
          <w:sz w:val="20"/>
          <w:szCs w:val="20"/>
        </w:rPr>
        <w:t xml:space="preserve"> / V-103</w:t>
      </w:r>
      <w:r w:rsidRPr="00BE31BD">
        <w:rPr>
          <w:rFonts w:ascii="Arial" w:hAnsi="Arial" w:cs="Arial"/>
          <w:sz w:val="20"/>
          <w:szCs w:val="20"/>
        </w:rPr>
        <w:t xml:space="preserve">), heated </w:t>
      </w:r>
      <w:r w:rsidR="005D5D62">
        <w:rPr>
          <w:rFonts w:ascii="Arial" w:hAnsi="Arial" w:cs="Arial"/>
          <w:sz w:val="20"/>
          <w:szCs w:val="20"/>
        </w:rPr>
        <w:t>to</w:t>
      </w:r>
      <w:r w:rsidRPr="00BE31BD">
        <w:rPr>
          <w:rFonts w:ascii="Arial" w:hAnsi="Arial" w:cs="Arial"/>
          <w:sz w:val="20"/>
          <w:szCs w:val="20"/>
        </w:rPr>
        <w:t xml:space="preserve"> 7</w:t>
      </w:r>
      <w:r w:rsidR="00346B23">
        <w:rPr>
          <w:rFonts w:ascii="Arial" w:hAnsi="Arial" w:cs="Arial"/>
          <w:sz w:val="20"/>
          <w:szCs w:val="20"/>
        </w:rPr>
        <w:t>2</w:t>
      </w:r>
      <w:r w:rsidRPr="00BE31BD">
        <w:rPr>
          <w:rFonts w:ascii="Arial" w:hAnsi="Arial" w:cs="Arial"/>
          <w:sz w:val="20"/>
          <w:szCs w:val="20"/>
        </w:rPr>
        <w:t xml:space="preserve"> </w:t>
      </w:r>
      <w:r w:rsidRPr="00BE31BD">
        <w:rPr>
          <w:rFonts w:ascii="Arial" w:hAnsi="Arial" w:cs="Arial"/>
          <w:sz w:val="20"/>
          <w:szCs w:val="20"/>
          <w:vertAlign w:val="superscript"/>
        </w:rPr>
        <w:t>◦</w:t>
      </w:r>
      <w:r w:rsidR="006433C6">
        <w:rPr>
          <w:rFonts w:ascii="Arial" w:hAnsi="Arial" w:cs="Arial"/>
          <w:sz w:val="20"/>
          <w:szCs w:val="20"/>
        </w:rPr>
        <w:t>C (P-12</w:t>
      </w:r>
      <w:r w:rsidR="00DA7C38">
        <w:rPr>
          <w:rFonts w:ascii="Arial" w:hAnsi="Arial" w:cs="Arial"/>
          <w:sz w:val="20"/>
          <w:szCs w:val="20"/>
        </w:rPr>
        <w:t xml:space="preserve"> / HX-103</w:t>
      </w:r>
      <w:r w:rsidR="006433C6">
        <w:rPr>
          <w:rFonts w:ascii="Arial" w:hAnsi="Arial" w:cs="Arial"/>
          <w:sz w:val="20"/>
          <w:szCs w:val="20"/>
        </w:rPr>
        <w:t>)</w:t>
      </w:r>
      <w:r w:rsidRPr="00BE31BD">
        <w:rPr>
          <w:rFonts w:ascii="Arial" w:hAnsi="Arial" w:cs="Arial"/>
          <w:sz w:val="20"/>
          <w:szCs w:val="20"/>
        </w:rPr>
        <w:t>, and passed through a carbon column (</w:t>
      </w:r>
      <w:r w:rsidR="005208A8">
        <w:rPr>
          <w:rFonts w:ascii="Arial" w:hAnsi="Arial" w:cs="Arial"/>
          <w:sz w:val="20"/>
          <w:szCs w:val="20"/>
        </w:rPr>
        <w:t>P-</w:t>
      </w:r>
      <w:proofErr w:type="gramStart"/>
      <w:r w:rsidR="005208A8">
        <w:rPr>
          <w:rFonts w:ascii="Arial" w:hAnsi="Arial" w:cs="Arial"/>
          <w:sz w:val="20"/>
          <w:szCs w:val="20"/>
        </w:rPr>
        <w:t>13</w:t>
      </w:r>
      <w:r w:rsidR="00DA7C38">
        <w:rPr>
          <w:rFonts w:ascii="Arial" w:hAnsi="Arial" w:cs="Arial"/>
          <w:sz w:val="20"/>
          <w:szCs w:val="20"/>
        </w:rPr>
        <w:t xml:space="preserve">  /</w:t>
      </w:r>
      <w:proofErr w:type="gramEnd"/>
      <w:r w:rsidR="00DA7C38">
        <w:rPr>
          <w:rFonts w:ascii="Arial" w:hAnsi="Arial" w:cs="Arial"/>
          <w:sz w:val="20"/>
          <w:szCs w:val="20"/>
        </w:rPr>
        <w:t xml:space="preserve"> GAC-101</w:t>
      </w:r>
      <w:r w:rsidRPr="00BE31BD">
        <w:rPr>
          <w:rFonts w:ascii="Arial" w:hAnsi="Arial" w:cs="Arial"/>
          <w:sz w:val="20"/>
          <w:szCs w:val="20"/>
        </w:rPr>
        <w:t xml:space="preserve">) </w:t>
      </w:r>
      <w:r w:rsidR="006433C6">
        <w:rPr>
          <w:rFonts w:ascii="Arial" w:hAnsi="Arial" w:cs="Arial"/>
          <w:sz w:val="20"/>
          <w:szCs w:val="20"/>
        </w:rPr>
        <w:t>in order to remove color and</w:t>
      </w:r>
      <w:r w:rsidRPr="00BE31BD">
        <w:rPr>
          <w:rFonts w:ascii="Arial" w:hAnsi="Arial" w:cs="Arial"/>
          <w:sz w:val="20"/>
          <w:szCs w:val="20"/>
        </w:rPr>
        <w:t xml:space="preserve"> odors.</w:t>
      </w:r>
      <w:r w:rsidR="006433C6">
        <w:rPr>
          <w:rFonts w:ascii="Arial" w:hAnsi="Arial" w:cs="Arial"/>
          <w:sz w:val="20"/>
          <w:szCs w:val="20"/>
        </w:rPr>
        <w:t xml:space="preserve"> The syrup then enters </w:t>
      </w:r>
      <w:r w:rsidR="005D5D62">
        <w:rPr>
          <w:rFonts w:ascii="Arial" w:hAnsi="Arial" w:cs="Arial"/>
          <w:sz w:val="20"/>
          <w:szCs w:val="20"/>
        </w:rPr>
        <w:t>a</w:t>
      </w:r>
      <w:r w:rsidR="006433C6">
        <w:rPr>
          <w:rFonts w:ascii="Arial" w:hAnsi="Arial" w:cs="Arial"/>
          <w:sz w:val="20"/>
          <w:szCs w:val="20"/>
        </w:rPr>
        <w:t xml:space="preserve"> buffer tank (P-16</w:t>
      </w:r>
      <w:r w:rsidR="00DA7C38">
        <w:rPr>
          <w:rFonts w:ascii="Arial" w:hAnsi="Arial" w:cs="Arial"/>
          <w:sz w:val="20"/>
          <w:szCs w:val="20"/>
        </w:rPr>
        <w:t xml:space="preserve"> / V-104</w:t>
      </w:r>
      <w:r w:rsidR="006433C6">
        <w:rPr>
          <w:rFonts w:ascii="Arial" w:hAnsi="Arial" w:cs="Arial"/>
          <w:sz w:val="20"/>
          <w:szCs w:val="20"/>
        </w:rPr>
        <w:t xml:space="preserve">) </w:t>
      </w:r>
      <w:r w:rsidR="00346B23">
        <w:rPr>
          <w:rFonts w:ascii="Arial" w:hAnsi="Arial" w:cs="Arial"/>
          <w:sz w:val="20"/>
          <w:szCs w:val="20"/>
        </w:rPr>
        <w:t>which</w:t>
      </w:r>
      <w:r w:rsidR="006433C6">
        <w:rPr>
          <w:rFonts w:ascii="Arial" w:hAnsi="Arial" w:cs="Arial"/>
          <w:sz w:val="20"/>
          <w:szCs w:val="20"/>
        </w:rPr>
        <w:t xml:space="preserve"> feeds the evaporator (P-17</w:t>
      </w:r>
      <w:r w:rsidR="00DA7C38">
        <w:rPr>
          <w:rFonts w:ascii="Arial" w:hAnsi="Arial" w:cs="Arial"/>
          <w:sz w:val="20"/>
          <w:szCs w:val="20"/>
        </w:rPr>
        <w:t xml:space="preserve"> / EV-101</w:t>
      </w:r>
      <w:r w:rsidR="006433C6">
        <w:rPr>
          <w:rFonts w:ascii="Arial" w:hAnsi="Arial" w:cs="Arial"/>
          <w:sz w:val="20"/>
          <w:szCs w:val="20"/>
        </w:rPr>
        <w:t xml:space="preserve">). </w:t>
      </w:r>
      <w:r w:rsidR="001335E8">
        <w:rPr>
          <w:rFonts w:ascii="Arial" w:hAnsi="Arial" w:cs="Arial"/>
          <w:sz w:val="20"/>
          <w:szCs w:val="20"/>
        </w:rPr>
        <w:t>The</w:t>
      </w:r>
      <w:r w:rsidR="00346B23">
        <w:rPr>
          <w:rFonts w:ascii="Arial" w:hAnsi="Arial" w:cs="Arial"/>
          <w:sz w:val="20"/>
          <w:szCs w:val="20"/>
        </w:rPr>
        <w:t>re the</w:t>
      </w:r>
      <w:r w:rsidR="006433C6">
        <w:rPr>
          <w:rFonts w:ascii="Arial" w:hAnsi="Arial" w:cs="Arial"/>
          <w:sz w:val="20"/>
          <w:szCs w:val="20"/>
        </w:rPr>
        <w:t xml:space="preserve"> syrup is concentrated </w:t>
      </w:r>
      <w:r w:rsidR="001335E8">
        <w:rPr>
          <w:rFonts w:ascii="Arial" w:hAnsi="Arial" w:cs="Arial"/>
          <w:sz w:val="20"/>
          <w:szCs w:val="20"/>
        </w:rPr>
        <w:t>to</w:t>
      </w:r>
      <w:r w:rsidR="006433C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6433C6">
        <w:rPr>
          <w:rFonts w:ascii="Arial" w:hAnsi="Arial" w:cs="Arial"/>
          <w:sz w:val="20"/>
          <w:szCs w:val="20"/>
        </w:rPr>
        <w:t>a water</w:t>
      </w:r>
      <w:proofErr w:type="gramEnd"/>
      <w:r w:rsidR="006433C6">
        <w:rPr>
          <w:rFonts w:ascii="Arial" w:hAnsi="Arial" w:cs="Arial"/>
          <w:sz w:val="20"/>
          <w:szCs w:val="20"/>
        </w:rPr>
        <w:t xml:space="preserve"> content </w:t>
      </w:r>
      <w:r w:rsidR="001335E8">
        <w:rPr>
          <w:rFonts w:ascii="Arial" w:hAnsi="Arial" w:cs="Arial"/>
          <w:sz w:val="20"/>
          <w:szCs w:val="20"/>
        </w:rPr>
        <w:t>of</w:t>
      </w:r>
      <w:r w:rsidR="005208A8">
        <w:rPr>
          <w:rFonts w:ascii="Arial" w:hAnsi="Arial" w:cs="Arial"/>
          <w:sz w:val="20"/>
          <w:szCs w:val="20"/>
        </w:rPr>
        <w:t xml:space="preserve"> </w:t>
      </w:r>
      <w:r w:rsidR="001335E8">
        <w:rPr>
          <w:rFonts w:ascii="Arial" w:hAnsi="Arial" w:cs="Arial"/>
          <w:sz w:val="20"/>
          <w:szCs w:val="20"/>
        </w:rPr>
        <w:t>29</w:t>
      </w:r>
      <w:r w:rsidR="006433C6">
        <w:rPr>
          <w:rFonts w:ascii="Arial" w:hAnsi="Arial" w:cs="Arial"/>
          <w:sz w:val="20"/>
          <w:szCs w:val="20"/>
        </w:rPr>
        <w:t>% and finally it is dried in a spray drier (P-18</w:t>
      </w:r>
      <w:r w:rsidR="00DA7C38">
        <w:rPr>
          <w:rFonts w:ascii="Arial" w:hAnsi="Arial" w:cs="Arial"/>
          <w:sz w:val="20"/>
          <w:szCs w:val="20"/>
        </w:rPr>
        <w:t xml:space="preserve"> / SDR-101</w:t>
      </w:r>
      <w:r w:rsidR="006433C6">
        <w:rPr>
          <w:rFonts w:ascii="Arial" w:hAnsi="Arial" w:cs="Arial"/>
          <w:sz w:val="20"/>
          <w:szCs w:val="20"/>
        </w:rPr>
        <w:t xml:space="preserve">) </w:t>
      </w:r>
      <w:r w:rsidR="001335E8">
        <w:rPr>
          <w:rFonts w:ascii="Arial" w:hAnsi="Arial" w:cs="Arial"/>
          <w:sz w:val="20"/>
          <w:szCs w:val="20"/>
        </w:rPr>
        <w:t>to a final</w:t>
      </w:r>
      <w:r w:rsidR="006433C6">
        <w:rPr>
          <w:rFonts w:ascii="Arial" w:hAnsi="Arial" w:cs="Arial"/>
          <w:sz w:val="20"/>
          <w:szCs w:val="20"/>
        </w:rPr>
        <w:t xml:space="preserve"> moisture content of 5%.</w:t>
      </w:r>
    </w:p>
    <w:p w:rsidR="006433C6" w:rsidRDefault="006433C6" w:rsidP="004F4284">
      <w:pPr>
        <w:spacing w:before="24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vapor condensate of the ev</w:t>
      </w:r>
      <w:r w:rsidR="00346B23">
        <w:rPr>
          <w:rFonts w:ascii="Arial" w:hAnsi="Arial" w:cs="Arial"/>
          <w:sz w:val="20"/>
          <w:szCs w:val="20"/>
        </w:rPr>
        <w:t>aporator is recycled and reused as follows:</w:t>
      </w:r>
      <w:r>
        <w:rPr>
          <w:rFonts w:ascii="Arial" w:hAnsi="Arial" w:cs="Arial"/>
          <w:sz w:val="20"/>
          <w:szCs w:val="20"/>
        </w:rPr>
        <w:t xml:space="preserve"> </w:t>
      </w:r>
      <w:r w:rsidR="00346B23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t is collected in </w:t>
      </w:r>
      <w:r w:rsidR="00346B23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mixer (P-19), </w:t>
      </w:r>
      <w:r w:rsidR="00306E12">
        <w:rPr>
          <w:rFonts w:ascii="Arial" w:hAnsi="Arial" w:cs="Arial"/>
          <w:sz w:val="20"/>
          <w:szCs w:val="20"/>
          <w:lang w:val="en-GB"/>
        </w:rPr>
        <w:t xml:space="preserve">pumped </w:t>
      </w:r>
      <w:r w:rsidR="00346B23">
        <w:rPr>
          <w:rFonts w:ascii="Arial" w:hAnsi="Arial" w:cs="Arial"/>
          <w:sz w:val="20"/>
          <w:szCs w:val="20"/>
          <w:lang w:val="en-GB"/>
        </w:rPr>
        <w:t>using</w:t>
      </w:r>
      <w:r w:rsidR="00306E12">
        <w:rPr>
          <w:rFonts w:ascii="Arial" w:hAnsi="Arial" w:cs="Arial"/>
          <w:sz w:val="20"/>
          <w:szCs w:val="20"/>
          <w:lang w:val="en-GB"/>
        </w:rPr>
        <w:t xml:space="preserve"> a centrifugal pump (P-20), </w:t>
      </w:r>
      <w:r w:rsidR="00346B23">
        <w:rPr>
          <w:rFonts w:ascii="Arial" w:hAnsi="Arial" w:cs="Arial"/>
          <w:sz w:val="20"/>
          <w:szCs w:val="20"/>
        </w:rPr>
        <w:t>cooled</w:t>
      </w:r>
      <w:r>
        <w:rPr>
          <w:rFonts w:ascii="Arial" w:hAnsi="Arial" w:cs="Arial"/>
          <w:sz w:val="20"/>
          <w:szCs w:val="20"/>
        </w:rPr>
        <w:t xml:space="preserve"> in a cooler (P-2</w:t>
      </w:r>
      <w:r w:rsidR="00306E1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)</w:t>
      </w:r>
      <w:r w:rsidR="00346B2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redistributed to </w:t>
      </w:r>
      <w:r w:rsidR="00346B23">
        <w:rPr>
          <w:rFonts w:ascii="Arial" w:hAnsi="Arial" w:cs="Arial"/>
          <w:sz w:val="20"/>
          <w:szCs w:val="20"/>
        </w:rPr>
        <w:t>units which require water</w:t>
      </w:r>
      <w:r>
        <w:rPr>
          <w:rFonts w:ascii="Arial" w:hAnsi="Arial" w:cs="Arial"/>
          <w:sz w:val="20"/>
          <w:szCs w:val="20"/>
        </w:rPr>
        <w:t xml:space="preserve"> (ion exchangers and the activated carbon column) via a custom split</w:t>
      </w:r>
      <w:r w:rsidR="00346B23">
        <w:rPr>
          <w:rFonts w:ascii="Arial" w:hAnsi="Arial" w:cs="Arial"/>
          <w:sz w:val="20"/>
          <w:szCs w:val="20"/>
        </w:rPr>
        <w:t>ter</w:t>
      </w:r>
      <w:r>
        <w:rPr>
          <w:rFonts w:ascii="Arial" w:hAnsi="Arial" w:cs="Arial"/>
          <w:sz w:val="20"/>
          <w:szCs w:val="20"/>
        </w:rPr>
        <w:t xml:space="preserve"> (P-2</w:t>
      </w:r>
      <w:r w:rsidR="00306E12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) and flow distributors (P-2</w:t>
      </w:r>
      <w:r w:rsidR="00306E12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, P-10</w:t>
      </w:r>
      <w:r w:rsidR="00346B2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P-15).</w:t>
      </w:r>
      <w:r w:rsidR="00E168A6">
        <w:rPr>
          <w:rFonts w:ascii="Arial" w:hAnsi="Arial" w:cs="Arial"/>
          <w:sz w:val="20"/>
          <w:szCs w:val="20"/>
        </w:rPr>
        <w:t xml:space="preserve"> The excess water </w:t>
      </w:r>
      <w:r w:rsidR="00346B23">
        <w:rPr>
          <w:rFonts w:ascii="Arial" w:hAnsi="Arial" w:cs="Arial"/>
          <w:sz w:val="20"/>
          <w:szCs w:val="20"/>
        </w:rPr>
        <w:t>is removed from</w:t>
      </w:r>
      <w:r w:rsidR="00E168A6">
        <w:rPr>
          <w:rFonts w:ascii="Arial" w:hAnsi="Arial" w:cs="Arial"/>
          <w:sz w:val="20"/>
          <w:szCs w:val="20"/>
        </w:rPr>
        <w:t xml:space="preserve"> the</w:t>
      </w:r>
      <w:r w:rsidR="00346B23">
        <w:rPr>
          <w:rFonts w:ascii="Arial" w:hAnsi="Arial" w:cs="Arial"/>
          <w:sz w:val="20"/>
          <w:szCs w:val="20"/>
        </w:rPr>
        <w:t xml:space="preserve"> recycle</w:t>
      </w:r>
      <w:r w:rsidR="00E168A6">
        <w:rPr>
          <w:rFonts w:ascii="Arial" w:hAnsi="Arial" w:cs="Arial"/>
          <w:sz w:val="20"/>
          <w:szCs w:val="20"/>
        </w:rPr>
        <w:t xml:space="preserve"> loop via the </w:t>
      </w:r>
      <w:r w:rsidR="00346B23">
        <w:rPr>
          <w:rFonts w:ascii="Arial" w:hAnsi="Arial" w:cs="Arial"/>
          <w:sz w:val="20"/>
          <w:szCs w:val="20"/>
        </w:rPr>
        <w:t xml:space="preserve">stream named “Water Purge” which exits the </w:t>
      </w:r>
      <w:r w:rsidR="00E168A6">
        <w:rPr>
          <w:rFonts w:ascii="Arial" w:hAnsi="Arial" w:cs="Arial"/>
          <w:sz w:val="20"/>
          <w:szCs w:val="20"/>
        </w:rPr>
        <w:t>custom splitter (P-2</w:t>
      </w:r>
      <w:r w:rsidR="00306E12">
        <w:rPr>
          <w:rFonts w:ascii="Arial" w:hAnsi="Arial" w:cs="Arial"/>
          <w:sz w:val="20"/>
          <w:szCs w:val="20"/>
        </w:rPr>
        <w:t>2</w:t>
      </w:r>
      <w:r w:rsidR="00E168A6">
        <w:rPr>
          <w:rFonts w:ascii="Arial" w:hAnsi="Arial" w:cs="Arial"/>
          <w:sz w:val="20"/>
          <w:szCs w:val="20"/>
        </w:rPr>
        <w:t>)</w:t>
      </w:r>
      <w:r w:rsidR="00346B23">
        <w:rPr>
          <w:rFonts w:ascii="Arial" w:hAnsi="Arial" w:cs="Arial"/>
          <w:sz w:val="20"/>
          <w:szCs w:val="20"/>
        </w:rPr>
        <w:t>. This stream</w:t>
      </w:r>
      <w:r w:rsidR="00E168A6">
        <w:rPr>
          <w:rFonts w:ascii="Arial" w:hAnsi="Arial" w:cs="Arial"/>
          <w:sz w:val="20"/>
          <w:szCs w:val="20"/>
        </w:rPr>
        <w:t xml:space="preserve"> </w:t>
      </w:r>
      <w:r w:rsidR="00346B23">
        <w:rPr>
          <w:rFonts w:ascii="Arial" w:hAnsi="Arial" w:cs="Arial"/>
          <w:sz w:val="20"/>
          <w:szCs w:val="20"/>
        </w:rPr>
        <w:t>is sent to</w:t>
      </w:r>
      <w:r w:rsidR="00E168A6">
        <w:rPr>
          <w:rFonts w:ascii="Arial" w:hAnsi="Arial" w:cs="Arial"/>
          <w:sz w:val="20"/>
          <w:szCs w:val="20"/>
        </w:rPr>
        <w:t xml:space="preserve"> the Receiving Storage Unit </w:t>
      </w:r>
      <w:r w:rsidR="00346B23">
        <w:rPr>
          <w:rFonts w:ascii="Arial" w:hAnsi="Arial" w:cs="Arial"/>
          <w:sz w:val="20"/>
          <w:szCs w:val="20"/>
        </w:rPr>
        <w:t xml:space="preserve">named </w:t>
      </w:r>
      <w:r w:rsidR="00E168A6">
        <w:rPr>
          <w:rFonts w:ascii="Arial" w:hAnsi="Arial" w:cs="Arial"/>
          <w:sz w:val="20"/>
          <w:szCs w:val="20"/>
        </w:rPr>
        <w:t xml:space="preserve">“Waste Water Receiving Tank”. </w:t>
      </w:r>
    </w:p>
    <w:p w:rsidR="00254674" w:rsidRDefault="00254674" w:rsidP="00254674">
      <w:pPr>
        <w:spacing w:before="0" w:after="0"/>
        <w:jc w:val="left"/>
        <w:rPr>
          <w:rFonts w:ascii="Arial" w:hAnsi="Arial" w:cs="Arial"/>
          <w:b/>
          <w:color w:val="984806"/>
          <w:sz w:val="28"/>
          <w:szCs w:val="28"/>
        </w:rPr>
      </w:pPr>
    </w:p>
    <w:p w:rsidR="00DA3535" w:rsidRPr="00BE31BD" w:rsidRDefault="00DA3535" w:rsidP="00DA3535">
      <w:pPr>
        <w:keepNext/>
        <w:keepLines/>
        <w:jc w:val="left"/>
        <w:rPr>
          <w:rFonts w:ascii="Arial" w:hAnsi="Arial" w:cs="Arial"/>
          <w:b/>
          <w:color w:val="984806"/>
          <w:sz w:val="28"/>
          <w:szCs w:val="28"/>
        </w:rPr>
      </w:pPr>
      <w:r w:rsidRPr="00BE31BD">
        <w:rPr>
          <w:rFonts w:ascii="Arial" w:hAnsi="Arial" w:cs="Arial"/>
          <w:b/>
          <w:color w:val="984806"/>
          <w:sz w:val="28"/>
          <w:szCs w:val="28"/>
        </w:rPr>
        <w:t xml:space="preserve">Economic Evaluation </w:t>
      </w:r>
    </w:p>
    <w:p w:rsidR="00FF2AF2" w:rsidRDefault="00DA3535" w:rsidP="008A57C9">
      <w:pPr>
        <w:keepNext/>
        <w:keepLines/>
        <w:spacing w:before="240" w:after="0"/>
        <w:jc w:val="left"/>
        <w:rPr>
          <w:rFonts w:ascii="Arial" w:hAnsi="Arial" w:cs="Arial"/>
          <w:sz w:val="20"/>
          <w:szCs w:val="20"/>
        </w:rPr>
      </w:pPr>
      <w:r w:rsidRPr="00BE31BD">
        <w:rPr>
          <w:rFonts w:ascii="Arial" w:hAnsi="Arial" w:cs="Arial"/>
          <w:sz w:val="20"/>
          <w:szCs w:val="20"/>
        </w:rPr>
        <w:t xml:space="preserve">This plant processes </w:t>
      </w:r>
      <w:r w:rsidR="004C6D2F">
        <w:rPr>
          <w:rFonts w:ascii="Arial" w:hAnsi="Arial" w:cs="Arial"/>
          <w:sz w:val="20"/>
          <w:szCs w:val="20"/>
        </w:rPr>
        <w:t>5</w:t>
      </w:r>
      <w:r w:rsidRPr="00BE31BD">
        <w:rPr>
          <w:rFonts w:ascii="Arial" w:hAnsi="Arial" w:cs="Arial"/>
          <w:sz w:val="20"/>
          <w:szCs w:val="20"/>
        </w:rPr>
        <w:t xml:space="preserve"> MT/h </w:t>
      </w:r>
      <w:r w:rsidR="00FC28DF">
        <w:rPr>
          <w:rFonts w:ascii="Arial" w:hAnsi="Arial" w:cs="Arial"/>
          <w:sz w:val="20"/>
          <w:szCs w:val="20"/>
        </w:rPr>
        <w:t xml:space="preserve">of </w:t>
      </w:r>
      <w:r w:rsidR="00346B23">
        <w:rPr>
          <w:rFonts w:ascii="Arial" w:hAnsi="Arial" w:cs="Arial"/>
          <w:sz w:val="20"/>
          <w:szCs w:val="20"/>
        </w:rPr>
        <w:t xml:space="preserve">95% </w:t>
      </w:r>
      <w:r w:rsidR="00091109">
        <w:rPr>
          <w:rFonts w:ascii="Arial" w:hAnsi="Arial" w:cs="Arial"/>
          <w:sz w:val="20"/>
          <w:szCs w:val="20"/>
        </w:rPr>
        <w:t xml:space="preserve">glucose syrup </w:t>
      </w:r>
      <w:r w:rsidRPr="00BE31BD">
        <w:rPr>
          <w:rFonts w:ascii="Arial" w:hAnsi="Arial" w:cs="Arial"/>
          <w:sz w:val="20"/>
          <w:szCs w:val="20"/>
        </w:rPr>
        <w:t xml:space="preserve">with </w:t>
      </w:r>
      <w:r w:rsidR="00250584" w:rsidRPr="00BE31BD">
        <w:rPr>
          <w:rFonts w:ascii="Arial" w:hAnsi="Arial" w:cs="Arial"/>
          <w:sz w:val="20"/>
          <w:szCs w:val="20"/>
        </w:rPr>
        <w:t>an assumed uptime of</w:t>
      </w:r>
      <w:r w:rsidRPr="00BE31BD">
        <w:rPr>
          <w:rFonts w:ascii="Arial" w:hAnsi="Arial" w:cs="Arial"/>
          <w:sz w:val="20"/>
          <w:szCs w:val="20"/>
        </w:rPr>
        <w:t xml:space="preserve"> 8208 hours per year</w:t>
      </w:r>
      <w:r w:rsidR="00250584" w:rsidRPr="00BE31BD">
        <w:rPr>
          <w:rFonts w:ascii="Arial" w:hAnsi="Arial" w:cs="Arial"/>
          <w:sz w:val="20"/>
          <w:szCs w:val="20"/>
        </w:rPr>
        <w:t xml:space="preserve">. </w:t>
      </w:r>
      <w:r w:rsidR="00917787">
        <w:rPr>
          <w:rFonts w:ascii="Arial" w:hAnsi="Arial" w:cs="Arial"/>
          <w:sz w:val="20"/>
          <w:szCs w:val="20"/>
        </w:rPr>
        <w:t>Based on these inputs, the plant</w:t>
      </w:r>
      <w:r w:rsidR="004C6D2F">
        <w:rPr>
          <w:rFonts w:ascii="Arial" w:hAnsi="Arial" w:cs="Arial"/>
          <w:sz w:val="20"/>
          <w:szCs w:val="20"/>
        </w:rPr>
        <w:t xml:space="preserve"> produces </w:t>
      </w:r>
      <w:r w:rsidR="00FC28DF">
        <w:rPr>
          <w:rFonts w:ascii="Arial" w:hAnsi="Arial" w:cs="Arial"/>
          <w:sz w:val="20"/>
          <w:szCs w:val="20"/>
        </w:rPr>
        <w:t>around</w:t>
      </w:r>
      <w:r w:rsidR="00E73F6F">
        <w:rPr>
          <w:rFonts w:ascii="Arial" w:hAnsi="Arial" w:cs="Arial"/>
          <w:sz w:val="20"/>
          <w:szCs w:val="20"/>
        </w:rPr>
        <w:t xml:space="preserve"> </w:t>
      </w:r>
      <w:r w:rsidR="004C6D2F">
        <w:rPr>
          <w:rFonts w:ascii="Arial" w:hAnsi="Arial" w:cs="Arial"/>
          <w:sz w:val="20"/>
          <w:szCs w:val="20"/>
        </w:rPr>
        <w:t>31</w:t>
      </w:r>
      <w:r w:rsidR="00FC28DF">
        <w:rPr>
          <w:rFonts w:ascii="Arial" w:hAnsi="Arial" w:cs="Arial"/>
          <w:sz w:val="20"/>
          <w:szCs w:val="20"/>
        </w:rPr>
        <w:t>,</w:t>
      </w:r>
      <w:r w:rsidR="004C6D2F">
        <w:rPr>
          <w:rFonts w:ascii="Arial" w:hAnsi="Arial" w:cs="Arial"/>
          <w:sz w:val="20"/>
          <w:szCs w:val="20"/>
        </w:rPr>
        <w:t>00</w:t>
      </w:r>
      <w:r w:rsidR="00091109">
        <w:rPr>
          <w:rFonts w:ascii="Arial" w:hAnsi="Arial" w:cs="Arial"/>
          <w:sz w:val="20"/>
          <w:szCs w:val="20"/>
        </w:rPr>
        <w:t>0</w:t>
      </w:r>
      <w:r w:rsidRPr="00BE31BD">
        <w:rPr>
          <w:rFonts w:ascii="Arial" w:hAnsi="Arial" w:cs="Arial"/>
          <w:sz w:val="20"/>
          <w:szCs w:val="20"/>
        </w:rPr>
        <w:t xml:space="preserve"> metric tons </w:t>
      </w:r>
      <w:r w:rsidR="00DB09E9" w:rsidRPr="00BE31BD">
        <w:rPr>
          <w:rFonts w:ascii="Arial" w:hAnsi="Arial" w:cs="Arial"/>
          <w:sz w:val="20"/>
          <w:szCs w:val="20"/>
        </w:rPr>
        <w:t xml:space="preserve">of </w:t>
      </w:r>
      <w:r w:rsidR="004326D7">
        <w:rPr>
          <w:rFonts w:ascii="Arial" w:hAnsi="Arial" w:cs="Arial"/>
          <w:sz w:val="20"/>
          <w:szCs w:val="20"/>
        </w:rPr>
        <w:t xml:space="preserve">spray dried 95% </w:t>
      </w:r>
      <w:r w:rsidR="004C6D2F">
        <w:rPr>
          <w:rFonts w:ascii="Arial" w:hAnsi="Arial" w:cs="Arial"/>
          <w:sz w:val="20"/>
          <w:szCs w:val="20"/>
        </w:rPr>
        <w:t>sorbitol per year</w:t>
      </w:r>
      <w:r w:rsidRPr="00BE31BD">
        <w:rPr>
          <w:rFonts w:ascii="Arial" w:hAnsi="Arial" w:cs="Arial"/>
          <w:sz w:val="20"/>
          <w:szCs w:val="20"/>
        </w:rPr>
        <w:t>.</w:t>
      </w:r>
      <w:r w:rsidR="00E73F6F">
        <w:rPr>
          <w:rFonts w:ascii="Arial" w:hAnsi="Arial" w:cs="Arial"/>
          <w:sz w:val="20"/>
          <w:szCs w:val="20"/>
        </w:rPr>
        <w:t xml:space="preserve"> </w:t>
      </w:r>
      <w:r w:rsidR="00FF2AF2" w:rsidRPr="00B20EAE">
        <w:rPr>
          <w:rFonts w:ascii="Arial" w:hAnsi="Arial" w:cs="Arial"/>
          <w:sz w:val="20"/>
          <w:szCs w:val="20"/>
        </w:rPr>
        <w:t>Various assumptions were made for the costs of raw materials, heat transfer agents, wastewater treatment, equipment purchase costs, labor</w:t>
      </w:r>
      <w:r w:rsidR="00917787">
        <w:rPr>
          <w:rFonts w:ascii="Arial" w:hAnsi="Arial" w:cs="Arial"/>
          <w:sz w:val="20"/>
          <w:szCs w:val="20"/>
        </w:rPr>
        <w:t>,</w:t>
      </w:r>
      <w:r w:rsidR="00FF2AF2" w:rsidRPr="00B20EAE">
        <w:rPr>
          <w:rFonts w:ascii="Arial" w:hAnsi="Arial" w:cs="Arial"/>
          <w:sz w:val="20"/>
          <w:szCs w:val="20"/>
        </w:rPr>
        <w:t xml:space="preserve"> </w:t>
      </w:r>
      <w:r w:rsidR="00FF2AF2" w:rsidRPr="00B20EAE">
        <w:rPr>
          <w:rFonts w:ascii="Arial" w:hAnsi="Arial" w:cs="Arial"/>
          <w:i/>
          <w:sz w:val="20"/>
          <w:szCs w:val="20"/>
        </w:rPr>
        <w:t>etc</w:t>
      </w:r>
      <w:r w:rsidR="00FF2AF2" w:rsidRPr="00B20EAE">
        <w:rPr>
          <w:rFonts w:ascii="Arial" w:hAnsi="Arial" w:cs="Arial"/>
          <w:sz w:val="20"/>
          <w:szCs w:val="20"/>
        </w:rPr>
        <w:t xml:space="preserve">.  </w:t>
      </w:r>
      <w:r w:rsidR="00917787">
        <w:rPr>
          <w:rFonts w:ascii="Arial" w:hAnsi="Arial" w:cs="Arial"/>
          <w:sz w:val="20"/>
          <w:szCs w:val="20"/>
        </w:rPr>
        <w:t>Based on these resource costs and</w:t>
      </w:r>
      <w:r w:rsidR="00FF2AF2">
        <w:rPr>
          <w:rFonts w:ascii="Arial" w:hAnsi="Arial" w:cs="Arial"/>
          <w:sz w:val="20"/>
          <w:szCs w:val="20"/>
        </w:rPr>
        <w:t xml:space="preserve"> the mass and energy balances, </w:t>
      </w:r>
      <w:r w:rsidR="00FF2AF2" w:rsidRPr="00B20EAE">
        <w:rPr>
          <w:rFonts w:ascii="Arial" w:hAnsi="Arial" w:cs="Arial"/>
          <w:sz w:val="20"/>
          <w:szCs w:val="20"/>
        </w:rPr>
        <w:t xml:space="preserve">SuperPro Designer </w:t>
      </w:r>
      <w:r w:rsidR="00FF2AF2">
        <w:rPr>
          <w:rFonts w:ascii="Arial" w:hAnsi="Arial" w:cs="Arial"/>
          <w:sz w:val="20"/>
          <w:szCs w:val="20"/>
        </w:rPr>
        <w:t>calculates</w:t>
      </w:r>
      <w:r w:rsidR="00FF2AF2" w:rsidRPr="00B20EAE">
        <w:rPr>
          <w:rFonts w:ascii="Arial" w:hAnsi="Arial" w:cs="Arial"/>
          <w:sz w:val="20"/>
          <w:szCs w:val="20"/>
        </w:rPr>
        <w:t xml:space="preserve"> the capital (CAPEX) and operating </w:t>
      </w:r>
      <w:r w:rsidR="00917787">
        <w:rPr>
          <w:rFonts w:ascii="Arial" w:hAnsi="Arial" w:cs="Arial"/>
          <w:sz w:val="20"/>
          <w:szCs w:val="20"/>
        </w:rPr>
        <w:t xml:space="preserve">(OPEX) </w:t>
      </w:r>
      <w:r w:rsidR="00FF2AF2" w:rsidRPr="00B20EAE">
        <w:rPr>
          <w:rFonts w:ascii="Arial" w:hAnsi="Arial" w:cs="Arial"/>
          <w:sz w:val="20"/>
          <w:szCs w:val="20"/>
        </w:rPr>
        <w:t>expenses</w:t>
      </w:r>
      <w:r w:rsidR="00FF2AF2">
        <w:rPr>
          <w:rFonts w:ascii="Arial" w:hAnsi="Arial" w:cs="Arial"/>
          <w:sz w:val="20"/>
          <w:szCs w:val="20"/>
        </w:rPr>
        <w:t>, the production cost</w:t>
      </w:r>
      <w:r w:rsidR="00917787">
        <w:rPr>
          <w:rFonts w:ascii="Arial" w:hAnsi="Arial" w:cs="Arial"/>
          <w:sz w:val="20"/>
          <w:szCs w:val="20"/>
        </w:rPr>
        <w:t>,</w:t>
      </w:r>
      <w:r w:rsidR="00FF2AF2">
        <w:rPr>
          <w:rFonts w:ascii="Arial" w:hAnsi="Arial" w:cs="Arial"/>
          <w:sz w:val="20"/>
          <w:szCs w:val="20"/>
        </w:rPr>
        <w:t xml:space="preserve"> and the profitability of the project</w:t>
      </w:r>
      <w:r w:rsidR="00FF2AF2" w:rsidRPr="00B20EAE">
        <w:rPr>
          <w:rFonts w:ascii="Arial" w:hAnsi="Arial" w:cs="Arial"/>
          <w:sz w:val="20"/>
          <w:szCs w:val="20"/>
        </w:rPr>
        <w:t>. The</w:t>
      </w:r>
      <w:r w:rsidR="00FF2AF2">
        <w:rPr>
          <w:rFonts w:ascii="Arial" w:hAnsi="Arial" w:cs="Arial"/>
          <w:sz w:val="20"/>
          <w:szCs w:val="20"/>
        </w:rPr>
        <w:t xml:space="preserve"> results can be found in the Economic Evaluation (EER), Cash Flows Analysis (CRF), Itemized Cost (ICR)</w:t>
      </w:r>
      <w:r w:rsidR="00917787">
        <w:rPr>
          <w:rFonts w:ascii="Arial" w:hAnsi="Arial" w:cs="Arial"/>
          <w:sz w:val="20"/>
          <w:szCs w:val="20"/>
        </w:rPr>
        <w:t>,</w:t>
      </w:r>
      <w:r w:rsidR="00FF2AF2">
        <w:rPr>
          <w:rFonts w:ascii="Arial" w:hAnsi="Arial" w:cs="Arial"/>
          <w:sz w:val="20"/>
          <w:szCs w:val="20"/>
        </w:rPr>
        <w:t xml:space="preserve"> and Excel Custom reports. </w:t>
      </w:r>
    </w:p>
    <w:p w:rsidR="00FF2AF2" w:rsidRDefault="00FF2AF2" w:rsidP="008A57C9">
      <w:pPr>
        <w:keepNext/>
        <w:keepLines/>
        <w:spacing w:before="240" w:after="0"/>
        <w:jc w:val="left"/>
        <w:rPr>
          <w:rFonts w:ascii="Arial" w:hAnsi="Arial" w:cs="Arial"/>
          <w:sz w:val="20"/>
          <w:szCs w:val="20"/>
        </w:rPr>
      </w:pPr>
      <w:r w:rsidRPr="00C27587">
        <w:rPr>
          <w:rFonts w:ascii="Arial" w:hAnsi="Arial" w:cs="Arial"/>
          <w:b/>
          <w:sz w:val="20"/>
          <w:szCs w:val="20"/>
        </w:rPr>
        <w:t xml:space="preserve">Table </w:t>
      </w:r>
      <w:r w:rsidR="004C6D2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, which</w:t>
      </w:r>
      <w:r w:rsidR="006D2D8B">
        <w:rPr>
          <w:rFonts w:ascii="Arial" w:hAnsi="Arial" w:cs="Arial"/>
          <w:sz w:val="20"/>
          <w:szCs w:val="20"/>
        </w:rPr>
        <w:t xml:space="preserve"> was extracted from the ERR</w:t>
      </w:r>
      <w:r>
        <w:rPr>
          <w:rFonts w:ascii="Arial" w:hAnsi="Arial" w:cs="Arial"/>
          <w:sz w:val="20"/>
          <w:szCs w:val="20"/>
        </w:rPr>
        <w:t xml:space="preserve">, provides information on equipment sizes and purchase costs. </w:t>
      </w:r>
      <w:proofErr w:type="spellStart"/>
      <w:r>
        <w:rPr>
          <w:rFonts w:ascii="Arial" w:hAnsi="Arial" w:cs="Arial"/>
          <w:sz w:val="20"/>
          <w:szCs w:val="20"/>
        </w:rPr>
        <w:t>SuperPro</w:t>
      </w:r>
      <w:r w:rsidR="00637DB4">
        <w:rPr>
          <w:rFonts w:ascii="Arial" w:hAnsi="Arial" w:cs="Arial"/>
          <w:sz w:val="20"/>
          <w:szCs w:val="20"/>
        </w:rPr>
        <w:t>’s</w:t>
      </w:r>
      <w:proofErr w:type="spellEnd"/>
      <w:r>
        <w:rPr>
          <w:rFonts w:ascii="Arial" w:hAnsi="Arial" w:cs="Arial"/>
          <w:sz w:val="20"/>
          <w:szCs w:val="20"/>
        </w:rPr>
        <w:t xml:space="preserve"> built-in cost models were used for estimating the purchase cost of </w:t>
      </w:r>
      <w:r w:rsidR="007A7ECE">
        <w:rPr>
          <w:rFonts w:ascii="Arial" w:hAnsi="Arial" w:cs="Arial"/>
          <w:sz w:val="20"/>
          <w:szCs w:val="20"/>
        </w:rPr>
        <w:t>most of the equipment</w:t>
      </w:r>
      <w:r>
        <w:rPr>
          <w:rFonts w:ascii="Arial" w:hAnsi="Arial" w:cs="Arial"/>
          <w:sz w:val="20"/>
          <w:szCs w:val="20"/>
        </w:rPr>
        <w:t xml:space="preserve">. </w:t>
      </w:r>
      <w:r w:rsidR="00F91D95">
        <w:rPr>
          <w:rFonts w:ascii="Arial" w:hAnsi="Arial" w:cs="Arial"/>
          <w:sz w:val="20"/>
          <w:szCs w:val="20"/>
        </w:rPr>
        <w:t xml:space="preserve">For estimating the purchase cost of the </w:t>
      </w:r>
      <w:r w:rsidR="004C6D2F">
        <w:rPr>
          <w:rFonts w:ascii="Arial" w:hAnsi="Arial" w:cs="Arial"/>
          <w:sz w:val="20"/>
          <w:szCs w:val="20"/>
        </w:rPr>
        <w:t xml:space="preserve">spray dryer </w:t>
      </w:r>
      <w:r w:rsidR="00F91D95">
        <w:rPr>
          <w:rFonts w:ascii="Arial" w:hAnsi="Arial" w:cs="Arial"/>
          <w:sz w:val="20"/>
          <w:szCs w:val="20"/>
        </w:rPr>
        <w:t>and the feed</w:t>
      </w:r>
      <w:r w:rsidR="004C6D2F">
        <w:rPr>
          <w:rFonts w:ascii="Arial" w:hAnsi="Arial" w:cs="Arial"/>
          <w:sz w:val="20"/>
          <w:szCs w:val="20"/>
        </w:rPr>
        <w:t xml:space="preserve">/buffer </w:t>
      </w:r>
      <w:r w:rsidR="00F91D95">
        <w:rPr>
          <w:rFonts w:ascii="Arial" w:hAnsi="Arial" w:cs="Arial"/>
          <w:sz w:val="20"/>
          <w:szCs w:val="20"/>
        </w:rPr>
        <w:t>tanks</w:t>
      </w:r>
      <w:r w:rsidR="00637DB4">
        <w:rPr>
          <w:rFonts w:ascii="Arial" w:hAnsi="Arial" w:cs="Arial"/>
          <w:sz w:val="20"/>
          <w:szCs w:val="20"/>
        </w:rPr>
        <w:t>,</w:t>
      </w:r>
      <w:r w:rsidR="00F91D95">
        <w:rPr>
          <w:rFonts w:ascii="Arial" w:hAnsi="Arial" w:cs="Arial"/>
          <w:sz w:val="20"/>
          <w:szCs w:val="20"/>
        </w:rPr>
        <w:t xml:space="preserve"> user-defined cost models were </w:t>
      </w:r>
      <w:r w:rsidR="00637DB4">
        <w:rPr>
          <w:rFonts w:ascii="Arial" w:hAnsi="Arial" w:cs="Arial"/>
          <w:sz w:val="20"/>
          <w:szCs w:val="20"/>
        </w:rPr>
        <w:t>created</w:t>
      </w:r>
      <w:r w:rsidR="00F91D95">
        <w:rPr>
          <w:rFonts w:ascii="Arial" w:hAnsi="Arial" w:cs="Arial"/>
          <w:sz w:val="20"/>
          <w:szCs w:val="20"/>
        </w:rPr>
        <w:t xml:space="preserve">. </w:t>
      </w:r>
      <w:r w:rsidRPr="00C27587">
        <w:rPr>
          <w:rFonts w:ascii="Arial" w:hAnsi="Arial" w:cs="Arial"/>
          <w:b/>
          <w:sz w:val="20"/>
          <w:szCs w:val="20"/>
        </w:rPr>
        <w:t xml:space="preserve">Table </w:t>
      </w:r>
      <w:r w:rsidR="004C6D2F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, which was also extracted from the ERR,</w:t>
      </w:r>
      <w:r w:rsidRPr="00B20EAE">
        <w:rPr>
          <w:rFonts w:ascii="Arial" w:hAnsi="Arial" w:cs="Arial"/>
          <w:sz w:val="20"/>
          <w:szCs w:val="20"/>
        </w:rPr>
        <w:t xml:space="preserve"> provides</w:t>
      </w:r>
      <w:r w:rsidR="00637DB4">
        <w:rPr>
          <w:rFonts w:ascii="Arial" w:hAnsi="Arial" w:cs="Arial"/>
          <w:sz w:val="20"/>
          <w:szCs w:val="20"/>
        </w:rPr>
        <w:t xml:space="preserve"> an estimate</w:t>
      </w:r>
      <w:r>
        <w:rPr>
          <w:rFonts w:ascii="Arial" w:hAnsi="Arial" w:cs="Arial"/>
          <w:sz w:val="20"/>
          <w:szCs w:val="20"/>
        </w:rPr>
        <w:t xml:space="preserve"> of</w:t>
      </w:r>
      <w:r w:rsidRPr="00B20EAE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</w:t>
      </w:r>
      <w:r w:rsidR="008A57C9">
        <w:rPr>
          <w:rFonts w:ascii="Arial" w:hAnsi="Arial" w:cs="Arial"/>
          <w:sz w:val="20"/>
          <w:szCs w:val="20"/>
        </w:rPr>
        <w:t>direct fixed capital cost</w:t>
      </w:r>
      <w:r>
        <w:rPr>
          <w:rFonts w:ascii="Arial" w:hAnsi="Arial" w:cs="Arial"/>
          <w:sz w:val="20"/>
          <w:szCs w:val="20"/>
        </w:rPr>
        <w:t>, which</w:t>
      </w:r>
      <w:r w:rsidRPr="00B20EAE">
        <w:rPr>
          <w:rFonts w:ascii="Arial" w:hAnsi="Arial" w:cs="Arial"/>
          <w:sz w:val="20"/>
          <w:szCs w:val="20"/>
        </w:rPr>
        <w:t xml:space="preserve"> is around </w:t>
      </w:r>
      <w:r>
        <w:rPr>
          <w:rFonts w:ascii="Arial" w:hAnsi="Arial" w:cs="Arial"/>
          <w:sz w:val="20"/>
          <w:szCs w:val="20"/>
        </w:rPr>
        <w:t>$</w:t>
      </w:r>
      <w:r w:rsidR="008A57C9">
        <w:rPr>
          <w:rFonts w:ascii="Arial" w:hAnsi="Arial" w:cs="Arial"/>
          <w:sz w:val="20"/>
          <w:szCs w:val="20"/>
        </w:rPr>
        <w:t>28</w:t>
      </w:r>
      <w:r w:rsidRPr="00B20EAE">
        <w:rPr>
          <w:rFonts w:ascii="Arial" w:hAnsi="Arial" w:cs="Arial"/>
          <w:sz w:val="20"/>
          <w:szCs w:val="20"/>
        </w:rPr>
        <w:t xml:space="preserve"> million</w:t>
      </w:r>
      <w:r>
        <w:rPr>
          <w:rFonts w:ascii="Arial" w:hAnsi="Arial" w:cs="Arial"/>
          <w:sz w:val="20"/>
          <w:szCs w:val="20"/>
        </w:rPr>
        <w:t xml:space="preserve"> for a plant of this capacity</w:t>
      </w:r>
      <w:r w:rsidRPr="00B20EAE">
        <w:rPr>
          <w:rFonts w:ascii="Arial" w:hAnsi="Arial" w:cs="Arial"/>
          <w:sz w:val="20"/>
          <w:szCs w:val="20"/>
        </w:rPr>
        <w:t xml:space="preserve">. </w:t>
      </w:r>
    </w:p>
    <w:p w:rsidR="00FF2AF2" w:rsidRDefault="00D7490B" w:rsidP="00CC0CD5">
      <w:pPr>
        <w:spacing w:before="240" w:after="0"/>
        <w:jc w:val="left"/>
        <w:rPr>
          <w:rFonts w:ascii="Arial" w:hAnsi="Arial" w:cs="Arial"/>
          <w:sz w:val="20"/>
          <w:szCs w:val="20"/>
        </w:rPr>
      </w:pPr>
      <w:r w:rsidRPr="00C27587">
        <w:rPr>
          <w:rFonts w:ascii="Arial" w:hAnsi="Arial" w:cs="Arial"/>
          <w:b/>
          <w:sz w:val="20"/>
          <w:szCs w:val="20"/>
        </w:rPr>
        <w:t xml:space="preserve">Tables </w:t>
      </w:r>
      <w:r>
        <w:rPr>
          <w:rFonts w:ascii="Arial" w:hAnsi="Arial" w:cs="Arial"/>
          <w:b/>
          <w:sz w:val="20"/>
          <w:szCs w:val="20"/>
        </w:rPr>
        <w:t>3</w:t>
      </w:r>
      <w:r w:rsidRPr="00C27587">
        <w:rPr>
          <w:rFonts w:ascii="Arial" w:hAnsi="Arial" w:cs="Arial"/>
          <w:b/>
          <w:sz w:val="20"/>
          <w:szCs w:val="20"/>
        </w:rPr>
        <w:t>a,</w:t>
      </w:r>
      <w:r w:rsidR="008A57C9">
        <w:rPr>
          <w:rFonts w:ascii="Arial" w:hAnsi="Arial" w:cs="Arial"/>
          <w:b/>
          <w:sz w:val="20"/>
          <w:szCs w:val="20"/>
        </w:rPr>
        <w:t xml:space="preserve"> </w:t>
      </w:r>
      <w:r w:rsidRPr="00C27587">
        <w:rPr>
          <w:rFonts w:ascii="Arial" w:hAnsi="Arial" w:cs="Arial"/>
          <w:b/>
          <w:sz w:val="20"/>
          <w:szCs w:val="20"/>
        </w:rPr>
        <w:t>b,</w:t>
      </w:r>
      <w:r w:rsidR="008A57C9">
        <w:rPr>
          <w:rFonts w:ascii="Arial" w:hAnsi="Arial" w:cs="Arial"/>
          <w:b/>
          <w:sz w:val="20"/>
          <w:szCs w:val="20"/>
        </w:rPr>
        <w:t xml:space="preserve"> and </w:t>
      </w:r>
      <w:r w:rsidRPr="00C27587">
        <w:rPr>
          <w:rFonts w:ascii="Arial" w:hAnsi="Arial" w:cs="Arial"/>
          <w:b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 provide information on</w:t>
      </w:r>
      <w:r w:rsidRPr="00B20EAE">
        <w:rPr>
          <w:rFonts w:ascii="Arial" w:hAnsi="Arial" w:cs="Arial"/>
          <w:sz w:val="20"/>
          <w:szCs w:val="20"/>
        </w:rPr>
        <w:t xml:space="preserve"> the assumed unit costs and the calculated annual </w:t>
      </w:r>
      <w:r>
        <w:rPr>
          <w:rFonts w:ascii="Arial" w:hAnsi="Arial" w:cs="Arial"/>
          <w:sz w:val="20"/>
          <w:szCs w:val="20"/>
        </w:rPr>
        <w:t>amounts and costs</w:t>
      </w:r>
      <w:r w:rsidRPr="00B20EAE">
        <w:rPr>
          <w:rFonts w:ascii="Arial" w:hAnsi="Arial" w:cs="Arial"/>
          <w:sz w:val="20"/>
          <w:szCs w:val="20"/>
        </w:rPr>
        <w:t xml:space="preserve"> for a) raw materials, b) labor</w:t>
      </w:r>
      <w:r w:rsidR="00334335">
        <w:rPr>
          <w:rFonts w:ascii="Arial" w:hAnsi="Arial" w:cs="Arial"/>
          <w:sz w:val="20"/>
          <w:szCs w:val="20"/>
        </w:rPr>
        <w:t xml:space="preserve">, </w:t>
      </w:r>
      <w:r w:rsidRPr="00B20EAE">
        <w:rPr>
          <w:rFonts w:ascii="Arial" w:hAnsi="Arial" w:cs="Arial"/>
          <w:sz w:val="20"/>
          <w:szCs w:val="20"/>
        </w:rPr>
        <w:t xml:space="preserve">and c) utilities. The total </w:t>
      </w:r>
      <w:r>
        <w:rPr>
          <w:rFonts w:ascii="Arial" w:hAnsi="Arial" w:cs="Arial"/>
          <w:sz w:val="20"/>
          <w:szCs w:val="20"/>
        </w:rPr>
        <w:t xml:space="preserve">annual </w:t>
      </w:r>
      <w:r w:rsidRPr="00B20EAE">
        <w:rPr>
          <w:rFonts w:ascii="Arial" w:hAnsi="Arial" w:cs="Arial"/>
          <w:sz w:val="20"/>
          <w:szCs w:val="20"/>
        </w:rPr>
        <w:t xml:space="preserve">cost of raw materials was calculated to be around </w:t>
      </w:r>
      <w:r>
        <w:rPr>
          <w:rFonts w:ascii="Arial" w:hAnsi="Arial" w:cs="Arial"/>
          <w:sz w:val="20"/>
          <w:szCs w:val="20"/>
        </w:rPr>
        <w:t>$12.</w:t>
      </w:r>
      <w:r w:rsidR="00334335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million per year. </w:t>
      </w:r>
      <w:r w:rsidR="006D2D8B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cost of labor </w:t>
      </w:r>
      <w:r w:rsidR="006D2D8B">
        <w:rPr>
          <w:rFonts w:ascii="Arial" w:hAnsi="Arial" w:cs="Arial"/>
          <w:sz w:val="20"/>
          <w:szCs w:val="20"/>
        </w:rPr>
        <w:t>is</w:t>
      </w:r>
      <w:r w:rsidR="003343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around $2.1 million per year.</w:t>
      </w:r>
      <w:r w:rsidR="00334335">
        <w:rPr>
          <w:rFonts w:ascii="Arial" w:hAnsi="Arial" w:cs="Arial"/>
          <w:sz w:val="20"/>
          <w:szCs w:val="20"/>
        </w:rPr>
        <w:t xml:space="preserve"> Based on the utility requirements shown in</w:t>
      </w:r>
      <w:r>
        <w:rPr>
          <w:rFonts w:ascii="Arial" w:hAnsi="Arial" w:cs="Arial"/>
          <w:sz w:val="20"/>
          <w:szCs w:val="20"/>
        </w:rPr>
        <w:t xml:space="preserve"> </w:t>
      </w:r>
      <w:r w:rsidRPr="00C27587">
        <w:rPr>
          <w:rFonts w:ascii="Arial" w:hAnsi="Arial" w:cs="Arial"/>
          <w:b/>
          <w:sz w:val="20"/>
          <w:szCs w:val="20"/>
        </w:rPr>
        <w:t xml:space="preserve">Table </w:t>
      </w:r>
      <w:r>
        <w:rPr>
          <w:rFonts w:ascii="Arial" w:hAnsi="Arial" w:cs="Arial"/>
          <w:b/>
          <w:sz w:val="20"/>
          <w:szCs w:val="20"/>
        </w:rPr>
        <w:t>3</w:t>
      </w:r>
      <w:r w:rsidRPr="00C27587">
        <w:rPr>
          <w:rFonts w:ascii="Arial" w:hAnsi="Arial" w:cs="Arial"/>
          <w:b/>
          <w:sz w:val="20"/>
          <w:szCs w:val="20"/>
        </w:rPr>
        <w:t>c</w:t>
      </w:r>
      <w:r w:rsidR="00334335">
        <w:rPr>
          <w:rFonts w:ascii="Arial" w:hAnsi="Arial" w:cs="Arial"/>
          <w:sz w:val="20"/>
          <w:szCs w:val="20"/>
        </w:rPr>
        <w:t>, the</w:t>
      </w:r>
      <w:r w:rsidRPr="00B20EAE">
        <w:rPr>
          <w:rFonts w:ascii="Arial" w:hAnsi="Arial" w:cs="Arial"/>
          <w:sz w:val="20"/>
          <w:szCs w:val="20"/>
        </w:rPr>
        <w:t xml:space="preserve"> steam consumption </w:t>
      </w:r>
      <w:r w:rsidR="004C43A8">
        <w:rPr>
          <w:rFonts w:ascii="Arial" w:hAnsi="Arial" w:cs="Arial"/>
          <w:sz w:val="20"/>
          <w:szCs w:val="20"/>
        </w:rPr>
        <w:t xml:space="preserve">by </w:t>
      </w:r>
      <w:r w:rsidRPr="00B20EAE">
        <w:rPr>
          <w:rFonts w:ascii="Arial" w:hAnsi="Arial" w:cs="Arial"/>
          <w:sz w:val="20"/>
          <w:szCs w:val="20"/>
        </w:rPr>
        <w:t xml:space="preserve">the process </w:t>
      </w:r>
      <w:r w:rsidR="00334335">
        <w:rPr>
          <w:rFonts w:ascii="Arial" w:hAnsi="Arial" w:cs="Arial"/>
          <w:sz w:val="20"/>
          <w:szCs w:val="20"/>
        </w:rPr>
        <w:t>can be easily calculated to be</w:t>
      </w:r>
      <w:r w:rsidRPr="00B20EA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about 3.6 tons per hour</w:t>
      </w:r>
      <w:r w:rsidR="00334335">
        <w:rPr>
          <w:rFonts w:ascii="Arial" w:hAnsi="Arial" w:cs="Arial"/>
          <w:sz w:val="20"/>
          <w:szCs w:val="20"/>
        </w:rPr>
        <w:t>, which corresponds</w:t>
      </w:r>
      <w:r>
        <w:rPr>
          <w:rFonts w:ascii="Arial" w:hAnsi="Arial" w:cs="Arial"/>
          <w:sz w:val="20"/>
          <w:szCs w:val="20"/>
        </w:rPr>
        <w:t xml:space="preserve"> to one ton of steam per ton of product</w:t>
      </w:r>
      <w:r w:rsidRPr="00B20EAE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The main users of steam are the evaporator and the dryer. A unit </w:t>
      </w:r>
      <w:r w:rsidRPr="00B20EAE">
        <w:rPr>
          <w:rFonts w:ascii="Arial" w:hAnsi="Arial" w:cs="Arial"/>
          <w:sz w:val="20"/>
          <w:szCs w:val="20"/>
        </w:rPr>
        <w:t xml:space="preserve">cost </w:t>
      </w:r>
      <w:r>
        <w:rPr>
          <w:rFonts w:ascii="Arial" w:hAnsi="Arial" w:cs="Arial"/>
          <w:sz w:val="20"/>
          <w:szCs w:val="20"/>
        </w:rPr>
        <w:t xml:space="preserve">of $30/MT </w:t>
      </w:r>
      <w:r w:rsidRPr="00B20EAE">
        <w:rPr>
          <w:rFonts w:ascii="Arial" w:hAnsi="Arial" w:cs="Arial"/>
          <w:sz w:val="20"/>
          <w:szCs w:val="20"/>
        </w:rPr>
        <w:t xml:space="preserve">was assumed </w:t>
      </w:r>
      <w:r>
        <w:rPr>
          <w:rFonts w:ascii="Arial" w:hAnsi="Arial" w:cs="Arial"/>
          <w:sz w:val="20"/>
          <w:szCs w:val="20"/>
        </w:rPr>
        <w:t>for steam</w:t>
      </w:r>
      <w:r w:rsidRPr="00B20EAE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C27587">
        <w:rPr>
          <w:rFonts w:ascii="Arial" w:hAnsi="Arial" w:cs="Arial"/>
          <w:b/>
          <w:sz w:val="20"/>
          <w:szCs w:val="20"/>
        </w:rPr>
        <w:t xml:space="preserve">Table </w:t>
      </w:r>
      <w:r>
        <w:rPr>
          <w:rFonts w:ascii="Arial" w:hAnsi="Arial" w:cs="Arial"/>
          <w:b/>
          <w:sz w:val="20"/>
          <w:szCs w:val="20"/>
        </w:rPr>
        <w:t>3</w:t>
      </w:r>
      <w:r w:rsidRPr="00C27587">
        <w:rPr>
          <w:rFonts w:ascii="Arial" w:hAnsi="Arial" w:cs="Arial"/>
          <w:b/>
          <w:sz w:val="20"/>
          <w:szCs w:val="20"/>
        </w:rPr>
        <w:t>c</w:t>
      </w:r>
      <w:r w:rsidRPr="00B20EAE">
        <w:rPr>
          <w:rFonts w:ascii="Arial" w:hAnsi="Arial" w:cs="Arial"/>
          <w:sz w:val="20"/>
          <w:szCs w:val="20"/>
        </w:rPr>
        <w:t xml:space="preserve"> shows that the annual expense for uti</w:t>
      </w:r>
      <w:r>
        <w:rPr>
          <w:rFonts w:ascii="Arial" w:hAnsi="Arial" w:cs="Arial"/>
          <w:sz w:val="20"/>
          <w:szCs w:val="20"/>
        </w:rPr>
        <w:t>lities is around $1.7 million</w:t>
      </w:r>
      <w:r w:rsidRPr="00B20EAE">
        <w:rPr>
          <w:rFonts w:ascii="Arial" w:hAnsi="Arial" w:cs="Arial"/>
          <w:sz w:val="20"/>
          <w:szCs w:val="20"/>
        </w:rPr>
        <w:t>.</w:t>
      </w:r>
      <w:proofErr w:type="gramEnd"/>
    </w:p>
    <w:tbl>
      <w:tblPr>
        <w:tblW w:w="83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3118"/>
        <w:gridCol w:w="1701"/>
        <w:gridCol w:w="1418"/>
      </w:tblGrid>
      <w:tr w:rsidR="004C6D2F" w:rsidTr="000D1C0C">
        <w:trPr>
          <w:cantSplit/>
          <w:trHeight w:hRule="exact" w:val="704"/>
        </w:trPr>
        <w:tc>
          <w:tcPr>
            <w:tcW w:w="8364" w:type="dxa"/>
            <w:gridSpan w:val="5"/>
            <w:tcBorders>
              <w:top w:val="nil"/>
              <w:left w:val="nil"/>
              <w:bottom w:val="single" w:sz="5" w:space="0" w:color="FFFFFF"/>
              <w:right w:val="nil"/>
            </w:tcBorders>
          </w:tcPr>
          <w:p w:rsidR="004C6D2F" w:rsidRDefault="004C6D2F" w:rsidP="00D7490B">
            <w:pPr>
              <w:keepNext/>
              <w:autoSpaceDE w:val="0"/>
              <w:autoSpaceDN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lastRenderedPageBreak/>
              <w:t>1. MAJOR EQUIPMENT SPECIFICATION AND FOB COST (2016 prices)</w:t>
            </w:r>
            <w:r w:rsidR="000D1C0C"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 xml:space="preserve"> (Table 2 in EER)</w:t>
            </w:r>
          </w:p>
        </w:tc>
      </w:tr>
      <w:tr w:rsidR="004C6D2F" w:rsidTr="000D1C0C">
        <w:trPr>
          <w:cantSplit/>
          <w:trHeight w:hRule="exact" w:val="805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4C6D2F" w:rsidRDefault="004C6D2F" w:rsidP="00D7490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Quantity/</w:t>
            </w:r>
          </w:p>
          <w:p w:rsidR="004C6D2F" w:rsidRDefault="004C6D2F" w:rsidP="00D7490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Standby/</w:t>
            </w:r>
          </w:p>
          <w:p w:rsidR="004C6D2F" w:rsidRDefault="004C6D2F" w:rsidP="00D7490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Staggered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4C6D2F" w:rsidRDefault="004C6D2F" w:rsidP="00D7490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4C6D2F" w:rsidRDefault="004C6D2F" w:rsidP="00D7490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4C6D2F" w:rsidRDefault="004C6D2F" w:rsidP="00D7490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Unit Cost ($)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4C6D2F" w:rsidRDefault="004C6D2F" w:rsidP="00D7490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Cost ($)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1 / 0 /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R-101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Stirred Reactor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792EC5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1,540</w:t>
            </w:r>
            <w:r w:rsidR="004C6D2F" w:rsidRPr="004C6D2F">
              <w:rPr>
                <w:rFonts w:ascii="Arial" w:hAnsi="Arial" w:cs="Arial"/>
                <w:sz w:val="20"/>
                <w:szCs w:val="20"/>
                <w:lang w:val="el-GR"/>
              </w:rPr>
              <w:t>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1,5</w:t>
            </w:r>
            <w:r w:rsidR="00792EC5">
              <w:rPr>
                <w:rFonts w:ascii="Arial" w:hAnsi="Arial" w:cs="Arial"/>
                <w:sz w:val="20"/>
                <w:szCs w:val="20"/>
                <w:lang w:val="el-GR"/>
              </w:rPr>
              <w:t>40</w:t>
            </w: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,000</w:t>
            </w:r>
          </w:p>
        </w:tc>
      </w:tr>
      <w:tr w:rsidR="004C6D2F" w:rsidTr="000D1C0C">
        <w:trPr>
          <w:cantSplit/>
          <w:trHeight w:hRule="exact" w:val="241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Vessel Volume = 28.</w:t>
            </w:r>
            <w:r w:rsidR="00792EC5">
              <w:rPr>
                <w:rFonts w:ascii="Arial" w:hAnsi="Arial" w:cs="Arial"/>
                <w:sz w:val="20"/>
                <w:szCs w:val="20"/>
                <w:lang w:val="el-GR"/>
              </w:rPr>
              <w:t>80</w:t>
            </w:r>
            <w:r w:rsidRPr="00792EC5">
              <w:rPr>
                <w:rFonts w:ascii="Arial" w:hAnsi="Arial" w:cs="Arial"/>
                <w:sz w:val="20"/>
                <w:szCs w:val="20"/>
              </w:rPr>
              <w:t xml:space="preserve"> m3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1 / 0 /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V-101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Receiver Tank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E73F6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  <w:r w:rsidR="004C6D2F" w:rsidRPr="00792EC5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E73F6F" w:rsidP="00E73F6F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4C6D2F" w:rsidRPr="00792EC5">
              <w:rPr>
                <w:rFonts w:ascii="Arial" w:hAnsi="Arial" w:cs="Arial"/>
                <w:sz w:val="20"/>
                <w:szCs w:val="20"/>
              </w:rPr>
              <w:t>6,000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Vessel Volume = 34.09 m3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1 / 0 /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V-102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Receiver Tank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71,000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71,000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proofErr w:type="spellStart"/>
            <w:r w:rsidRPr="00792EC5">
              <w:rPr>
                <w:rFonts w:ascii="Arial" w:hAnsi="Arial" w:cs="Arial"/>
                <w:sz w:val="20"/>
                <w:szCs w:val="20"/>
              </w:rPr>
              <w:t>Ves</w:t>
            </w:r>
            <w:proofErr w:type="spellEnd"/>
            <w:r w:rsidR="00792EC5">
              <w:rPr>
                <w:rFonts w:ascii="Arial" w:hAnsi="Arial" w:cs="Arial"/>
                <w:sz w:val="20"/>
                <w:szCs w:val="20"/>
                <w:lang w:val="el-GR"/>
              </w:rPr>
              <w:t>sel Volume = 40.75</w:t>
            </w: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 xml:space="preserve"> m3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1 / 0 /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HX-101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Heat Exchanger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34,000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34,000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792EC5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Heat Exchange Area = 12.44</w:t>
            </w:r>
            <w:r w:rsidR="004C6D2F" w:rsidRPr="004C6D2F">
              <w:rPr>
                <w:rFonts w:ascii="Arial" w:hAnsi="Arial" w:cs="Arial"/>
                <w:sz w:val="20"/>
                <w:szCs w:val="20"/>
                <w:lang w:val="el-GR"/>
              </w:rPr>
              <w:t xml:space="preserve"> m2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1 / 0 / 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INX-101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INX Column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60,000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120,000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792EC5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Column Volume = 605.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96</w:t>
            </w:r>
            <w:r w:rsidR="004C6D2F" w:rsidRPr="00792EC5"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1 / 0 /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V-103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Receiver Tank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72,000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72,000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Vessel Volume = 416</w:t>
            </w:r>
            <w:r w:rsidR="00792EC5">
              <w:rPr>
                <w:rFonts w:ascii="Arial" w:hAnsi="Arial" w:cs="Arial"/>
                <w:sz w:val="20"/>
                <w:szCs w:val="20"/>
                <w:lang w:val="el-GR"/>
              </w:rPr>
              <w:t>15</w:t>
            </w:r>
            <w:r w:rsidRPr="00792EC5">
              <w:rPr>
                <w:rFonts w:ascii="Arial" w:hAnsi="Arial" w:cs="Arial"/>
                <w:sz w:val="20"/>
                <w:szCs w:val="20"/>
              </w:rPr>
              <w:t>.</w:t>
            </w:r>
            <w:r w:rsidR="00792EC5">
              <w:rPr>
                <w:rFonts w:ascii="Arial" w:hAnsi="Arial" w:cs="Arial"/>
                <w:sz w:val="20"/>
                <w:szCs w:val="20"/>
                <w:lang w:val="el-GR"/>
              </w:rPr>
              <w:t>48</w:t>
            </w:r>
            <w:r w:rsidRPr="00792EC5"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1 / 0 /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HX-103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Heat Exchanger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8,000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8,000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Heat Exchange Area = 0.1</w:t>
            </w:r>
            <w:r w:rsidR="00792EC5">
              <w:rPr>
                <w:rFonts w:ascii="Arial" w:hAnsi="Arial" w:cs="Arial"/>
                <w:sz w:val="20"/>
                <w:szCs w:val="20"/>
                <w:lang w:val="el-GR"/>
              </w:rPr>
              <w:t>9</w:t>
            </w: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 xml:space="preserve"> m2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4C6D2F" w:rsidTr="000D1C0C">
        <w:trPr>
          <w:cantSplit/>
          <w:trHeight w:hRule="exact" w:val="241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1 / 0 / 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GAC-101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GAC Column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86,000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172,000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792EC5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Column Volume = 1250</w:t>
            </w:r>
            <w:r w:rsidR="004C6D2F" w:rsidRPr="004C6D2F">
              <w:rPr>
                <w:rFonts w:ascii="Arial" w:hAnsi="Arial" w:cs="Arial"/>
                <w:sz w:val="20"/>
                <w:szCs w:val="20"/>
                <w:lang w:val="el-GR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35</w:t>
            </w:r>
            <w:r w:rsidR="004C6D2F" w:rsidRPr="004C6D2F">
              <w:rPr>
                <w:rFonts w:ascii="Arial" w:hAnsi="Arial" w:cs="Arial"/>
                <w:sz w:val="20"/>
                <w:szCs w:val="20"/>
                <w:lang w:val="el-GR"/>
              </w:rPr>
              <w:t xml:space="preserve"> 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1 / 0 /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V-104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Receiver Tank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47,000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47,000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792EC5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Vessel Volume = 20828.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39</w:t>
            </w:r>
            <w:r w:rsidR="004C6D2F" w:rsidRPr="00792EC5"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1 / 0 /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EV-101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340,000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340,000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FC65A3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C65A3">
              <w:rPr>
                <w:rFonts w:ascii="Arial" w:hAnsi="Arial" w:cs="Arial"/>
                <w:sz w:val="20"/>
                <w:szCs w:val="20"/>
              </w:rPr>
              <w:t>Mean Heat Transfer Area = 5.15 m2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FC65A3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FC65A3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1 / 0 /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HX-102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Heat Exchanger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792EC5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8,000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792EC5">
              <w:rPr>
                <w:rFonts w:ascii="Arial" w:hAnsi="Arial" w:cs="Arial"/>
                <w:sz w:val="20"/>
                <w:szCs w:val="20"/>
              </w:rPr>
              <w:t>8,</w:t>
            </w: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Heat Exchange Area = 0.71 m2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1 / 0 /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SDR-101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Spray Dryer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1,21</w:t>
            </w:r>
            <w:r w:rsidR="0080234C">
              <w:rPr>
                <w:rFonts w:ascii="Arial" w:hAnsi="Arial" w:cs="Arial"/>
                <w:sz w:val="20"/>
                <w:szCs w:val="20"/>
                <w:lang w:val="el-GR"/>
              </w:rPr>
              <w:t>2</w:t>
            </w: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1,21</w:t>
            </w:r>
            <w:r w:rsidR="0080234C">
              <w:rPr>
                <w:rFonts w:ascii="Arial" w:hAnsi="Arial" w:cs="Arial"/>
                <w:sz w:val="20"/>
                <w:szCs w:val="20"/>
                <w:lang w:val="el-GR"/>
              </w:rPr>
              <w:t>2</w:t>
            </w: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,000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Dryer Volume = 127.46 m3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1 / 0 /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HX-104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Heat Exchanger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31,000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31,000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Heat Exchange Area = 10.6</w:t>
            </w:r>
            <w:r w:rsidR="00792EC5">
              <w:rPr>
                <w:rFonts w:ascii="Arial" w:hAnsi="Arial" w:cs="Arial"/>
                <w:sz w:val="20"/>
                <w:szCs w:val="20"/>
                <w:lang w:val="el-GR"/>
              </w:rPr>
              <w:t>4</w:t>
            </w: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 xml:space="preserve"> m2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80234C" w:rsidTr="000D1C0C">
        <w:trPr>
          <w:cantSplit/>
          <w:trHeight w:hRule="exact" w:val="241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80234C" w:rsidRPr="0080234C" w:rsidRDefault="0080234C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0234C">
              <w:rPr>
                <w:rFonts w:ascii="Arial" w:hAnsi="Arial" w:cs="Arial"/>
                <w:sz w:val="20"/>
                <w:szCs w:val="20"/>
                <w:lang w:val="el-GR"/>
              </w:rPr>
              <w:t>1 / 0 /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80234C" w:rsidRPr="0080234C" w:rsidRDefault="0080234C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0234C">
              <w:rPr>
                <w:rFonts w:ascii="Arial" w:hAnsi="Arial" w:cs="Arial"/>
                <w:sz w:val="20"/>
                <w:szCs w:val="20"/>
                <w:lang w:val="el-GR"/>
              </w:rPr>
              <w:t>PM-101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80234C" w:rsidRPr="0080234C" w:rsidRDefault="0080234C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0234C">
              <w:rPr>
                <w:rFonts w:ascii="Arial" w:hAnsi="Arial" w:cs="Arial"/>
                <w:sz w:val="20"/>
                <w:szCs w:val="20"/>
                <w:lang w:val="el-GR"/>
              </w:rPr>
              <w:t>Centrifugal Pump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80234C" w:rsidRPr="0080234C" w:rsidRDefault="0080234C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0234C">
              <w:rPr>
                <w:rFonts w:ascii="Arial" w:hAnsi="Arial" w:cs="Arial"/>
                <w:sz w:val="20"/>
                <w:szCs w:val="20"/>
                <w:lang w:val="el-GR"/>
              </w:rPr>
              <w:t>9,000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80234C" w:rsidRPr="0080234C" w:rsidRDefault="0080234C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0234C">
              <w:rPr>
                <w:rFonts w:ascii="Arial" w:hAnsi="Arial" w:cs="Arial"/>
                <w:sz w:val="20"/>
                <w:szCs w:val="20"/>
                <w:lang w:val="el-GR"/>
              </w:rPr>
              <w:t>9,000</w:t>
            </w:r>
          </w:p>
        </w:tc>
      </w:tr>
      <w:tr w:rsidR="0080234C" w:rsidTr="000D1C0C">
        <w:trPr>
          <w:cantSplit/>
          <w:trHeight w:hRule="exact" w:val="241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80234C" w:rsidRPr="0080234C" w:rsidRDefault="0080234C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80234C" w:rsidRPr="0080234C" w:rsidRDefault="0080234C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80234C" w:rsidRPr="0080234C" w:rsidRDefault="0080234C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0234C">
              <w:rPr>
                <w:rFonts w:ascii="Arial" w:hAnsi="Arial" w:cs="Arial"/>
                <w:sz w:val="20"/>
                <w:szCs w:val="20"/>
                <w:lang w:val="el-GR"/>
              </w:rPr>
              <w:t>Pump Power = 0.05 kW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80234C" w:rsidRPr="0080234C" w:rsidRDefault="0080234C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80234C" w:rsidRPr="0080234C" w:rsidRDefault="0080234C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4C6D2F" w:rsidTr="000D1C0C">
        <w:trPr>
          <w:cantSplit/>
          <w:trHeight w:hRule="exact" w:val="241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Unlisted Equipment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113508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93</w:t>
            </w:r>
            <w:r w:rsidR="00113508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,000</w:t>
            </w:r>
          </w:p>
        </w:tc>
      </w:tr>
      <w:tr w:rsidR="004C6D2F" w:rsidTr="000D1C0C">
        <w:trPr>
          <w:cantSplit/>
          <w:trHeight w:hRule="exact" w:val="242"/>
        </w:trPr>
        <w:tc>
          <w:tcPr>
            <w:tcW w:w="113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4C6D2F" w:rsidRPr="004C6D2F" w:rsidRDefault="004C6D2F" w:rsidP="00D7490B">
            <w:pPr>
              <w:keepNext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4,6</w:t>
            </w:r>
            <w:r w:rsidR="00113508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  <w:r w:rsidRPr="004C6D2F">
              <w:rPr>
                <w:rFonts w:ascii="Arial" w:hAnsi="Arial" w:cs="Arial"/>
                <w:sz w:val="20"/>
                <w:szCs w:val="20"/>
                <w:lang w:val="el-GR"/>
              </w:rPr>
              <w:t>9,000</w:t>
            </w:r>
          </w:p>
        </w:tc>
      </w:tr>
    </w:tbl>
    <w:p w:rsidR="004C6D2F" w:rsidRDefault="004C6D2F" w:rsidP="00FF2AF2">
      <w:pPr>
        <w:keepNext/>
        <w:keepLines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D7490B" w:rsidRDefault="00D7490B" w:rsidP="00FF2AF2">
      <w:pPr>
        <w:keepNext/>
        <w:keepLines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D7490B" w:rsidRDefault="00D7490B" w:rsidP="00FF2AF2">
      <w:pPr>
        <w:keepNext/>
        <w:keepLines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D7490B" w:rsidRDefault="00D7490B" w:rsidP="00FF2AF2">
      <w:pPr>
        <w:keepNext/>
        <w:keepLines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D7490B" w:rsidRDefault="00D7490B" w:rsidP="00FF2AF2">
      <w:pPr>
        <w:keepNext/>
        <w:keepLines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D7490B" w:rsidRDefault="00D7490B" w:rsidP="00FF2AF2">
      <w:pPr>
        <w:keepNext/>
        <w:keepLines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D7490B" w:rsidRDefault="00D7490B" w:rsidP="00FF2AF2">
      <w:pPr>
        <w:keepNext/>
        <w:keepLines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D7490B" w:rsidRDefault="00D7490B" w:rsidP="00FF2AF2">
      <w:pPr>
        <w:keepNext/>
        <w:keepLines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4422DB" w:rsidRDefault="004422DB" w:rsidP="00FF2AF2">
      <w:pPr>
        <w:keepNext/>
        <w:keepLines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D7490B" w:rsidRDefault="00D7490B" w:rsidP="00FF2AF2">
      <w:pPr>
        <w:keepNext/>
        <w:keepLines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D7490B" w:rsidRDefault="00D7490B" w:rsidP="00FF2AF2">
      <w:pPr>
        <w:keepNext/>
        <w:keepLines/>
        <w:spacing w:before="0" w:after="0"/>
        <w:jc w:val="left"/>
        <w:rPr>
          <w:rFonts w:ascii="Arial" w:hAnsi="Arial" w:cs="Arial"/>
          <w:sz w:val="20"/>
          <w:szCs w:val="20"/>
        </w:rPr>
      </w:pPr>
    </w:p>
    <w:tbl>
      <w:tblPr>
        <w:tblW w:w="83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283"/>
        <w:gridCol w:w="2694"/>
      </w:tblGrid>
      <w:tr w:rsidR="000D1C0C" w:rsidTr="000D1C0C">
        <w:trPr>
          <w:cantSplit/>
          <w:trHeight w:hRule="exact" w:val="704"/>
        </w:trPr>
        <w:tc>
          <w:tcPr>
            <w:tcW w:w="8364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</w:tcPr>
          <w:p w:rsidR="000D1C0C" w:rsidRDefault="000D1C0C" w:rsidP="004422DB">
            <w:pPr>
              <w:keepNext/>
              <w:keepLines/>
              <w:autoSpaceDE w:val="0"/>
              <w:autoSpaceDN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lastRenderedPageBreak/>
              <w:t>2. FIXED CAPITAL ESTIMATE SUMMARY (2016 prices in $) (Table 3 in EER)</w:t>
            </w:r>
          </w:p>
        </w:tc>
      </w:tr>
      <w:tr w:rsidR="000D1C0C" w:rsidTr="000D1C0C">
        <w:trPr>
          <w:cantSplit/>
          <w:trHeight w:hRule="exact" w:val="278"/>
        </w:trPr>
        <w:tc>
          <w:tcPr>
            <w:tcW w:w="8364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D4D4D4" w:fill="D4D4D4"/>
            <w:vAlign w:val="center"/>
          </w:tcPr>
          <w:p w:rsidR="000D1C0C" w:rsidRDefault="000D1C0C" w:rsidP="004422DB">
            <w:pPr>
              <w:keepNext/>
              <w:keepLines/>
              <w:spacing w:before="0" w:after="0"/>
              <w:jc w:val="left"/>
              <w:rPr>
                <w:rFonts w:ascii="Arial" w:hAnsi="Arial" w:cs="Arial"/>
                <w:b/>
                <w:bCs/>
                <w:color w:val="000094"/>
              </w:rPr>
            </w:pPr>
            <w:r>
              <w:rPr>
                <w:rFonts w:ascii="Arial" w:eastAsiaTheme="minorEastAsia" w:hAnsi="Arial" w:cs="Arial"/>
                <w:b/>
                <w:bCs/>
                <w:color w:val="000094"/>
                <w:szCs w:val="22"/>
                <w:lang w:val="en-GB" w:eastAsia="el-GR"/>
              </w:rPr>
              <w:t>2</w:t>
            </w:r>
            <w:r w:rsidRPr="000D1C0C">
              <w:rPr>
                <w:rFonts w:ascii="Arial" w:eastAsiaTheme="minorEastAsia" w:hAnsi="Arial" w:cs="Arial"/>
                <w:b/>
                <w:bCs/>
                <w:color w:val="000094"/>
                <w:szCs w:val="22"/>
                <w:lang w:val="en-GB" w:eastAsia="el-GR"/>
              </w:rPr>
              <w:t>A. Total Plant Direct Cost (TPDC) (physical cost)</w:t>
            </w:r>
          </w:p>
        </w:tc>
      </w:tr>
      <w:tr w:rsidR="00113508" w:rsidRPr="000D1C0C" w:rsidTr="000D1C0C">
        <w:trPr>
          <w:cantSplit/>
          <w:trHeight w:hRule="exact" w:val="242"/>
        </w:trPr>
        <w:tc>
          <w:tcPr>
            <w:tcW w:w="538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1. Equipment Purchase Cost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4,649,000</w:t>
            </w:r>
          </w:p>
        </w:tc>
      </w:tr>
      <w:tr w:rsidR="00113508" w:rsidRPr="000D1C0C" w:rsidTr="000D1C0C">
        <w:trPr>
          <w:cantSplit/>
          <w:trHeight w:hRule="exact" w:val="241"/>
        </w:trPr>
        <w:tc>
          <w:tcPr>
            <w:tcW w:w="538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2. Installation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1,909,000</w:t>
            </w:r>
          </w:p>
        </w:tc>
      </w:tr>
      <w:tr w:rsidR="00113508" w:rsidRPr="000D1C0C" w:rsidTr="000D1C0C">
        <w:trPr>
          <w:cantSplit/>
          <w:trHeight w:hRule="exact" w:val="242"/>
        </w:trPr>
        <w:tc>
          <w:tcPr>
            <w:tcW w:w="538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3. Process Piping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1,627,000</w:t>
            </w:r>
          </w:p>
        </w:tc>
      </w:tr>
      <w:tr w:rsidR="00113508" w:rsidRPr="000D1C0C" w:rsidTr="000D1C0C">
        <w:trPr>
          <w:cantSplit/>
          <w:trHeight w:hRule="exact" w:val="242"/>
        </w:trPr>
        <w:tc>
          <w:tcPr>
            <w:tcW w:w="538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4. Instrumentation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1,860,000</w:t>
            </w:r>
          </w:p>
        </w:tc>
      </w:tr>
      <w:tr w:rsidR="00113508" w:rsidRPr="000D1C0C" w:rsidTr="000D1C0C">
        <w:trPr>
          <w:cantSplit/>
          <w:trHeight w:hRule="exact" w:val="242"/>
        </w:trPr>
        <w:tc>
          <w:tcPr>
            <w:tcW w:w="538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5. Insulation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139,000</w:t>
            </w:r>
          </w:p>
        </w:tc>
      </w:tr>
      <w:tr w:rsidR="00113508" w:rsidRPr="000D1C0C" w:rsidTr="000D1C0C">
        <w:trPr>
          <w:cantSplit/>
          <w:trHeight w:hRule="exact" w:val="242"/>
        </w:trPr>
        <w:tc>
          <w:tcPr>
            <w:tcW w:w="538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6. Electrical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465,000</w:t>
            </w:r>
          </w:p>
        </w:tc>
      </w:tr>
      <w:tr w:rsidR="00113508" w:rsidRPr="000D1C0C" w:rsidTr="000D1C0C">
        <w:trPr>
          <w:cantSplit/>
          <w:trHeight w:hRule="exact" w:val="242"/>
        </w:trPr>
        <w:tc>
          <w:tcPr>
            <w:tcW w:w="538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7. Buildings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2,092,000</w:t>
            </w:r>
          </w:p>
        </w:tc>
      </w:tr>
      <w:tr w:rsidR="00113508" w:rsidRPr="000D1C0C" w:rsidTr="000D1C0C">
        <w:trPr>
          <w:cantSplit/>
          <w:trHeight w:hRule="exact" w:val="242"/>
        </w:trPr>
        <w:tc>
          <w:tcPr>
            <w:tcW w:w="538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8. Yard Improvement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697,000</w:t>
            </w:r>
          </w:p>
        </w:tc>
      </w:tr>
      <w:tr w:rsidR="00113508" w:rsidRPr="000D1C0C" w:rsidTr="000D1C0C">
        <w:trPr>
          <w:cantSplit/>
          <w:trHeight w:hRule="exact" w:val="242"/>
        </w:trPr>
        <w:tc>
          <w:tcPr>
            <w:tcW w:w="538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9. Auxiliary Facilities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1,860,000</w:t>
            </w:r>
          </w:p>
        </w:tc>
      </w:tr>
      <w:tr w:rsidR="00113508" w:rsidRPr="000D1C0C" w:rsidTr="000D1C0C">
        <w:trPr>
          <w:cantSplit/>
          <w:trHeight w:hRule="exact" w:val="242"/>
        </w:trPr>
        <w:tc>
          <w:tcPr>
            <w:tcW w:w="538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TPDC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15,297,000</w:t>
            </w:r>
          </w:p>
        </w:tc>
      </w:tr>
      <w:tr w:rsidR="000D1C0C" w:rsidTr="000D1C0C">
        <w:trPr>
          <w:cantSplit/>
          <w:trHeight w:hRule="exact" w:val="296"/>
        </w:trPr>
        <w:tc>
          <w:tcPr>
            <w:tcW w:w="8364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vAlign w:val="center"/>
          </w:tcPr>
          <w:p w:rsidR="000D1C0C" w:rsidRDefault="000D1C0C" w:rsidP="004422DB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0D1C0C" w:rsidTr="000D1C0C">
        <w:trPr>
          <w:cantSplit/>
          <w:trHeight w:hRule="exact" w:val="278"/>
        </w:trPr>
        <w:tc>
          <w:tcPr>
            <w:tcW w:w="8364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D4D4D4" w:fill="D4D4D4"/>
            <w:vAlign w:val="center"/>
          </w:tcPr>
          <w:p w:rsidR="000D1C0C" w:rsidRDefault="000D1C0C" w:rsidP="004422DB">
            <w:pPr>
              <w:keepNext/>
              <w:keepLines/>
              <w:spacing w:before="0" w:after="0"/>
              <w:jc w:val="left"/>
              <w:rPr>
                <w:rFonts w:ascii="Arial" w:hAnsi="Arial" w:cs="Arial"/>
                <w:b/>
                <w:bCs/>
                <w:color w:val="000094"/>
              </w:rPr>
            </w:pPr>
            <w:r>
              <w:rPr>
                <w:rFonts w:ascii="Arial" w:eastAsiaTheme="minorEastAsia" w:hAnsi="Arial" w:cs="Arial"/>
                <w:b/>
                <w:bCs/>
                <w:color w:val="000094"/>
                <w:szCs w:val="22"/>
                <w:lang w:val="en-GB" w:eastAsia="el-GR"/>
              </w:rPr>
              <w:t>2</w:t>
            </w:r>
            <w:r w:rsidRPr="000D1C0C">
              <w:rPr>
                <w:rFonts w:ascii="Arial" w:eastAsiaTheme="minorEastAsia" w:hAnsi="Arial" w:cs="Arial"/>
                <w:b/>
                <w:bCs/>
                <w:color w:val="000094"/>
                <w:szCs w:val="22"/>
                <w:lang w:val="en-GB" w:eastAsia="el-GR"/>
              </w:rPr>
              <w:t>B. Total Plant Indirect Cost (TPIC)</w:t>
            </w:r>
          </w:p>
        </w:tc>
      </w:tr>
      <w:tr w:rsidR="00113508" w:rsidTr="000D1C0C">
        <w:trPr>
          <w:cantSplit/>
          <w:trHeight w:hRule="exact" w:val="242"/>
        </w:trPr>
        <w:tc>
          <w:tcPr>
            <w:tcW w:w="5670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10. Engineering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3,824,000</w:t>
            </w:r>
          </w:p>
        </w:tc>
      </w:tr>
      <w:tr w:rsidR="00113508" w:rsidTr="000D1C0C">
        <w:trPr>
          <w:cantSplit/>
          <w:trHeight w:hRule="exact" w:val="242"/>
        </w:trPr>
        <w:tc>
          <w:tcPr>
            <w:tcW w:w="5670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11. Construction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5,354,000</w:t>
            </w:r>
          </w:p>
        </w:tc>
      </w:tr>
      <w:tr w:rsidR="00113508" w:rsidTr="000D1C0C">
        <w:trPr>
          <w:cantSplit/>
          <w:trHeight w:hRule="exact" w:val="242"/>
        </w:trPr>
        <w:tc>
          <w:tcPr>
            <w:tcW w:w="5670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TPIC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9,178,000</w:t>
            </w:r>
          </w:p>
        </w:tc>
      </w:tr>
      <w:tr w:rsidR="000D1C0C" w:rsidTr="000D1C0C">
        <w:trPr>
          <w:cantSplit/>
          <w:trHeight w:hRule="exact" w:val="297"/>
        </w:trPr>
        <w:tc>
          <w:tcPr>
            <w:tcW w:w="8364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vAlign w:val="center"/>
          </w:tcPr>
          <w:p w:rsidR="000D1C0C" w:rsidRDefault="000D1C0C" w:rsidP="004422DB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0D1C0C" w:rsidTr="000D1C0C">
        <w:trPr>
          <w:cantSplit/>
          <w:trHeight w:hRule="exact" w:val="278"/>
        </w:trPr>
        <w:tc>
          <w:tcPr>
            <w:tcW w:w="8364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D4D4D4" w:fill="D4D4D4"/>
            <w:vAlign w:val="center"/>
          </w:tcPr>
          <w:p w:rsidR="000D1C0C" w:rsidRDefault="000D1C0C" w:rsidP="004422DB">
            <w:pPr>
              <w:keepNext/>
              <w:keepLines/>
              <w:spacing w:before="0" w:after="0"/>
              <w:jc w:val="left"/>
              <w:rPr>
                <w:rFonts w:ascii="Arial" w:hAnsi="Arial" w:cs="Arial"/>
                <w:b/>
                <w:bCs/>
                <w:color w:val="000094"/>
              </w:rPr>
            </w:pPr>
            <w:r>
              <w:rPr>
                <w:rFonts w:ascii="Arial" w:eastAsiaTheme="minorEastAsia" w:hAnsi="Arial" w:cs="Arial"/>
                <w:b/>
                <w:bCs/>
                <w:color w:val="000094"/>
                <w:szCs w:val="22"/>
                <w:lang w:val="en-GB" w:eastAsia="el-GR"/>
              </w:rPr>
              <w:t>2</w:t>
            </w:r>
            <w:r w:rsidRPr="000D1C0C">
              <w:rPr>
                <w:rFonts w:ascii="Arial" w:eastAsiaTheme="minorEastAsia" w:hAnsi="Arial" w:cs="Arial"/>
                <w:b/>
                <w:bCs/>
                <w:color w:val="000094"/>
                <w:szCs w:val="22"/>
                <w:lang w:val="en-GB" w:eastAsia="el-GR"/>
              </w:rPr>
              <w:t>C. Total Plant Cost (TPC = TPDC+TPIC)</w:t>
            </w:r>
          </w:p>
        </w:tc>
      </w:tr>
      <w:tr w:rsidR="000D1C0C" w:rsidRPr="000D1C0C" w:rsidTr="000D1C0C">
        <w:trPr>
          <w:cantSplit/>
          <w:trHeight w:hRule="exact" w:val="242"/>
        </w:trPr>
        <w:tc>
          <w:tcPr>
            <w:tcW w:w="5670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0D1C0C" w:rsidRDefault="000D1C0C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color w:val="800000"/>
                <w:sz w:val="20"/>
                <w:szCs w:val="20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TPC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0D1C0C" w:rsidRPr="000D1C0C" w:rsidRDefault="000D1C0C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24,</w:t>
            </w:r>
            <w:r w:rsidR="00113508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  <w:r w:rsidR="0080234C">
              <w:rPr>
                <w:rFonts w:ascii="Arial" w:hAnsi="Arial" w:cs="Arial"/>
                <w:sz w:val="20"/>
                <w:szCs w:val="20"/>
                <w:lang w:val="el-GR"/>
              </w:rPr>
              <w:t>7</w:t>
            </w:r>
            <w:r w:rsidR="00113508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,000</w:t>
            </w:r>
          </w:p>
        </w:tc>
      </w:tr>
      <w:tr w:rsidR="000D1C0C" w:rsidTr="000D1C0C">
        <w:trPr>
          <w:cantSplit/>
          <w:trHeight w:hRule="exact" w:val="296"/>
        </w:trPr>
        <w:tc>
          <w:tcPr>
            <w:tcW w:w="8364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vAlign w:val="center"/>
          </w:tcPr>
          <w:p w:rsidR="000D1C0C" w:rsidRDefault="000D1C0C" w:rsidP="004422DB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0D1C0C" w:rsidTr="000D1C0C">
        <w:trPr>
          <w:cantSplit/>
          <w:trHeight w:hRule="exact" w:val="278"/>
        </w:trPr>
        <w:tc>
          <w:tcPr>
            <w:tcW w:w="8364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D4D4D4" w:fill="D4D4D4"/>
            <w:vAlign w:val="center"/>
          </w:tcPr>
          <w:p w:rsidR="000D1C0C" w:rsidRDefault="000D1C0C" w:rsidP="004422DB">
            <w:pPr>
              <w:keepNext/>
              <w:keepLines/>
              <w:spacing w:before="0" w:after="0"/>
              <w:jc w:val="left"/>
              <w:rPr>
                <w:rFonts w:ascii="Arial" w:hAnsi="Arial" w:cs="Arial"/>
                <w:b/>
                <w:bCs/>
                <w:color w:val="000094"/>
              </w:rPr>
            </w:pPr>
            <w:r>
              <w:rPr>
                <w:rFonts w:ascii="Arial" w:eastAsiaTheme="minorEastAsia" w:hAnsi="Arial" w:cs="Arial"/>
                <w:b/>
                <w:bCs/>
                <w:color w:val="000094"/>
                <w:szCs w:val="22"/>
                <w:lang w:val="en-GB" w:eastAsia="el-GR"/>
              </w:rPr>
              <w:t>2</w:t>
            </w:r>
            <w:r w:rsidRPr="000D1C0C">
              <w:rPr>
                <w:rFonts w:ascii="Arial" w:eastAsiaTheme="minorEastAsia" w:hAnsi="Arial" w:cs="Arial"/>
                <w:b/>
                <w:bCs/>
                <w:color w:val="000094"/>
                <w:szCs w:val="22"/>
                <w:lang w:val="en-GB" w:eastAsia="el-GR"/>
              </w:rPr>
              <w:t>D. Contractor's Fee &amp; Contingency (CFC)</w:t>
            </w:r>
          </w:p>
        </w:tc>
      </w:tr>
      <w:tr w:rsidR="00113508" w:rsidRPr="000D1C0C" w:rsidTr="000D1C0C">
        <w:trPr>
          <w:cantSplit/>
          <w:trHeight w:hRule="exact" w:val="242"/>
        </w:trPr>
        <w:tc>
          <w:tcPr>
            <w:tcW w:w="5670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12. Contractor's Fee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1,224,000</w:t>
            </w:r>
          </w:p>
        </w:tc>
      </w:tr>
      <w:tr w:rsidR="00113508" w:rsidRPr="000D1C0C" w:rsidTr="000D1C0C">
        <w:trPr>
          <w:cantSplit/>
          <w:trHeight w:hRule="exact" w:val="242"/>
        </w:trPr>
        <w:tc>
          <w:tcPr>
            <w:tcW w:w="5670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0D1C0C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13. Contingency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2,448,000</w:t>
            </w:r>
          </w:p>
        </w:tc>
      </w:tr>
      <w:tr w:rsidR="00113508" w:rsidRPr="000D1C0C" w:rsidTr="000D1C0C">
        <w:trPr>
          <w:cantSplit/>
          <w:trHeight w:hRule="exact" w:val="242"/>
        </w:trPr>
        <w:tc>
          <w:tcPr>
            <w:tcW w:w="5670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Default="00113508" w:rsidP="004422D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color w:val="800000"/>
                <w:sz w:val="20"/>
                <w:szCs w:val="20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CFC = 12+13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4422DB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3,671,000</w:t>
            </w:r>
          </w:p>
        </w:tc>
      </w:tr>
      <w:tr w:rsidR="000D1C0C" w:rsidTr="000D1C0C">
        <w:trPr>
          <w:cantSplit/>
          <w:trHeight w:hRule="exact" w:val="297"/>
        </w:trPr>
        <w:tc>
          <w:tcPr>
            <w:tcW w:w="8364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vAlign w:val="center"/>
          </w:tcPr>
          <w:p w:rsidR="000D1C0C" w:rsidRDefault="000D1C0C" w:rsidP="004422DB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0D1C0C" w:rsidTr="000D1C0C">
        <w:trPr>
          <w:cantSplit/>
          <w:trHeight w:hRule="exact" w:val="277"/>
        </w:trPr>
        <w:tc>
          <w:tcPr>
            <w:tcW w:w="8364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D4D4D4" w:fill="D4D4D4"/>
            <w:vAlign w:val="center"/>
          </w:tcPr>
          <w:p w:rsidR="000D1C0C" w:rsidRDefault="000D1C0C" w:rsidP="004422DB">
            <w:pPr>
              <w:keepNext/>
              <w:keepLines/>
              <w:spacing w:before="0" w:after="0"/>
              <w:jc w:val="left"/>
              <w:rPr>
                <w:rFonts w:ascii="Arial" w:hAnsi="Arial" w:cs="Arial"/>
                <w:b/>
                <w:bCs/>
                <w:color w:val="000094"/>
              </w:rPr>
            </w:pPr>
            <w:r>
              <w:rPr>
                <w:rFonts w:ascii="Arial" w:eastAsiaTheme="minorEastAsia" w:hAnsi="Arial" w:cs="Arial"/>
                <w:b/>
                <w:bCs/>
                <w:color w:val="000094"/>
                <w:szCs w:val="22"/>
                <w:lang w:val="en-GB" w:eastAsia="el-GR"/>
              </w:rPr>
              <w:t>2</w:t>
            </w:r>
            <w:r w:rsidRPr="000D1C0C">
              <w:rPr>
                <w:rFonts w:ascii="Arial" w:eastAsiaTheme="minorEastAsia" w:hAnsi="Arial" w:cs="Arial"/>
                <w:b/>
                <w:bCs/>
                <w:color w:val="000094"/>
                <w:szCs w:val="22"/>
                <w:lang w:val="en-GB" w:eastAsia="el-GR"/>
              </w:rPr>
              <w:t>E. Direct Fixed Capital Cost (DFC = TPC+CFC)</w:t>
            </w:r>
          </w:p>
        </w:tc>
      </w:tr>
      <w:tr w:rsidR="000D1C0C" w:rsidRPr="000D1C0C" w:rsidTr="000D1C0C">
        <w:trPr>
          <w:cantSplit/>
          <w:trHeight w:hRule="exact" w:val="242"/>
        </w:trPr>
        <w:tc>
          <w:tcPr>
            <w:tcW w:w="5670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0D1C0C" w:rsidRDefault="000D1C0C" w:rsidP="00D7490B">
            <w:pPr>
              <w:keepNext/>
              <w:keepLines/>
              <w:widowControl w:val="0"/>
              <w:spacing w:before="0" w:after="0"/>
              <w:jc w:val="left"/>
              <w:rPr>
                <w:rFonts w:ascii="Arial" w:hAnsi="Arial" w:cs="Arial"/>
                <w:color w:val="800000"/>
                <w:sz w:val="20"/>
                <w:szCs w:val="20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DFC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0D1C0C" w:rsidRPr="000D1C0C" w:rsidRDefault="000D1C0C" w:rsidP="00113508">
            <w:pPr>
              <w:keepNext/>
              <w:keepLines/>
              <w:widowControl w:val="0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28,</w:t>
            </w:r>
            <w:r w:rsidR="00113508">
              <w:rPr>
                <w:rFonts w:ascii="Arial" w:hAnsi="Arial" w:cs="Arial"/>
                <w:sz w:val="20"/>
                <w:szCs w:val="20"/>
                <w:lang w:val="en-GB"/>
              </w:rPr>
              <w:t>147</w:t>
            </w:r>
            <w:r w:rsidRPr="000D1C0C">
              <w:rPr>
                <w:rFonts w:ascii="Arial" w:hAnsi="Arial" w:cs="Arial"/>
                <w:sz w:val="20"/>
                <w:szCs w:val="20"/>
                <w:lang w:val="el-GR"/>
              </w:rPr>
              <w:t>,000</w:t>
            </w:r>
          </w:p>
        </w:tc>
      </w:tr>
    </w:tbl>
    <w:p w:rsidR="0051287D" w:rsidRPr="00BE31BD" w:rsidRDefault="0051287D" w:rsidP="00091109">
      <w:pPr>
        <w:widowControl w:val="0"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7A7ECE" w:rsidRDefault="007A7ECE" w:rsidP="00FD31BB">
      <w:pPr>
        <w:spacing w:before="0" w:after="0"/>
        <w:jc w:val="left"/>
        <w:rPr>
          <w:rFonts w:ascii="Arial" w:hAnsi="Arial" w:cs="Arial"/>
          <w:sz w:val="20"/>
          <w:szCs w:val="20"/>
        </w:rPr>
      </w:pPr>
    </w:p>
    <w:tbl>
      <w:tblPr>
        <w:tblW w:w="90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2"/>
        <w:gridCol w:w="141"/>
        <w:gridCol w:w="1134"/>
        <w:gridCol w:w="284"/>
        <w:gridCol w:w="1701"/>
        <w:gridCol w:w="283"/>
        <w:gridCol w:w="426"/>
        <w:gridCol w:w="1134"/>
        <w:gridCol w:w="1437"/>
        <w:gridCol w:w="992"/>
      </w:tblGrid>
      <w:tr w:rsidR="00B552C1" w:rsidTr="004C43A8">
        <w:trPr>
          <w:cantSplit/>
          <w:trHeight w:hRule="exact" w:val="704"/>
        </w:trPr>
        <w:tc>
          <w:tcPr>
            <w:tcW w:w="9092" w:type="dxa"/>
            <w:gridSpan w:val="11"/>
            <w:tcBorders>
              <w:top w:val="nil"/>
              <w:left w:val="nil"/>
              <w:bottom w:val="single" w:sz="5" w:space="0" w:color="FFFFFF"/>
              <w:right w:val="nil"/>
            </w:tcBorders>
          </w:tcPr>
          <w:p w:rsidR="00B552C1" w:rsidRDefault="000D1C0C" w:rsidP="00C2758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>3</w:t>
            </w:r>
            <w:r w:rsidR="00B552C1"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>a. MATERIALS COST - PROCESS SUMMARY</w:t>
            </w:r>
            <w:r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 xml:space="preserve"> (Table 5 in EER)</w:t>
            </w:r>
          </w:p>
        </w:tc>
      </w:tr>
      <w:tr w:rsidR="00B552C1" w:rsidTr="004C43A8">
        <w:trPr>
          <w:cantSplit/>
          <w:trHeight w:hRule="exact" w:val="541"/>
        </w:trPr>
        <w:tc>
          <w:tcPr>
            <w:tcW w:w="1560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B552C1" w:rsidRDefault="00B552C1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Bulk Material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B552C1" w:rsidRDefault="00B552C1" w:rsidP="001E3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Unit Cost</w:t>
            </w:r>
            <w:r w:rsidR="001E3592">
              <w:rPr>
                <w:rFonts w:ascii="Arial" w:hAnsi="Arial" w:cs="Arial"/>
                <w:b/>
                <w:bCs/>
                <w:color w:val="000000"/>
              </w:rPr>
              <w:t xml:space="preserve"> ($)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B552C1" w:rsidRDefault="00B552C1" w:rsidP="001E3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Annual</w:t>
            </w:r>
            <w:r w:rsidR="001E3592">
              <w:rPr>
                <w:rFonts w:ascii="Arial" w:hAnsi="Arial" w:cs="Arial"/>
                <w:b/>
                <w:bCs/>
                <w:color w:val="000000"/>
              </w:rPr>
              <w:t xml:space="preserve"> Amount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B552C1" w:rsidRDefault="00B552C1" w:rsidP="001E3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B552C1" w:rsidRDefault="007F075B" w:rsidP="001E3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Annual </w:t>
            </w:r>
            <w:r w:rsidR="00B552C1">
              <w:rPr>
                <w:rFonts w:ascii="Arial" w:hAnsi="Arial" w:cs="Arial"/>
                <w:b/>
                <w:bCs/>
                <w:color w:val="000000"/>
              </w:rPr>
              <w:t>Cost</w:t>
            </w:r>
            <w:r w:rsidR="001E3592">
              <w:rPr>
                <w:rFonts w:ascii="Arial" w:hAnsi="Arial" w:cs="Arial"/>
                <w:b/>
                <w:bCs/>
                <w:color w:val="000000"/>
              </w:rPr>
              <w:t xml:space="preserve"> ($)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B552C1" w:rsidRDefault="00B552C1" w:rsidP="001E3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%</w:t>
            </w:r>
          </w:p>
        </w:tc>
      </w:tr>
      <w:tr w:rsidR="00113508" w:rsidTr="004C43A8">
        <w:trPr>
          <w:cantSplit/>
          <w:trHeight w:hRule="exact" w:val="242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Air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0.00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52,185,678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kg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0.00</w:t>
            </w:r>
          </w:p>
        </w:tc>
      </w:tr>
      <w:tr w:rsidR="00113508" w:rsidTr="004C43A8">
        <w:trPr>
          <w:cantSplit/>
          <w:trHeight w:hRule="exact" w:val="242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DPn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0.40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79,330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kg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31,732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0.25</w:t>
            </w:r>
          </w:p>
        </w:tc>
      </w:tr>
      <w:tr w:rsidR="00113508" w:rsidTr="004C43A8">
        <w:trPr>
          <w:cantSplit/>
          <w:trHeight w:hRule="exact" w:val="242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Glucose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0.40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27,853,288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kg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11,141,315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89.50</w:t>
            </w:r>
          </w:p>
        </w:tc>
      </w:tr>
      <w:tr w:rsidR="00113508" w:rsidTr="004C43A8">
        <w:trPr>
          <w:cantSplit/>
          <w:trHeight w:hRule="exact" w:val="242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HCl (20% w/w)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0.03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279,067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kg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7,702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0.06</w:t>
            </w:r>
          </w:p>
        </w:tc>
      </w:tr>
      <w:tr w:rsidR="00113508" w:rsidTr="004C43A8">
        <w:trPr>
          <w:cantSplit/>
          <w:trHeight w:hRule="exact" w:val="242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Hydrogen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2.00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358,200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kg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716,400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5.75</w:t>
            </w:r>
          </w:p>
        </w:tc>
      </w:tr>
      <w:tr w:rsidR="00113508" w:rsidTr="004C43A8">
        <w:trPr>
          <w:cantSplit/>
          <w:trHeight w:hRule="exact" w:val="242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Maltose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0.40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693,290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kg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277,316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2.23</w:t>
            </w:r>
          </w:p>
        </w:tc>
      </w:tr>
      <w:tr w:rsidR="00113508" w:rsidTr="004C43A8">
        <w:trPr>
          <w:cantSplit/>
          <w:trHeight w:hRule="exact" w:val="242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Maltotriose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0.40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508,774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kg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203,510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1.63</w:t>
            </w:r>
          </w:p>
        </w:tc>
      </w:tr>
      <w:tr w:rsidR="00113508" w:rsidTr="004C43A8">
        <w:trPr>
          <w:cantSplit/>
          <w:trHeight w:hRule="exact" w:val="241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NaOH (20% w/w)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0.03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950,568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kg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26,236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0.21</w:t>
            </w:r>
          </w:p>
        </w:tc>
      </w:tr>
      <w:tr w:rsidR="00113508" w:rsidTr="004C43A8">
        <w:trPr>
          <w:cantSplit/>
          <w:trHeight w:hRule="exact" w:val="242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Nitrogen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0.00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854,466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kg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0.00</w:t>
            </w:r>
          </w:p>
        </w:tc>
      </w:tr>
      <w:tr w:rsidR="00113508" w:rsidTr="004C43A8">
        <w:trPr>
          <w:cantSplit/>
          <w:trHeight w:hRule="exact" w:val="242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Soluble Protein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0.40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3,488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kg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1,395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0.01</w:t>
            </w:r>
          </w:p>
        </w:tc>
      </w:tr>
      <w:tr w:rsidR="00113508" w:rsidTr="004C43A8">
        <w:trPr>
          <w:cantSplit/>
          <w:trHeight w:hRule="exact" w:val="242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Solubles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0.40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1,765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kg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706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0.01</w:t>
            </w:r>
          </w:p>
        </w:tc>
      </w:tr>
      <w:tr w:rsidR="00113508" w:rsidTr="004C43A8">
        <w:trPr>
          <w:cantSplit/>
          <w:trHeight w:hRule="exact" w:val="242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Water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2.00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21,260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MT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42,520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0.34</w:t>
            </w:r>
          </w:p>
        </w:tc>
      </w:tr>
      <w:tr w:rsidR="00113508" w:rsidTr="004C43A8">
        <w:trPr>
          <w:cantSplit/>
          <w:trHeight w:hRule="exact" w:val="242"/>
        </w:trPr>
        <w:tc>
          <w:tcPr>
            <w:tcW w:w="1701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l-GR"/>
              </w:rPr>
              <w:t>TOTAL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Default="00113508" w:rsidP="001E3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Default="00113508" w:rsidP="001E3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12,448,833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l-GR"/>
              </w:rPr>
              <w:t>100.00</w:t>
            </w:r>
          </w:p>
        </w:tc>
      </w:tr>
      <w:tr w:rsidR="00B552C1" w:rsidTr="004C43A8">
        <w:trPr>
          <w:cantSplit/>
          <w:trHeight w:hRule="exact" w:val="1152"/>
        </w:trPr>
        <w:tc>
          <w:tcPr>
            <w:tcW w:w="9092" w:type="dxa"/>
            <w:gridSpan w:val="11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FFFFF" w:fill="FFFFFF"/>
            <w:vAlign w:val="bottom"/>
          </w:tcPr>
          <w:p w:rsidR="00B552C1" w:rsidRDefault="00B552C1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08080"/>
                <w:sz w:val="20"/>
                <w:szCs w:val="20"/>
              </w:rPr>
            </w:pPr>
          </w:p>
        </w:tc>
      </w:tr>
      <w:tr w:rsidR="007F075B" w:rsidTr="004C43A8">
        <w:trPr>
          <w:gridAfter w:val="1"/>
          <w:wAfter w:w="992" w:type="dxa"/>
          <w:cantSplit/>
          <w:trHeight w:hRule="exact" w:val="704"/>
        </w:trPr>
        <w:tc>
          <w:tcPr>
            <w:tcW w:w="8100" w:type="dxa"/>
            <w:gridSpan w:val="10"/>
            <w:tcBorders>
              <w:top w:val="nil"/>
              <w:left w:val="nil"/>
              <w:bottom w:val="single" w:sz="5" w:space="0" w:color="FFFFFF"/>
              <w:right w:val="nil"/>
            </w:tcBorders>
          </w:tcPr>
          <w:p w:rsidR="007F075B" w:rsidRDefault="001E3592" w:rsidP="004C43A8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>3</w:t>
            </w:r>
            <w:r w:rsidR="007F075B"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>b. LABOR COST - PROCESS SUMMARY</w:t>
            </w:r>
            <w:r w:rsidR="004C43A8"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 xml:space="preserve"> (Table 4 in EER)</w:t>
            </w:r>
          </w:p>
          <w:p w:rsidR="004C43A8" w:rsidRDefault="004C43A8" w:rsidP="004C43A8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</w:pPr>
          </w:p>
        </w:tc>
      </w:tr>
      <w:tr w:rsidR="007F075B" w:rsidTr="004C43A8">
        <w:trPr>
          <w:gridAfter w:val="1"/>
          <w:wAfter w:w="992" w:type="dxa"/>
          <w:cantSplit/>
          <w:trHeight w:hRule="exact" w:val="541"/>
        </w:trPr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Labor Type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Unit Cost</w:t>
            </w:r>
          </w:p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($/h)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Annual Amount</w:t>
            </w:r>
          </w:p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(h)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Annual Cost</w:t>
            </w:r>
          </w:p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($)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%</w:t>
            </w:r>
          </w:p>
        </w:tc>
      </w:tr>
      <w:tr w:rsidR="007F075B" w:rsidTr="004C43A8">
        <w:trPr>
          <w:gridAfter w:val="1"/>
          <w:wAfter w:w="992" w:type="dxa"/>
          <w:cantSplit/>
          <w:trHeight w:hRule="exact" w:val="242"/>
        </w:trPr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7F075B" w:rsidRPr="007F075B" w:rsidRDefault="007F075B" w:rsidP="007F075B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7F075B">
              <w:rPr>
                <w:rFonts w:ascii="Arial" w:hAnsi="Arial" w:cs="Arial"/>
                <w:sz w:val="20"/>
                <w:szCs w:val="20"/>
                <w:lang w:val="el-GR"/>
              </w:rPr>
              <w:t>Operator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7F075B" w:rsidRPr="007F075B" w:rsidRDefault="007F075B" w:rsidP="007F075B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7F075B">
              <w:rPr>
                <w:rFonts w:ascii="Arial" w:hAnsi="Arial" w:cs="Arial"/>
                <w:sz w:val="20"/>
                <w:szCs w:val="20"/>
                <w:lang w:val="el-GR"/>
              </w:rPr>
              <w:t>69.00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7F075B" w:rsidRPr="007F075B" w:rsidRDefault="001E3592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31</w:t>
            </w:r>
            <w:r w:rsidR="007F075B" w:rsidRPr="007F075B">
              <w:rPr>
                <w:rFonts w:ascii="Arial" w:hAnsi="Arial" w:cs="Arial"/>
                <w:sz w:val="20"/>
                <w:szCs w:val="20"/>
                <w:lang w:val="el-GR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00</w:t>
            </w:r>
            <w:r w:rsidR="007F075B" w:rsidRPr="007F075B">
              <w:rPr>
                <w:rFonts w:ascii="Arial" w:hAnsi="Arial" w:cs="Arial"/>
                <w:sz w:val="20"/>
                <w:szCs w:val="20"/>
                <w:lang w:val="el-GR"/>
              </w:rPr>
              <w:t>9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7F075B" w:rsidRPr="001E3592" w:rsidRDefault="001E3592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  <w:r w:rsidR="007F075B" w:rsidRPr="007F075B">
              <w:rPr>
                <w:rFonts w:ascii="Arial" w:hAnsi="Arial" w:cs="Arial"/>
                <w:sz w:val="20"/>
                <w:szCs w:val="20"/>
                <w:lang w:val="el-GR"/>
              </w:rPr>
              <w:t>,1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39</w:t>
            </w:r>
            <w:r w:rsidR="007F075B" w:rsidRPr="007F075B">
              <w:rPr>
                <w:rFonts w:ascii="Arial" w:hAnsi="Arial" w:cs="Arial"/>
                <w:sz w:val="20"/>
                <w:szCs w:val="20"/>
                <w:lang w:val="el-GR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="007F075B" w:rsidRPr="007F075B">
              <w:rPr>
                <w:rFonts w:ascii="Arial" w:hAnsi="Arial" w:cs="Arial"/>
                <w:sz w:val="20"/>
                <w:szCs w:val="20"/>
                <w:lang w:val="el-GR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7F075B" w:rsidRPr="007F075B" w:rsidRDefault="007F075B" w:rsidP="007F075B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7F075B">
              <w:rPr>
                <w:rFonts w:ascii="Arial" w:hAnsi="Arial" w:cs="Arial"/>
                <w:sz w:val="20"/>
                <w:szCs w:val="20"/>
                <w:lang w:val="el-GR"/>
              </w:rPr>
              <w:t>100.00</w:t>
            </w:r>
          </w:p>
        </w:tc>
      </w:tr>
      <w:tr w:rsidR="007F075B" w:rsidTr="004C43A8">
        <w:trPr>
          <w:gridAfter w:val="1"/>
          <w:wAfter w:w="992" w:type="dxa"/>
          <w:cantSplit/>
          <w:trHeight w:hRule="exact" w:val="242"/>
        </w:trPr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7F075B" w:rsidRPr="007F075B" w:rsidRDefault="007F075B" w:rsidP="007F075B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7F075B">
              <w:rPr>
                <w:rFonts w:ascii="Arial" w:hAnsi="Arial" w:cs="Arial"/>
                <w:sz w:val="20"/>
                <w:szCs w:val="20"/>
                <w:lang w:val="el-GR"/>
              </w:rPr>
              <w:t>TOTAL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7F075B" w:rsidRPr="007F075B" w:rsidRDefault="007F075B" w:rsidP="007F075B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7F075B" w:rsidRPr="007F075B" w:rsidRDefault="001E3592" w:rsidP="007F075B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31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00</w:t>
            </w:r>
            <w:r w:rsidR="007F075B" w:rsidRPr="007F075B">
              <w:rPr>
                <w:rFonts w:ascii="Arial" w:hAnsi="Arial" w:cs="Arial"/>
                <w:sz w:val="20"/>
                <w:szCs w:val="20"/>
                <w:lang w:val="el-GR"/>
              </w:rPr>
              <w:t>9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7F075B" w:rsidRPr="001E3592" w:rsidRDefault="001E3592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  <w:r w:rsidR="007F075B" w:rsidRPr="007F075B">
              <w:rPr>
                <w:rFonts w:ascii="Arial" w:hAnsi="Arial" w:cs="Arial"/>
                <w:sz w:val="20"/>
                <w:szCs w:val="20"/>
                <w:lang w:val="el-GR"/>
              </w:rPr>
              <w:t>,1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39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="007F075B" w:rsidRPr="007F075B">
              <w:rPr>
                <w:rFonts w:ascii="Arial" w:hAnsi="Arial" w:cs="Arial"/>
                <w:sz w:val="20"/>
                <w:szCs w:val="20"/>
                <w:lang w:val="el-GR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7F075B" w:rsidRPr="007F075B" w:rsidRDefault="007F075B" w:rsidP="007F075B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7F075B">
              <w:rPr>
                <w:rFonts w:ascii="Arial" w:hAnsi="Arial" w:cs="Arial"/>
                <w:sz w:val="20"/>
                <w:szCs w:val="20"/>
                <w:lang w:val="el-GR"/>
              </w:rPr>
              <w:t>100.00</w:t>
            </w:r>
          </w:p>
        </w:tc>
      </w:tr>
    </w:tbl>
    <w:p w:rsidR="007F075B" w:rsidRDefault="007F075B" w:rsidP="00FD31BB">
      <w:pPr>
        <w:spacing w:before="0" w:after="0"/>
        <w:jc w:val="left"/>
        <w:rPr>
          <w:rFonts w:ascii="Arial" w:hAnsi="Arial" w:cs="Arial"/>
          <w:sz w:val="20"/>
          <w:szCs w:val="20"/>
        </w:rPr>
      </w:pPr>
    </w:p>
    <w:tbl>
      <w:tblPr>
        <w:tblW w:w="77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276"/>
        <w:gridCol w:w="1275"/>
        <w:gridCol w:w="851"/>
        <w:gridCol w:w="1984"/>
        <w:gridCol w:w="993"/>
      </w:tblGrid>
      <w:tr w:rsidR="007F075B" w:rsidTr="007F075B">
        <w:trPr>
          <w:cantSplit/>
          <w:trHeight w:hRule="exact" w:val="704"/>
        </w:trPr>
        <w:tc>
          <w:tcPr>
            <w:tcW w:w="7797" w:type="dxa"/>
            <w:gridSpan w:val="6"/>
            <w:tcBorders>
              <w:top w:val="nil"/>
              <w:left w:val="nil"/>
              <w:bottom w:val="single" w:sz="5" w:space="0" w:color="FFFFFF"/>
              <w:right w:val="nil"/>
            </w:tcBorders>
          </w:tcPr>
          <w:p w:rsidR="007F075B" w:rsidRDefault="001E3592" w:rsidP="00C2758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>3</w:t>
            </w:r>
            <w:r w:rsidR="007F075B"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>c. UTILITIES COST (2016 prices) - PROCESS SUMMARY</w:t>
            </w:r>
            <w:r w:rsidR="004C43A8"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 xml:space="preserve"> (Table 8 in EER) </w:t>
            </w:r>
          </w:p>
        </w:tc>
      </w:tr>
      <w:tr w:rsidR="007F075B" w:rsidTr="007F075B">
        <w:trPr>
          <w:cantSplit/>
          <w:trHeight w:hRule="exact" w:val="541"/>
        </w:trPr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Utility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Unit Cost</w:t>
            </w:r>
          </w:p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($)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Annual</w:t>
            </w:r>
          </w:p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Amount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Ref.</w:t>
            </w:r>
          </w:p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Units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Annual Cost</w:t>
            </w:r>
          </w:p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($)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E8E8E8" w:fill="E8E8E8"/>
            <w:vAlign w:val="center"/>
          </w:tcPr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%</w:t>
            </w:r>
          </w:p>
        </w:tc>
      </w:tr>
      <w:tr w:rsidR="00113508" w:rsidTr="001E3592">
        <w:trPr>
          <w:cantSplit/>
          <w:trHeight w:hRule="exact" w:val="242"/>
        </w:trPr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7F075B" w:rsidRDefault="00113508" w:rsidP="007F075B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7F075B">
              <w:rPr>
                <w:rFonts w:ascii="Arial" w:hAnsi="Arial" w:cs="Arial"/>
                <w:sz w:val="20"/>
                <w:szCs w:val="20"/>
                <w:lang w:val="el-GR"/>
              </w:rPr>
              <w:t>Std Power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n-GB"/>
              </w:rPr>
              <w:t>0.10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3,625,802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n-GB"/>
              </w:rPr>
              <w:t>kW-h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362,580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21.21</w:t>
            </w:r>
          </w:p>
        </w:tc>
      </w:tr>
      <w:tr w:rsidR="00113508" w:rsidTr="001E3592">
        <w:trPr>
          <w:cantSplit/>
          <w:trHeight w:hRule="exact" w:val="242"/>
        </w:trPr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7F075B" w:rsidRDefault="00113508" w:rsidP="007F075B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7F075B">
              <w:rPr>
                <w:rFonts w:ascii="Arial" w:hAnsi="Arial" w:cs="Arial"/>
                <w:sz w:val="20"/>
                <w:szCs w:val="20"/>
                <w:lang w:val="el-GR"/>
              </w:rPr>
              <w:t>Steam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n-GB"/>
              </w:rPr>
              <w:t>30.00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29,365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n-GB"/>
              </w:rPr>
              <w:t>MT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880,939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51.54</w:t>
            </w:r>
          </w:p>
        </w:tc>
      </w:tr>
      <w:tr w:rsidR="00113508" w:rsidTr="001E3592">
        <w:trPr>
          <w:cantSplit/>
          <w:trHeight w:hRule="exact" w:val="242"/>
        </w:trPr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7F075B" w:rsidRDefault="00113508" w:rsidP="007F075B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7F075B">
              <w:rPr>
                <w:rFonts w:ascii="Arial" w:hAnsi="Arial" w:cs="Arial"/>
                <w:sz w:val="20"/>
                <w:szCs w:val="20"/>
                <w:lang w:val="el-GR"/>
              </w:rPr>
              <w:t>Cooling Water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n-GB"/>
              </w:rPr>
              <w:t>0.05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9,312,624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E3592">
              <w:rPr>
                <w:rFonts w:ascii="Arial" w:hAnsi="Arial" w:cs="Arial"/>
                <w:sz w:val="20"/>
                <w:szCs w:val="20"/>
                <w:lang w:val="en-GB"/>
              </w:rPr>
              <w:t>MT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465,631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27.24</w:t>
            </w:r>
          </w:p>
        </w:tc>
      </w:tr>
      <w:tr w:rsidR="00113508" w:rsidTr="007F075B">
        <w:trPr>
          <w:cantSplit/>
          <w:trHeight w:hRule="exact" w:val="242"/>
        </w:trPr>
        <w:tc>
          <w:tcPr>
            <w:tcW w:w="141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7F075B" w:rsidRDefault="00113508" w:rsidP="007F075B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7F075B">
              <w:rPr>
                <w:rFonts w:ascii="Arial" w:hAnsi="Arial" w:cs="Arial"/>
                <w:sz w:val="20"/>
                <w:szCs w:val="20"/>
                <w:lang w:val="el-GR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E3592" w:rsidRDefault="00113508" w:rsidP="001E3592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1,709,151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100.00</w:t>
            </w:r>
          </w:p>
        </w:tc>
      </w:tr>
      <w:tr w:rsidR="007F075B" w:rsidTr="007F075B">
        <w:trPr>
          <w:cantSplit/>
          <w:trHeight w:hRule="exact" w:val="697"/>
        </w:trPr>
        <w:tc>
          <w:tcPr>
            <w:tcW w:w="7797" w:type="dxa"/>
            <w:gridSpan w:val="6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FFFFF" w:fill="FFFFFF"/>
            <w:vAlign w:val="bottom"/>
          </w:tcPr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08080"/>
                <w:sz w:val="20"/>
                <w:szCs w:val="20"/>
              </w:rPr>
            </w:pPr>
          </w:p>
          <w:p w:rsidR="007F075B" w:rsidRDefault="007F075B" w:rsidP="00C27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08080"/>
                <w:sz w:val="20"/>
                <w:szCs w:val="20"/>
              </w:rPr>
            </w:pPr>
          </w:p>
        </w:tc>
      </w:tr>
    </w:tbl>
    <w:p w:rsidR="00C27587" w:rsidRPr="00B20EAE" w:rsidRDefault="007928EC" w:rsidP="00C27587">
      <w:p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Figure 3</w:t>
      </w:r>
      <w:r w:rsidR="00C27587" w:rsidRPr="00B20EAE">
        <w:rPr>
          <w:rFonts w:ascii="Arial" w:hAnsi="Arial" w:cs="Arial"/>
          <w:sz w:val="20"/>
          <w:szCs w:val="20"/>
        </w:rPr>
        <w:t xml:space="preserve"> provides a breakdown of the total annual operating costs. Clearly raw material</w:t>
      </w:r>
      <w:r w:rsidR="00C27587">
        <w:rPr>
          <w:rFonts w:ascii="Arial" w:hAnsi="Arial" w:cs="Arial"/>
          <w:sz w:val="20"/>
          <w:szCs w:val="20"/>
        </w:rPr>
        <w:t xml:space="preserve">s, </w:t>
      </w:r>
      <w:r w:rsidR="00C71430" w:rsidRPr="00B20EAE">
        <w:rPr>
          <w:rFonts w:ascii="Arial" w:hAnsi="Arial" w:cs="Arial"/>
          <w:sz w:val="20"/>
          <w:szCs w:val="20"/>
        </w:rPr>
        <w:t xml:space="preserve">facility-dependent costs (annualized </w:t>
      </w:r>
      <w:r w:rsidR="00C71430">
        <w:rPr>
          <w:rFonts w:ascii="Arial" w:hAnsi="Arial" w:cs="Arial"/>
          <w:sz w:val="20"/>
          <w:szCs w:val="20"/>
        </w:rPr>
        <w:t xml:space="preserve">fixed capital </w:t>
      </w:r>
      <w:r>
        <w:rPr>
          <w:rFonts w:ascii="Arial" w:hAnsi="Arial" w:cs="Arial"/>
          <w:sz w:val="20"/>
          <w:szCs w:val="20"/>
        </w:rPr>
        <w:t>investment</w:t>
      </w:r>
      <w:r w:rsidR="00C71430" w:rsidRPr="00B20EAE">
        <w:rPr>
          <w:rFonts w:ascii="Arial" w:hAnsi="Arial" w:cs="Arial"/>
          <w:sz w:val="20"/>
          <w:szCs w:val="20"/>
        </w:rPr>
        <w:t>, maintenance etc.)</w:t>
      </w:r>
      <w:r w:rsidR="00C71430">
        <w:rPr>
          <w:rFonts w:ascii="Arial" w:hAnsi="Arial" w:cs="Arial"/>
          <w:sz w:val="20"/>
          <w:szCs w:val="20"/>
        </w:rPr>
        <w:t>,</w:t>
      </w:r>
      <w:r w:rsidR="004C43A8">
        <w:rPr>
          <w:rFonts w:ascii="Arial" w:hAnsi="Arial" w:cs="Arial"/>
          <w:sz w:val="20"/>
          <w:szCs w:val="20"/>
        </w:rPr>
        <w:t xml:space="preserve"> </w:t>
      </w:r>
      <w:r w:rsidR="00C27587" w:rsidRPr="00B20EAE">
        <w:rPr>
          <w:rFonts w:ascii="Arial" w:hAnsi="Arial" w:cs="Arial"/>
          <w:sz w:val="20"/>
          <w:szCs w:val="20"/>
        </w:rPr>
        <w:t>labor</w:t>
      </w:r>
      <w:r w:rsidR="004C43A8">
        <w:rPr>
          <w:rFonts w:ascii="Arial" w:hAnsi="Arial" w:cs="Arial"/>
          <w:sz w:val="20"/>
          <w:szCs w:val="20"/>
        </w:rPr>
        <w:t>,</w:t>
      </w:r>
      <w:r w:rsidR="00C71430">
        <w:rPr>
          <w:rFonts w:ascii="Arial" w:hAnsi="Arial" w:cs="Arial"/>
          <w:sz w:val="20"/>
          <w:szCs w:val="20"/>
        </w:rPr>
        <w:t xml:space="preserve"> and</w:t>
      </w:r>
      <w:r w:rsidR="004C43A8">
        <w:rPr>
          <w:rFonts w:ascii="Arial" w:hAnsi="Arial" w:cs="Arial"/>
          <w:sz w:val="20"/>
          <w:szCs w:val="20"/>
        </w:rPr>
        <w:t xml:space="preserve"> </w:t>
      </w:r>
      <w:r w:rsidR="00C71430" w:rsidRPr="00B20EAE">
        <w:rPr>
          <w:rFonts w:ascii="Arial" w:hAnsi="Arial" w:cs="Arial"/>
          <w:sz w:val="20"/>
          <w:szCs w:val="20"/>
        </w:rPr>
        <w:t xml:space="preserve">utilities </w:t>
      </w:r>
      <w:r w:rsidR="00C27587" w:rsidRPr="00B20EAE">
        <w:rPr>
          <w:rFonts w:ascii="Arial" w:hAnsi="Arial" w:cs="Arial"/>
          <w:sz w:val="20"/>
          <w:szCs w:val="20"/>
        </w:rPr>
        <w:t>have the highest contribution</w:t>
      </w:r>
      <w:r w:rsidR="004C43A8">
        <w:rPr>
          <w:rFonts w:ascii="Arial" w:hAnsi="Arial" w:cs="Arial"/>
          <w:sz w:val="20"/>
          <w:szCs w:val="20"/>
        </w:rPr>
        <w:t>s</w:t>
      </w:r>
      <w:r w:rsidR="00C27587" w:rsidRPr="00B20EAE">
        <w:rPr>
          <w:rFonts w:ascii="Arial" w:hAnsi="Arial" w:cs="Arial"/>
          <w:sz w:val="20"/>
          <w:szCs w:val="20"/>
        </w:rPr>
        <w:t xml:space="preserve"> to the total annual operating costs.</w:t>
      </w:r>
      <w:r w:rsidR="00C27587">
        <w:rPr>
          <w:rFonts w:ascii="Arial" w:hAnsi="Arial" w:cs="Arial"/>
          <w:sz w:val="20"/>
          <w:szCs w:val="20"/>
        </w:rPr>
        <w:t xml:space="preserve"> Raw materials in particular account for </w:t>
      </w:r>
      <w:r w:rsidR="00C71430">
        <w:rPr>
          <w:rFonts w:ascii="Arial" w:hAnsi="Arial" w:cs="Arial"/>
          <w:sz w:val="20"/>
          <w:szCs w:val="20"/>
        </w:rPr>
        <w:t>5</w:t>
      </w:r>
      <w:r w:rsidR="00113508">
        <w:rPr>
          <w:rFonts w:ascii="Arial" w:hAnsi="Arial" w:cs="Arial"/>
          <w:sz w:val="20"/>
          <w:szCs w:val="20"/>
        </w:rPr>
        <w:t>4</w:t>
      </w:r>
      <w:r w:rsidR="00C27587">
        <w:rPr>
          <w:rFonts w:ascii="Arial" w:hAnsi="Arial" w:cs="Arial"/>
          <w:sz w:val="20"/>
          <w:szCs w:val="20"/>
        </w:rPr>
        <w:t xml:space="preserve">% of the total operating cost. </w:t>
      </w:r>
    </w:p>
    <w:p w:rsidR="00B552C1" w:rsidRDefault="00113508" w:rsidP="00FD31BB">
      <w:p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2473637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2C1" w:rsidRDefault="00C27587" w:rsidP="00FD31BB">
      <w:pPr>
        <w:spacing w:before="0" w:after="0"/>
        <w:jc w:val="left"/>
        <w:rPr>
          <w:rFonts w:ascii="Arial" w:hAnsi="Arial" w:cs="Arial"/>
          <w:sz w:val="20"/>
          <w:szCs w:val="20"/>
        </w:rPr>
      </w:pPr>
      <w:r w:rsidRPr="00C27587">
        <w:rPr>
          <w:rFonts w:ascii="Arial" w:hAnsi="Arial" w:cs="Arial"/>
          <w:b/>
          <w:sz w:val="20"/>
          <w:szCs w:val="20"/>
        </w:rPr>
        <w:t xml:space="preserve">Figure </w:t>
      </w:r>
      <w:r w:rsidR="007928EC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: Annual Operating Cost Breakdown (%)</w:t>
      </w:r>
    </w:p>
    <w:p w:rsidR="00B552C1" w:rsidRDefault="00B552C1" w:rsidP="00FD31BB">
      <w:pPr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C27587" w:rsidRDefault="004C43A8" w:rsidP="00FD31BB">
      <w:pPr>
        <w:spacing w:before="0" w:after="0"/>
        <w:jc w:val="left"/>
        <w:rPr>
          <w:rFonts w:ascii="Arial" w:hAnsi="Arial" w:cs="Arial"/>
          <w:sz w:val="20"/>
          <w:szCs w:val="20"/>
        </w:rPr>
      </w:pPr>
      <w:r w:rsidRPr="00B20EAE">
        <w:rPr>
          <w:rFonts w:ascii="Arial" w:hAnsi="Arial" w:cs="Arial"/>
          <w:sz w:val="20"/>
          <w:szCs w:val="20"/>
        </w:rPr>
        <w:t>Finally</w:t>
      </w:r>
      <w:r>
        <w:rPr>
          <w:rFonts w:ascii="Arial" w:hAnsi="Arial" w:cs="Arial"/>
          <w:sz w:val="20"/>
          <w:szCs w:val="20"/>
        </w:rPr>
        <w:t>,</w:t>
      </w:r>
      <w:r w:rsidRPr="00B20EAE">
        <w:rPr>
          <w:rFonts w:ascii="Arial" w:hAnsi="Arial" w:cs="Arial"/>
          <w:sz w:val="20"/>
          <w:szCs w:val="20"/>
        </w:rPr>
        <w:t xml:space="preserve"> </w:t>
      </w:r>
      <w:r w:rsidRPr="00C71430">
        <w:rPr>
          <w:rFonts w:ascii="Arial" w:hAnsi="Arial" w:cs="Arial"/>
          <w:b/>
          <w:sz w:val="20"/>
          <w:szCs w:val="20"/>
        </w:rPr>
        <w:t>Table 4</w:t>
      </w:r>
      <w:r w:rsidRPr="00B20EAE">
        <w:rPr>
          <w:rFonts w:ascii="Arial" w:hAnsi="Arial" w:cs="Arial"/>
          <w:sz w:val="20"/>
          <w:szCs w:val="20"/>
        </w:rPr>
        <w:t xml:space="preserve"> provides an executive summary. The total CAPEX required was estimated </w:t>
      </w:r>
      <w:r>
        <w:rPr>
          <w:rFonts w:ascii="Arial" w:hAnsi="Arial" w:cs="Arial"/>
          <w:sz w:val="20"/>
          <w:szCs w:val="20"/>
        </w:rPr>
        <w:t xml:space="preserve">to be </w:t>
      </w:r>
      <w:r w:rsidRPr="00B20EAE">
        <w:rPr>
          <w:rFonts w:ascii="Arial" w:hAnsi="Arial" w:cs="Arial"/>
          <w:sz w:val="20"/>
          <w:szCs w:val="20"/>
        </w:rPr>
        <w:t xml:space="preserve">about </w:t>
      </w:r>
      <w:r>
        <w:rPr>
          <w:rFonts w:ascii="Arial" w:hAnsi="Arial" w:cs="Arial"/>
          <w:sz w:val="20"/>
          <w:szCs w:val="20"/>
        </w:rPr>
        <w:t>$31</w:t>
      </w:r>
      <w:r w:rsidRPr="00B20EAE">
        <w:rPr>
          <w:rFonts w:ascii="Arial" w:hAnsi="Arial" w:cs="Arial"/>
          <w:sz w:val="20"/>
          <w:szCs w:val="20"/>
        </w:rPr>
        <w:t xml:space="preserve"> million. </w:t>
      </w:r>
      <w:r>
        <w:rPr>
          <w:rFonts w:ascii="Arial" w:hAnsi="Arial" w:cs="Arial"/>
          <w:sz w:val="20"/>
          <w:szCs w:val="20"/>
        </w:rPr>
        <w:t>For a</w:t>
      </w:r>
      <w:r w:rsidRPr="00B20EAE">
        <w:rPr>
          <w:rFonts w:ascii="Arial" w:hAnsi="Arial" w:cs="Arial"/>
          <w:sz w:val="20"/>
          <w:szCs w:val="20"/>
        </w:rPr>
        <w:t xml:space="preserve"> selling price of </w:t>
      </w:r>
      <w:r>
        <w:rPr>
          <w:rFonts w:ascii="Arial" w:hAnsi="Arial" w:cs="Arial"/>
          <w:sz w:val="20"/>
          <w:szCs w:val="20"/>
        </w:rPr>
        <w:t xml:space="preserve">$0.85 per </w:t>
      </w:r>
      <w:r w:rsidRPr="00B20EAE">
        <w:rPr>
          <w:rFonts w:ascii="Arial" w:hAnsi="Arial" w:cs="Arial"/>
          <w:sz w:val="20"/>
          <w:szCs w:val="20"/>
        </w:rPr>
        <w:t xml:space="preserve">kg </w:t>
      </w:r>
      <w:r>
        <w:rPr>
          <w:rFonts w:ascii="Arial" w:hAnsi="Arial" w:cs="Arial"/>
          <w:sz w:val="20"/>
          <w:szCs w:val="20"/>
        </w:rPr>
        <w:t>of sorbitol,</w:t>
      </w:r>
      <w:r w:rsidRPr="00B20EAE">
        <w:rPr>
          <w:rFonts w:ascii="Arial" w:hAnsi="Arial" w:cs="Arial"/>
          <w:sz w:val="20"/>
          <w:szCs w:val="20"/>
        </w:rPr>
        <w:t xml:space="preserve"> the exp</w:t>
      </w:r>
      <w:r>
        <w:rPr>
          <w:rFonts w:ascii="Arial" w:hAnsi="Arial" w:cs="Arial"/>
          <w:sz w:val="20"/>
          <w:szCs w:val="20"/>
        </w:rPr>
        <w:t>ected payback time is around 6.7</w:t>
      </w:r>
      <w:r w:rsidRPr="00B20EAE">
        <w:rPr>
          <w:rFonts w:ascii="Arial" w:hAnsi="Arial" w:cs="Arial"/>
          <w:sz w:val="20"/>
          <w:szCs w:val="20"/>
        </w:rPr>
        <w:t xml:space="preserve"> years.</w:t>
      </w:r>
    </w:p>
    <w:tbl>
      <w:tblPr>
        <w:tblW w:w="77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843"/>
        <w:gridCol w:w="1276"/>
      </w:tblGrid>
      <w:tr w:rsidR="00C27587" w:rsidTr="00233D2D">
        <w:trPr>
          <w:cantSplit/>
          <w:trHeight w:hRule="exact" w:val="704"/>
        </w:trPr>
        <w:tc>
          <w:tcPr>
            <w:tcW w:w="7797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</w:tcPr>
          <w:p w:rsidR="00C27587" w:rsidRDefault="00A257E8" w:rsidP="00C2758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lastRenderedPageBreak/>
              <w:t>4</w:t>
            </w:r>
            <w:r w:rsidR="00C27587"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>. EXECUTIVE SUMMARY (2016 prices)</w:t>
            </w:r>
            <w:r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  <w:t xml:space="preserve"> (Table 1 in EER)</w:t>
            </w:r>
          </w:p>
        </w:tc>
      </w:tr>
      <w:tr w:rsidR="00113508" w:rsidRPr="004C1356" w:rsidTr="00FC65A3">
        <w:trPr>
          <w:cantSplit/>
          <w:trHeight w:hRule="exact" w:val="242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Total Capital Investment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30,984,000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$</w:t>
            </w:r>
          </w:p>
        </w:tc>
      </w:tr>
      <w:tr w:rsidR="00113508" w:rsidRPr="004C1356" w:rsidTr="00FC65A3">
        <w:trPr>
          <w:cantSplit/>
          <w:trHeight w:hRule="exact" w:val="242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Capital Investment Charged to This Project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30,984,000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$</w:t>
            </w:r>
          </w:p>
        </w:tc>
      </w:tr>
      <w:tr w:rsidR="00113508" w:rsidRPr="004C1356" w:rsidTr="00FC65A3">
        <w:trPr>
          <w:cantSplit/>
          <w:trHeight w:hRule="exact" w:val="241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Operating Cost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22,999,000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$/</w:t>
            </w:r>
            <w:proofErr w:type="spellStart"/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yr</w:t>
            </w:r>
            <w:proofErr w:type="spellEnd"/>
          </w:p>
        </w:tc>
      </w:tr>
      <w:tr w:rsidR="00113508" w:rsidRPr="004C1356" w:rsidTr="00FC65A3">
        <w:trPr>
          <w:cantSplit/>
          <w:trHeight w:hRule="exact" w:val="242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Revenues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26,249,000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$/</w:t>
            </w:r>
            <w:proofErr w:type="spellStart"/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yr</w:t>
            </w:r>
            <w:proofErr w:type="spellEnd"/>
          </w:p>
        </w:tc>
      </w:tr>
      <w:tr w:rsidR="00113508" w:rsidRPr="004C1356" w:rsidTr="00FC65A3">
        <w:trPr>
          <w:cantSplit/>
          <w:trHeight w:hRule="exact" w:val="242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Cost Basis Annual 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30,881,681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kg MP/</w:t>
            </w:r>
            <w:proofErr w:type="spellStart"/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yr</w:t>
            </w:r>
            <w:proofErr w:type="spellEnd"/>
          </w:p>
        </w:tc>
      </w:tr>
      <w:tr w:rsidR="00113508" w:rsidRPr="004C1356" w:rsidTr="00FC65A3">
        <w:trPr>
          <w:cantSplit/>
          <w:trHeight w:hRule="exact" w:val="242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Unit Production Cost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0.74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$/kg MP</w:t>
            </w:r>
          </w:p>
        </w:tc>
      </w:tr>
      <w:tr w:rsidR="00113508" w:rsidRPr="004C1356" w:rsidTr="00FC65A3">
        <w:trPr>
          <w:cantSplit/>
          <w:trHeight w:hRule="exact" w:val="242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Net Unit Production Cost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0.74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$/kg MP</w:t>
            </w:r>
          </w:p>
        </w:tc>
      </w:tr>
      <w:tr w:rsidR="00113508" w:rsidRPr="004C1356" w:rsidTr="00FC65A3">
        <w:trPr>
          <w:cantSplit/>
          <w:trHeight w:hRule="exact" w:val="242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Unit Production Revenue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0.85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$/kg MP</w:t>
            </w:r>
          </w:p>
        </w:tc>
      </w:tr>
      <w:tr w:rsidR="00113508" w:rsidRPr="004C1356" w:rsidTr="00FC65A3">
        <w:trPr>
          <w:cantSplit/>
          <w:trHeight w:hRule="exact" w:val="242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Gross Margin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12.38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%</w:t>
            </w:r>
          </w:p>
        </w:tc>
      </w:tr>
      <w:tr w:rsidR="00113508" w:rsidRPr="004C1356" w:rsidTr="00FC65A3">
        <w:trPr>
          <w:cantSplit/>
          <w:trHeight w:hRule="exact" w:val="242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Return On Investment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14.92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%</w:t>
            </w:r>
          </w:p>
        </w:tc>
      </w:tr>
      <w:tr w:rsidR="00113508" w:rsidRPr="004C1356" w:rsidTr="00FC65A3">
        <w:trPr>
          <w:cantSplit/>
          <w:trHeight w:hRule="exact" w:val="242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Payback 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6.70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years</w:t>
            </w:r>
          </w:p>
        </w:tc>
      </w:tr>
      <w:tr w:rsidR="00113508" w:rsidRPr="004C1356" w:rsidTr="00FC65A3">
        <w:trPr>
          <w:cantSplit/>
          <w:trHeight w:hRule="exact" w:val="242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IRR (After Taxes)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7.89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%</w:t>
            </w:r>
          </w:p>
        </w:tc>
      </w:tr>
      <w:tr w:rsidR="00113508" w:rsidRPr="004C1356" w:rsidTr="00FC65A3">
        <w:trPr>
          <w:cantSplit/>
          <w:trHeight w:hRule="exact" w:val="242"/>
        </w:trPr>
        <w:tc>
          <w:tcPr>
            <w:tcW w:w="4678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>NPV (at 7.0% Interest)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113508" w:rsidRDefault="00113508" w:rsidP="00113508">
            <w:pPr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13508">
              <w:rPr>
                <w:rFonts w:ascii="Arial" w:hAnsi="Arial" w:cs="Arial"/>
                <w:sz w:val="20"/>
                <w:szCs w:val="20"/>
                <w:lang w:val="en-GB"/>
              </w:rPr>
              <w:t>1,650,000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7F7F7" w:fill="F7F7F7"/>
            <w:vAlign w:val="center"/>
          </w:tcPr>
          <w:p w:rsidR="00113508" w:rsidRPr="00FC65A3" w:rsidRDefault="00113508" w:rsidP="00FC65A3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C65A3">
              <w:rPr>
                <w:rFonts w:ascii="Arial" w:hAnsi="Arial" w:cs="Arial"/>
                <w:sz w:val="20"/>
                <w:szCs w:val="20"/>
                <w:lang w:val="en-GB"/>
              </w:rPr>
              <w:t xml:space="preserve"> $</w:t>
            </w:r>
          </w:p>
        </w:tc>
      </w:tr>
      <w:tr w:rsidR="00C27587" w:rsidTr="00233D2D">
        <w:trPr>
          <w:cantSplit/>
          <w:trHeight w:hRule="exact" w:val="242"/>
        </w:trPr>
        <w:tc>
          <w:tcPr>
            <w:tcW w:w="7797" w:type="dxa"/>
            <w:gridSpan w:val="3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FFFFFF" w:fill="FFFFFF"/>
            <w:vAlign w:val="center"/>
          </w:tcPr>
          <w:p w:rsidR="00C27587" w:rsidRPr="004C1356" w:rsidRDefault="00C71430" w:rsidP="00C27587">
            <w:pPr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MP = Total Flow of Stream 'Sorbitol 95%'</w:t>
            </w:r>
          </w:p>
        </w:tc>
      </w:tr>
    </w:tbl>
    <w:p w:rsidR="00C27587" w:rsidRDefault="00C27587" w:rsidP="00FD31BB">
      <w:pPr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3C5BAE" w:rsidRPr="00BE31BD" w:rsidRDefault="003C5BAE" w:rsidP="003C5BAE">
      <w:pPr>
        <w:jc w:val="left"/>
        <w:rPr>
          <w:rFonts w:ascii="Arial" w:hAnsi="Arial" w:cs="Arial"/>
          <w:b/>
          <w:color w:val="984806"/>
          <w:sz w:val="28"/>
          <w:szCs w:val="28"/>
        </w:rPr>
      </w:pPr>
      <w:r w:rsidRPr="00BE31BD">
        <w:rPr>
          <w:rFonts w:ascii="Arial" w:hAnsi="Arial" w:cs="Arial"/>
          <w:b/>
          <w:color w:val="984806"/>
          <w:sz w:val="28"/>
          <w:szCs w:val="28"/>
        </w:rPr>
        <w:t>Miscellaneous Modeling Tips</w:t>
      </w:r>
    </w:p>
    <w:p w:rsidR="003C5BAE" w:rsidRPr="00BE31BD" w:rsidRDefault="003C5BAE" w:rsidP="003C5BAE">
      <w:pPr>
        <w:spacing w:after="0"/>
        <w:jc w:val="left"/>
        <w:rPr>
          <w:rFonts w:ascii="Arial" w:hAnsi="Arial" w:cs="Arial"/>
          <w:b/>
          <w:color w:val="002060"/>
          <w:sz w:val="24"/>
        </w:rPr>
      </w:pPr>
      <w:r w:rsidRPr="00BE31BD">
        <w:rPr>
          <w:rFonts w:ascii="Arial" w:hAnsi="Arial" w:cs="Arial"/>
          <w:b/>
          <w:color w:val="002060"/>
          <w:sz w:val="24"/>
        </w:rPr>
        <w:t>Batch Unit Procedures in Continuous Processes</w:t>
      </w:r>
    </w:p>
    <w:p w:rsidR="003C5BAE" w:rsidRDefault="003C5BAE" w:rsidP="00707495">
      <w:pPr>
        <w:spacing w:after="240"/>
        <w:jc w:val="left"/>
        <w:rPr>
          <w:rFonts w:ascii="Arial" w:hAnsi="Arial" w:cs="Arial"/>
          <w:sz w:val="20"/>
          <w:szCs w:val="20"/>
        </w:rPr>
      </w:pPr>
      <w:proofErr w:type="gramStart"/>
      <w:r w:rsidRPr="00BE31BD">
        <w:rPr>
          <w:rFonts w:ascii="Arial" w:hAnsi="Arial" w:cs="Arial"/>
          <w:sz w:val="20"/>
          <w:szCs w:val="20"/>
        </w:rPr>
        <w:t>SuperPro Designer handles modeling of batch processes, continuous processes, and combinations of batch and continuous.</w:t>
      </w:r>
      <w:proofErr w:type="gramEnd"/>
      <w:r w:rsidRPr="00BE31BD">
        <w:rPr>
          <w:rFonts w:ascii="Arial" w:hAnsi="Arial" w:cs="Arial"/>
          <w:sz w:val="20"/>
          <w:szCs w:val="20"/>
        </w:rPr>
        <w:t xml:space="preserve"> If a process involves several batch procedures that require inter-procedure scheduling links as well as a few continuous procedures, then the flowsheet’s Mode of Operation should be set to “Batch” (under </w:t>
      </w:r>
      <w:r w:rsidRPr="00BE31BD">
        <w:rPr>
          <w:rFonts w:ascii="Arial" w:hAnsi="Arial" w:cs="Arial"/>
          <w:b/>
          <w:iCs/>
          <w:color w:val="000000"/>
          <w:sz w:val="20"/>
          <w:szCs w:val="20"/>
        </w:rPr>
        <w:t>Tasks</w:t>
      </w:r>
      <w:r w:rsidRPr="00BE31BD">
        <w:rPr>
          <w:rFonts w:ascii="Arial" w:hAnsi="Arial" w:cs="Arial"/>
          <w:b/>
          <w:color w:val="000000"/>
          <w:sz w:val="20"/>
          <w:szCs w:val="20"/>
        </w:rPr>
        <w:sym w:font="Wingdings" w:char="F0DC"/>
      </w:r>
      <w:r w:rsidRPr="00BE31BD">
        <w:rPr>
          <w:rFonts w:ascii="Arial" w:hAnsi="Arial" w:cs="Arial"/>
          <w:b/>
          <w:iCs/>
          <w:color w:val="000000"/>
          <w:sz w:val="20"/>
          <w:szCs w:val="20"/>
        </w:rPr>
        <w:t>Set Mode of Operation</w:t>
      </w:r>
      <w:r w:rsidRPr="00BE31BD">
        <w:rPr>
          <w:rFonts w:ascii="Arial" w:hAnsi="Arial" w:cs="Arial"/>
          <w:iCs/>
          <w:color w:val="000000"/>
          <w:sz w:val="20"/>
          <w:szCs w:val="20"/>
        </w:rPr>
        <w:t>)</w:t>
      </w:r>
      <w:r w:rsidRPr="00BE31BD">
        <w:rPr>
          <w:rFonts w:ascii="Arial" w:hAnsi="Arial" w:cs="Arial"/>
          <w:sz w:val="20"/>
          <w:szCs w:val="20"/>
        </w:rPr>
        <w:t>. If a mostly</w:t>
      </w:r>
      <w:r w:rsidR="004C43A8">
        <w:rPr>
          <w:rFonts w:ascii="Arial" w:hAnsi="Arial" w:cs="Arial"/>
          <w:sz w:val="20"/>
          <w:szCs w:val="20"/>
        </w:rPr>
        <w:t>-</w:t>
      </w:r>
      <w:r w:rsidRPr="00BE31BD">
        <w:rPr>
          <w:rFonts w:ascii="Arial" w:hAnsi="Arial" w:cs="Arial"/>
          <w:sz w:val="20"/>
          <w:szCs w:val="20"/>
        </w:rPr>
        <w:t xml:space="preserve">continuous process includes a few batch (cyclical) procedures that do not require inter-procedure scheduling, then the flowsheet’s Mode of Operation should be set to “Continuous”. </w:t>
      </w:r>
      <w:r w:rsidR="00020C3C">
        <w:rPr>
          <w:rFonts w:ascii="Arial" w:hAnsi="Arial" w:cs="Arial"/>
          <w:sz w:val="20"/>
          <w:szCs w:val="20"/>
        </w:rPr>
        <w:t xml:space="preserve">More information on units operating </w:t>
      </w:r>
      <w:r w:rsidR="004C43A8">
        <w:rPr>
          <w:rFonts w:ascii="Arial" w:hAnsi="Arial" w:cs="Arial"/>
          <w:sz w:val="20"/>
          <w:szCs w:val="20"/>
        </w:rPr>
        <w:t>in</w:t>
      </w:r>
      <w:r w:rsidR="00020C3C">
        <w:rPr>
          <w:rFonts w:ascii="Arial" w:hAnsi="Arial" w:cs="Arial"/>
          <w:sz w:val="20"/>
          <w:szCs w:val="20"/>
        </w:rPr>
        <w:t xml:space="preserve"> batch mode </w:t>
      </w:r>
      <w:r w:rsidR="004C43A8">
        <w:rPr>
          <w:rFonts w:ascii="Arial" w:hAnsi="Arial" w:cs="Arial"/>
          <w:sz w:val="20"/>
          <w:szCs w:val="20"/>
        </w:rPr>
        <w:t>with</w:t>
      </w:r>
      <w:r w:rsidR="00020C3C">
        <w:rPr>
          <w:rFonts w:ascii="Arial" w:hAnsi="Arial" w:cs="Arial"/>
          <w:sz w:val="20"/>
          <w:szCs w:val="20"/>
        </w:rPr>
        <w:t>in a continuous flowsheet</w:t>
      </w:r>
      <w:r w:rsidR="004C43A8">
        <w:rPr>
          <w:rFonts w:ascii="Arial" w:hAnsi="Arial" w:cs="Arial"/>
          <w:sz w:val="20"/>
          <w:szCs w:val="20"/>
        </w:rPr>
        <w:t>, on units operating i</w:t>
      </w:r>
      <w:r w:rsidR="00527934">
        <w:rPr>
          <w:rFonts w:ascii="Arial" w:hAnsi="Arial" w:cs="Arial"/>
          <w:sz w:val="20"/>
          <w:szCs w:val="20"/>
        </w:rPr>
        <w:t xml:space="preserve">n </w:t>
      </w:r>
      <w:r w:rsidR="00527934" w:rsidRPr="00527934">
        <w:rPr>
          <w:rFonts w:ascii="Arial" w:hAnsi="Arial" w:cs="Arial"/>
          <w:b/>
          <w:sz w:val="20"/>
          <w:szCs w:val="20"/>
        </w:rPr>
        <w:t>Staggered Mode</w:t>
      </w:r>
      <w:r w:rsidR="004C43A8">
        <w:rPr>
          <w:rFonts w:ascii="Arial" w:hAnsi="Arial" w:cs="Arial"/>
          <w:b/>
          <w:sz w:val="20"/>
          <w:szCs w:val="20"/>
        </w:rPr>
        <w:t>,</w:t>
      </w:r>
      <w:r w:rsidR="00527934">
        <w:rPr>
          <w:rFonts w:ascii="Arial" w:hAnsi="Arial" w:cs="Arial"/>
          <w:sz w:val="20"/>
          <w:szCs w:val="20"/>
        </w:rPr>
        <w:t xml:space="preserve"> </w:t>
      </w:r>
      <w:r w:rsidR="0076351A">
        <w:rPr>
          <w:rFonts w:ascii="Arial" w:hAnsi="Arial" w:cs="Arial"/>
          <w:sz w:val="20"/>
          <w:szCs w:val="20"/>
        </w:rPr>
        <w:t xml:space="preserve">and related concepts </w:t>
      </w:r>
      <w:r w:rsidR="00020C3C">
        <w:rPr>
          <w:rFonts w:ascii="Arial" w:hAnsi="Arial" w:cs="Arial"/>
          <w:sz w:val="20"/>
          <w:szCs w:val="20"/>
        </w:rPr>
        <w:t xml:space="preserve">can be found in the </w:t>
      </w:r>
      <w:r w:rsidR="00020C3C" w:rsidRPr="00E107BC">
        <w:rPr>
          <w:rFonts w:ascii="Arial" w:hAnsi="Arial" w:cs="Arial"/>
          <w:b/>
          <w:sz w:val="20"/>
          <w:szCs w:val="20"/>
        </w:rPr>
        <w:t>Corn Refinery</w:t>
      </w:r>
      <w:r w:rsidR="00020C3C">
        <w:rPr>
          <w:rFonts w:ascii="Arial" w:hAnsi="Arial" w:cs="Arial"/>
          <w:sz w:val="20"/>
          <w:szCs w:val="20"/>
        </w:rPr>
        <w:t xml:space="preserve"> example. </w:t>
      </w:r>
      <w:r w:rsidR="004C43A8">
        <w:rPr>
          <w:rFonts w:ascii="Arial" w:hAnsi="Arial" w:cs="Arial"/>
          <w:sz w:val="20"/>
          <w:szCs w:val="20"/>
        </w:rPr>
        <w:t>These concepts were used in</w:t>
      </w:r>
      <w:r w:rsidR="00020C3C" w:rsidRPr="00BE31BD">
        <w:rPr>
          <w:rFonts w:ascii="Arial" w:hAnsi="Arial" w:cs="Arial"/>
          <w:sz w:val="20"/>
          <w:szCs w:val="20"/>
        </w:rPr>
        <w:t xml:space="preserve"> this </w:t>
      </w:r>
      <w:r w:rsidR="004C43A8">
        <w:rPr>
          <w:rFonts w:ascii="Arial" w:hAnsi="Arial" w:cs="Arial"/>
          <w:sz w:val="20"/>
          <w:szCs w:val="20"/>
        </w:rPr>
        <w:t xml:space="preserve">Sorbitol </w:t>
      </w:r>
      <w:r w:rsidR="00020C3C" w:rsidRPr="00BE31BD">
        <w:rPr>
          <w:rFonts w:ascii="Arial" w:hAnsi="Arial" w:cs="Arial"/>
          <w:sz w:val="20"/>
          <w:szCs w:val="20"/>
        </w:rPr>
        <w:t>example</w:t>
      </w:r>
      <w:r w:rsidR="00020C3C">
        <w:rPr>
          <w:rFonts w:ascii="Arial" w:hAnsi="Arial" w:cs="Arial"/>
          <w:sz w:val="20"/>
          <w:szCs w:val="20"/>
        </w:rPr>
        <w:t xml:space="preserve"> to model the reactor, the ion exchanger and the activated </w:t>
      </w:r>
      <w:r w:rsidR="00527934">
        <w:rPr>
          <w:rFonts w:ascii="Arial" w:hAnsi="Arial" w:cs="Arial"/>
          <w:sz w:val="20"/>
          <w:szCs w:val="20"/>
        </w:rPr>
        <w:t>carbon column</w:t>
      </w:r>
      <w:r w:rsidR="00020C3C" w:rsidRPr="00BE31BD">
        <w:rPr>
          <w:rFonts w:ascii="Arial" w:hAnsi="Arial" w:cs="Arial"/>
          <w:sz w:val="20"/>
          <w:szCs w:val="20"/>
        </w:rPr>
        <w:t>.</w:t>
      </w:r>
    </w:p>
    <w:p w:rsidR="00527934" w:rsidRDefault="00707495" w:rsidP="003C5BAE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 </w:t>
      </w:r>
      <w:r w:rsidR="00113344">
        <w:rPr>
          <w:rFonts w:ascii="Arial" w:hAnsi="Arial" w:cs="Arial"/>
          <w:sz w:val="20"/>
          <w:szCs w:val="20"/>
        </w:rPr>
        <w:t xml:space="preserve">that continuous procedures in a SuperPro Designer flowsheet are assumed to operate at “steady state”, meaning they contain a single operation whose operating parameters are constant through time. In contrast, batch procedures may contain operations </w:t>
      </w:r>
      <w:r w:rsidR="005D20CA">
        <w:rPr>
          <w:rFonts w:ascii="Arial" w:hAnsi="Arial" w:cs="Arial"/>
          <w:sz w:val="20"/>
          <w:szCs w:val="20"/>
        </w:rPr>
        <w:t xml:space="preserve">with parameters (such as flows, temperatures, pressures, etc.) which change through time. </w:t>
      </w:r>
      <w:r w:rsidR="00322837">
        <w:rPr>
          <w:rFonts w:ascii="Arial" w:hAnsi="Arial" w:cs="Arial"/>
          <w:sz w:val="20"/>
          <w:szCs w:val="20"/>
        </w:rPr>
        <w:t xml:space="preserve">An example of such a </w:t>
      </w:r>
      <w:r w:rsidR="0076351A">
        <w:rPr>
          <w:rFonts w:ascii="Arial" w:hAnsi="Arial" w:cs="Arial"/>
          <w:sz w:val="20"/>
          <w:szCs w:val="20"/>
        </w:rPr>
        <w:t>procedure</w:t>
      </w:r>
      <w:r w:rsidR="00322837">
        <w:rPr>
          <w:rFonts w:ascii="Arial" w:hAnsi="Arial" w:cs="Arial"/>
          <w:sz w:val="20"/>
          <w:szCs w:val="20"/>
        </w:rPr>
        <w:t xml:space="preserve"> is the hydrogenation </w:t>
      </w:r>
      <w:r w:rsidR="00040DD5">
        <w:rPr>
          <w:rFonts w:ascii="Arial" w:hAnsi="Arial" w:cs="Arial"/>
          <w:sz w:val="20"/>
          <w:szCs w:val="20"/>
        </w:rPr>
        <w:t>reactor</w:t>
      </w:r>
      <w:r w:rsidR="00322837">
        <w:rPr>
          <w:rFonts w:ascii="Arial" w:hAnsi="Arial" w:cs="Arial"/>
          <w:sz w:val="20"/>
          <w:szCs w:val="20"/>
        </w:rPr>
        <w:t xml:space="preserve">, which operates </w:t>
      </w:r>
      <w:r>
        <w:rPr>
          <w:rFonts w:ascii="Arial" w:hAnsi="Arial" w:cs="Arial"/>
          <w:sz w:val="20"/>
          <w:szCs w:val="20"/>
        </w:rPr>
        <w:t>in</w:t>
      </w:r>
      <w:r w:rsidR="00322837">
        <w:rPr>
          <w:rFonts w:ascii="Arial" w:hAnsi="Arial" w:cs="Arial"/>
          <w:sz w:val="20"/>
          <w:szCs w:val="20"/>
        </w:rPr>
        <w:t xml:space="preserve"> batch mode. As mentioned in the process description</w:t>
      </w:r>
      <w:r w:rsidR="00040DD5">
        <w:rPr>
          <w:rFonts w:ascii="Arial" w:hAnsi="Arial" w:cs="Arial"/>
          <w:sz w:val="20"/>
          <w:szCs w:val="20"/>
        </w:rPr>
        <w:t xml:space="preserve"> section</w:t>
      </w:r>
      <w:r w:rsidR="0076351A">
        <w:rPr>
          <w:rFonts w:ascii="Arial" w:hAnsi="Arial" w:cs="Arial"/>
          <w:sz w:val="20"/>
          <w:szCs w:val="20"/>
        </w:rPr>
        <w:t>,</w:t>
      </w:r>
      <w:r w:rsidR="00322837">
        <w:rPr>
          <w:rFonts w:ascii="Arial" w:hAnsi="Arial" w:cs="Arial"/>
          <w:sz w:val="20"/>
          <w:szCs w:val="20"/>
        </w:rPr>
        <w:t xml:space="preserve"> </w:t>
      </w:r>
      <w:r w:rsidR="0076351A">
        <w:rPr>
          <w:rFonts w:ascii="Arial" w:hAnsi="Arial" w:cs="Arial"/>
          <w:sz w:val="20"/>
          <w:szCs w:val="20"/>
        </w:rPr>
        <w:t xml:space="preserve">the </w:t>
      </w:r>
      <w:r w:rsidR="00040DD5">
        <w:rPr>
          <w:rFonts w:ascii="Arial" w:hAnsi="Arial" w:cs="Arial"/>
          <w:sz w:val="20"/>
          <w:szCs w:val="20"/>
        </w:rPr>
        <w:t xml:space="preserve">hydrogenation </w:t>
      </w:r>
      <w:r w:rsidR="00322837">
        <w:rPr>
          <w:rFonts w:ascii="Arial" w:hAnsi="Arial" w:cs="Arial"/>
          <w:sz w:val="20"/>
          <w:szCs w:val="20"/>
        </w:rPr>
        <w:t xml:space="preserve">procedure </w:t>
      </w:r>
      <w:r w:rsidR="00040DD5">
        <w:rPr>
          <w:rFonts w:ascii="Arial" w:hAnsi="Arial" w:cs="Arial"/>
          <w:sz w:val="20"/>
          <w:szCs w:val="20"/>
        </w:rPr>
        <w:t>includes</w:t>
      </w:r>
      <w:r w:rsidR="00322837">
        <w:rPr>
          <w:rFonts w:ascii="Arial" w:hAnsi="Arial" w:cs="Arial"/>
          <w:sz w:val="20"/>
          <w:szCs w:val="20"/>
        </w:rPr>
        <w:t xml:space="preserve"> the following operations:</w:t>
      </w:r>
    </w:p>
    <w:p w:rsidR="00322837" w:rsidRDefault="00322837" w:rsidP="00322837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Pull-In Syrup</w:t>
      </w:r>
    </w:p>
    <w:p w:rsidR="00322837" w:rsidRDefault="00322837" w:rsidP="00322837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Pull-In Hydrogen</w:t>
      </w:r>
    </w:p>
    <w:p w:rsidR="00322837" w:rsidRDefault="00322837" w:rsidP="00322837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Heat</w:t>
      </w:r>
    </w:p>
    <w:p w:rsidR="00322837" w:rsidRDefault="00322837" w:rsidP="00322837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</w:t>
      </w:r>
    </w:p>
    <w:p w:rsidR="00322837" w:rsidRDefault="00322837" w:rsidP="00322837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Cool</w:t>
      </w:r>
    </w:p>
    <w:p w:rsidR="00322837" w:rsidRDefault="00322837" w:rsidP="00322837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Gas sweep</w:t>
      </w:r>
    </w:p>
    <w:p w:rsidR="00322837" w:rsidRDefault="00322837" w:rsidP="00322837">
      <w:pPr>
        <w:pStyle w:val="ListParagraph"/>
        <w:numPr>
          <w:ilvl w:val="0"/>
          <w:numId w:val="22"/>
        </w:num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Transfer-out</w:t>
      </w:r>
    </w:p>
    <w:p w:rsidR="00322837" w:rsidRPr="00977716" w:rsidRDefault="00322837" w:rsidP="00322837">
      <w:pPr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During the first operation the vessel is </w:t>
      </w:r>
      <w:r w:rsidR="00324F53">
        <w:rPr>
          <w:rFonts w:ascii="Arial" w:hAnsi="Arial" w:cs="Arial"/>
          <w:sz w:val="20"/>
          <w:szCs w:val="20"/>
        </w:rPr>
        <w:t>vented</w:t>
      </w:r>
      <w:r>
        <w:rPr>
          <w:rFonts w:ascii="Arial" w:hAnsi="Arial" w:cs="Arial"/>
          <w:sz w:val="20"/>
          <w:szCs w:val="20"/>
        </w:rPr>
        <w:t xml:space="preserve"> to the atmosphere </w:t>
      </w:r>
      <w:r w:rsidR="00707495">
        <w:rPr>
          <w:rFonts w:ascii="Arial" w:hAnsi="Arial" w:cs="Arial"/>
          <w:sz w:val="20"/>
          <w:szCs w:val="20"/>
        </w:rPr>
        <w:t>and the charged syrup displace</w:t>
      </w:r>
      <w:r w:rsidR="00324F53">
        <w:rPr>
          <w:rFonts w:ascii="Arial" w:hAnsi="Arial" w:cs="Arial"/>
          <w:sz w:val="20"/>
          <w:szCs w:val="20"/>
        </w:rPr>
        <w:t xml:space="preserve">s an equal volume of air. </w:t>
      </w:r>
      <w:r>
        <w:rPr>
          <w:rFonts w:ascii="Arial" w:hAnsi="Arial" w:cs="Arial"/>
          <w:sz w:val="20"/>
          <w:szCs w:val="20"/>
        </w:rPr>
        <w:t xml:space="preserve">For this reason the pressure </w:t>
      </w:r>
      <w:r w:rsidR="00707495">
        <w:rPr>
          <w:rFonts w:ascii="Arial" w:hAnsi="Arial" w:cs="Arial"/>
          <w:sz w:val="20"/>
          <w:szCs w:val="20"/>
        </w:rPr>
        <w:t xml:space="preserve">in the vessel </w:t>
      </w:r>
      <w:r>
        <w:rPr>
          <w:rFonts w:ascii="Arial" w:hAnsi="Arial" w:cs="Arial"/>
          <w:sz w:val="20"/>
          <w:szCs w:val="20"/>
        </w:rPr>
        <w:t xml:space="preserve">remains </w:t>
      </w:r>
      <w:r w:rsidR="001D7870">
        <w:rPr>
          <w:rFonts w:ascii="Arial" w:hAnsi="Arial" w:cs="Arial"/>
          <w:sz w:val="20"/>
          <w:szCs w:val="20"/>
        </w:rPr>
        <w:t>equal to</w:t>
      </w:r>
      <w:r w:rsidR="007074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atmospheric</w:t>
      </w:r>
      <w:r w:rsidR="00707495">
        <w:rPr>
          <w:rFonts w:ascii="Arial" w:hAnsi="Arial" w:cs="Arial"/>
          <w:sz w:val="20"/>
          <w:szCs w:val="20"/>
        </w:rPr>
        <w:t>. Then the vent</w:t>
      </w:r>
      <w:r>
        <w:rPr>
          <w:rFonts w:ascii="Arial" w:hAnsi="Arial" w:cs="Arial"/>
          <w:sz w:val="20"/>
          <w:szCs w:val="20"/>
        </w:rPr>
        <w:t xml:space="preserve"> valve </w:t>
      </w:r>
      <w:r w:rsidR="00707495">
        <w:rPr>
          <w:rFonts w:ascii="Arial" w:hAnsi="Arial" w:cs="Arial"/>
          <w:sz w:val="20"/>
          <w:szCs w:val="20"/>
        </w:rPr>
        <w:t>is closed and the pressure increases</w:t>
      </w:r>
      <w:r>
        <w:rPr>
          <w:rFonts w:ascii="Arial" w:hAnsi="Arial" w:cs="Arial"/>
          <w:sz w:val="20"/>
          <w:szCs w:val="20"/>
        </w:rPr>
        <w:t xml:space="preserve"> </w:t>
      </w:r>
      <w:r w:rsidR="00707495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 xml:space="preserve"> Hydrogen</w:t>
      </w:r>
      <w:r w:rsidR="00707495">
        <w:rPr>
          <w:rFonts w:ascii="Arial" w:hAnsi="Arial" w:cs="Arial"/>
          <w:sz w:val="20"/>
          <w:szCs w:val="20"/>
        </w:rPr>
        <w:t xml:space="preserve"> is </w:t>
      </w:r>
      <w:r w:rsidR="001D7870">
        <w:rPr>
          <w:rFonts w:ascii="Arial" w:hAnsi="Arial" w:cs="Arial"/>
          <w:sz w:val="20"/>
          <w:szCs w:val="20"/>
        </w:rPr>
        <w:t>fed</w:t>
      </w:r>
      <w:r w:rsidR="00707495">
        <w:rPr>
          <w:rFonts w:ascii="Arial" w:hAnsi="Arial" w:cs="Arial"/>
          <w:sz w:val="20"/>
          <w:szCs w:val="20"/>
        </w:rPr>
        <w:t xml:space="preserve"> into the vessel.</w:t>
      </w:r>
      <w:r>
        <w:rPr>
          <w:rFonts w:ascii="Arial" w:hAnsi="Arial" w:cs="Arial"/>
          <w:sz w:val="20"/>
          <w:szCs w:val="20"/>
        </w:rPr>
        <w:t xml:space="preserve"> </w:t>
      </w:r>
      <w:r w:rsidR="00A257E8">
        <w:rPr>
          <w:rFonts w:ascii="Arial" w:hAnsi="Arial" w:cs="Arial"/>
          <w:sz w:val="20"/>
          <w:szCs w:val="20"/>
        </w:rPr>
        <w:t xml:space="preserve">Following the </w:t>
      </w:r>
      <w:r w:rsidR="001D7870">
        <w:rPr>
          <w:rFonts w:ascii="Arial" w:hAnsi="Arial" w:cs="Arial"/>
          <w:sz w:val="20"/>
          <w:szCs w:val="20"/>
        </w:rPr>
        <w:t>addition</w:t>
      </w:r>
      <w:r w:rsidR="00A257E8">
        <w:rPr>
          <w:rFonts w:ascii="Arial" w:hAnsi="Arial" w:cs="Arial"/>
          <w:sz w:val="20"/>
          <w:szCs w:val="20"/>
        </w:rPr>
        <w:t xml:space="preserve"> of Hydrogen</w:t>
      </w:r>
      <w:r w:rsidR="0076351A">
        <w:rPr>
          <w:rFonts w:ascii="Arial" w:hAnsi="Arial" w:cs="Arial"/>
          <w:sz w:val="20"/>
          <w:szCs w:val="20"/>
        </w:rPr>
        <w:t>,</w:t>
      </w:r>
      <w:r w:rsidR="00A257E8">
        <w:rPr>
          <w:rFonts w:ascii="Arial" w:hAnsi="Arial" w:cs="Arial"/>
          <w:sz w:val="20"/>
          <w:szCs w:val="20"/>
        </w:rPr>
        <w:t xml:space="preserve"> the vessel contents are heated in order to facilitate the reaction. This heating also inc</w:t>
      </w:r>
      <w:r w:rsidR="00707495">
        <w:rPr>
          <w:rFonts w:ascii="Arial" w:hAnsi="Arial" w:cs="Arial"/>
          <w:sz w:val="20"/>
          <w:szCs w:val="20"/>
        </w:rPr>
        <w:t>reases the pressure. The vent</w:t>
      </w:r>
      <w:r w:rsidR="00A257E8">
        <w:rPr>
          <w:rFonts w:ascii="Arial" w:hAnsi="Arial" w:cs="Arial"/>
          <w:sz w:val="20"/>
          <w:szCs w:val="20"/>
        </w:rPr>
        <w:t xml:space="preserve"> valve </w:t>
      </w:r>
      <w:r w:rsidR="00707495">
        <w:rPr>
          <w:rFonts w:ascii="Arial" w:hAnsi="Arial" w:cs="Arial"/>
          <w:sz w:val="20"/>
          <w:szCs w:val="20"/>
        </w:rPr>
        <w:t>is opened</w:t>
      </w:r>
      <w:r w:rsidR="001D7870">
        <w:rPr>
          <w:rFonts w:ascii="Arial" w:hAnsi="Arial" w:cs="Arial"/>
          <w:sz w:val="20"/>
          <w:szCs w:val="20"/>
        </w:rPr>
        <w:t xml:space="preserve"> at the end of the reaction and the </w:t>
      </w:r>
      <w:r w:rsidR="001D7870">
        <w:rPr>
          <w:rFonts w:ascii="Arial" w:hAnsi="Arial" w:cs="Arial"/>
          <w:sz w:val="20"/>
          <w:szCs w:val="20"/>
        </w:rPr>
        <w:t>excess hydrogen is removed from the vessel</w:t>
      </w:r>
      <w:r w:rsidR="00977716">
        <w:rPr>
          <w:rFonts w:ascii="Arial" w:hAnsi="Arial" w:cs="Arial"/>
          <w:sz w:val="20"/>
          <w:szCs w:val="20"/>
        </w:rPr>
        <w:t xml:space="preserve"> with</w:t>
      </w:r>
      <w:r w:rsidR="001D7870">
        <w:rPr>
          <w:rFonts w:ascii="Arial" w:hAnsi="Arial" w:cs="Arial"/>
          <w:sz w:val="20"/>
          <w:szCs w:val="20"/>
        </w:rPr>
        <w:t xml:space="preserve"> nitrogen </w:t>
      </w:r>
      <w:r w:rsidR="001D7870">
        <w:rPr>
          <w:rFonts w:ascii="Arial" w:hAnsi="Arial" w:cs="Arial"/>
          <w:sz w:val="20"/>
          <w:szCs w:val="20"/>
        </w:rPr>
        <w:t>Gas-Sweep</w:t>
      </w:r>
      <w:r w:rsidR="00A257E8">
        <w:rPr>
          <w:rFonts w:ascii="Arial" w:hAnsi="Arial" w:cs="Arial"/>
          <w:sz w:val="20"/>
          <w:szCs w:val="20"/>
        </w:rPr>
        <w:t xml:space="preserve">. All these changes in </w:t>
      </w:r>
      <w:r w:rsidR="00707495">
        <w:rPr>
          <w:rFonts w:ascii="Arial" w:hAnsi="Arial" w:cs="Arial"/>
          <w:sz w:val="20"/>
          <w:szCs w:val="20"/>
        </w:rPr>
        <w:t xml:space="preserve">equipment </w:t>
      </w:r>
      <w:r w:rsidR="00A257E8">
        <w:rPr>
          <w:rFonts w:ascii="Arial" w:hAnsi="Arial" w:cs="Arial"/>
          <w:sz w:val="20"/>
          <w:szCs w:val="20"/>
        </w:rPr>
        <w:t xml:space="preserve">contents, pressure, </w:t>
      </w:r>
      <w:r w:rsidR="00707495">
        <w:rPr>
          <w:rFonts w:ascii="Arial" w:hAnsi="Arial" w:cs="Arial"/>
          <w:sz w:val="20"/>
          <w:szCs w:val="20"/>
        </w:rPr>
        <w:t xml:space="preserve">and </w:t>
      </w:r>
      <w:r w:rsidR="00A257E8">
        <w:rPr>
          <w:rFonts w:ascii="Arial" w:hAnsi="Arial" w:cs="Arial"/>
          <w:sz w:val="20"/>
          <w:szCs w:val="20"/>
        </w:rPr>
        <w:t>tempera</w:t>
      </w:r>
      <w:r w:rsidR="00707495">
        <w:rPr>
          <w:rFonts w:ascii="Arial" w:hAnsi="Arial" w:cs="Arial"/>
          <w:sz w:val="20"/>
          <w:szCs w:val="20"/>
        </w:rPr>
        <w:t>ture that occur during each batch of the Hydrogenation</w:t>
      </w:r>
      <w:r w:rsidR="00A257E8">
        <w:rPr>
          <w:rFonts w:ascii="Arial" w:hAnsi="Arial" w:cs="Arial"/>
          <w:sz w:val="20"/>
          <w:szCs w:val="20"/>
        </w:rPr>
        <w:t xml:space="preserve"> procedure can be visualized in SuperPro Designer. </w:t>
      </w:r>
      <w:r w:rsidR="00A257E8" w:rsidRPr="001F1475">
        <w:rPr>
          <w:rFonts w:ascii="Arial" w:hAnsi="Arial" w:cs="Arial"/>
          <w:sz w:val="20"/>
          <w:szCs w:val="20"/>
        </w:rPr>
        <w:t xml:space="preserve">Figure </w:t>
      </w:r>
      <w:r w:rsidR="000306B4" w:rsidRPr="001F1475">
        <w:rPr>
          <w:rFonts w:ascii="Arial" w:hAnsi="Arial" w:cs="Arial"/>
          <w:sz w:val="20"/>
          <w:szCs w:val="20"/>
        </w:rPr>
        <w:t>4</w:t>
      </w:r>
      <w:r w:rsidR="00A257E8">
        <w:rPr>
          <w:rFonts w:ascii="Arial" w:hAnsi="Arial" w:cs="Arial"/>
          <w:sz w:val="20"/>
          <w:szCs w:val="20"/>
        </w:rPr>
        <w:t xml:space="preserve"> </w:t>
      </w:r>
      <w:r w:rsidR="0076351A">
        <w:rPr>
          <w:rFonts w:ascii="Arial" w:hAnsi="Arial" w:cs="Arial"/>
          <w:sz w:val="20"/>
          <w:szCs w:val="20"/>
        </w:rPr>
        <w:t>displays the contents of the H</w:t>
      </w:r>
      <w:r w:rsidR="001F1475">
        <w:rPr>
          <w:rFonts w:ascii="Arial" w:hAnsi="Arial" w:cs="Arial"/>
          <w:sz w:val="20"/>
          <w:szCs w:val="20"/>
        </w:rPr>
        <w:t xml:space="preserve">ydrogenation reactor (R-101) during a typical </w:t>
      </w:r>
      <w:r w:rsidR="00707495">
        <w:rPr>
          <w:rFonts w:ascii="Arial" w:hAnsi="Arial" w:cs="Arial"/>
          <w:sz w:val="20"/>
          <w:szCs w:val="20"/>
        </w:rPr>
        <w:t>batch</w:t>
      </w:r>
      <w:r w:rsidR="001F1475">
        <w:rPr>
          <w:rFonts w:ascii="Arial" w:hAnsi="Arial" w:cs="Arial"/>
          <w:sz w:val="20"/>
          <w:szCs w:val="20"/>
        </w:rPr>
        <w:t xml:space="preserve"> (at the start </w:t>
      </w:r>
      <w:r w:rsidR="00707495">
        <w:rPr>
          <w:rFonts w:ascii="Arial" w:hAnsi="Arial" w:cs="Arial"/>
          <w:sz w:val="20"/>
          <w:szCs w:val="20"/>
        </w:rPr>
        <w:t xml:space="preserve">of the batch </w:t>
      </w:r>
      <w:r w:rsidR="001F1475">
        <w:rPr>
          <w:rFonts w:ascii="Arial" w:hAnsi="Arial" w:cs="Arial"/>
          <w:sz w:val="20"/>
          <w:szCs w:val="20"/>
        </w:rPr>
        <w:t>and after each operation)</w:t>
      </w:r>
      <w:r w:rsidR="0070684C">
        <w:rPr>
          <w:rFonts w:ascii="Arial" w:hAnsi="Arial" w:cs="Arial"/>
          <w:sz w:val="20"/>
          <w:szCs w:val="20"/>
        </w:rPr>
        <w:t xml:space="preserve">. This </w:t>
      </w:r>
      <w:r w:rsidR="00A257E8">
        <w:rPr>
          <w:rFonts w:ascii="Arial" w:hAnsi="Arial" w:cs="Arial"/>
          <w:sz w:val="20"/>
          <w:szCs w:val="20"/>
        </w:rPr>
        <w:t xml:space="preserve">table </w:t>
      </w:r>
      <w:r w:rsidR="0070684C">
        <w:rPr>
          <w:rFonts w:ascii="Arial" w:hAnsi="Arial" w:cs="Arial"/>
          <w:sz w:val="20"/>
          <w:szCs w:val="20"/>
        </w:rPr>
        <w:t xml:space="preserve">is generated by right-clicking on the </w:t>
      </w:r>
      <w:r w:rsidR="0076351A">
        <w:rPr>
          <w:rFonts w:ascii="Arial" w:hAnsi="Arial" w:cs="Arial"/>
          <w:sz w:val="20"/>
          <w:szCs w:val="20"/>
        </w:rPr>
        <w:t xml:space="preserve">Hydrogenation </w:t>
      </w:r>
      <w:r w:rsidR="0070684C">
        <w:rPr>
          <w:rFonts w:ascii="Arial" w:hAnsi="Arial" w:cs="Arial"/>
          <w:sz w:val="20"/>
          <w:szCs w:val="20"/>
        </w:rPr>
        <w:t xml:space="preserve">procedure icon and selecting </w:t>
      </w:r>
      <w:r w:rsidR="00A257E8" w:rsidRPr="00A257E8">
        <w:rPr>
          <w:rFonts w:ascii="Arial" w:hAnsi="Arial" w:cs="Arial"/>
          <w:b/>
          <w:sz w:val="20"/>
          <w:szCs w:val="20"/>
        </w:rPr>
        <w:t>Equipment Contents</w:t>
      </w:r>
      <w:r w:rsidR="00707495">
        <w:rPr>
          <w:rFonts w:ascii="Arial" w:hAnsi="Arial" w:cs="Arial"/>
          <w:b/>
          <w:sz w:val="20"/>
          <w:szCs w:val="20"/>
        </w:rPr>
        <w:t xml:space="preserve"> </w:t>
      </w:r>
      <w:r w:rsidR="00707495" w:rsidRPr="00BE31BD">
        <w:rPr>
          <w:rFonts w:ascii="Arial" w:hAnsi="Arial" w:cs="Arial"/>
          <w:b/>
          <w:color w:val="000000"/>
          <w:sz w:val="20"/>
          <w:szCs w:val="20"/>
        </w:rPr>
        <w:sym w:font="Wingdings" w:char="F0DC"/>
      </w:r>
      <w:r w:rsidR="0070684C">
        <w:rPr>
          <w:rFonts w:ascii="Arial" w:hAnsi="Arial" w:cs="Arial"/>
          <w:sz w:val="20"/>
          <w:szCs w:val="20"/>
        </w:rPr>
        <w:t xml:space="preserve"> </w:t>
      </w:r>
      <w:r w:rsidR="001F1475">
        <w:rPr>
          <w:rFonts w:ascii="Arial" w:hAnsi="Arial" w:cs="Arial"/>
          <w:b/>
          <w:sz w:val="20"/>
          <w:szCs w:val="20"/>
        </w:rPr>
        <w:t>During P-3.</w:t>
      </w:r>
    </w:p>
    <w:p w:rsidR="001D7870" w:rsidRDefault="001D7870" w:rsidP="00322837">
      <w:pPr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322837" w:rsidRDefault="00322837" w:rsidP="003C5BAE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810250" cy="2978806"/>
            <wp:effectExtent l="19050" t="0" r="0" b="0"/>
            <wp:docPr id="7" name="Εικόνα 7" descr="C:\Users\Σοφι\Pictures\Contents of R-101 (during execution of P-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Σοφι\Pictures\Contents of R-101 (during execution of P-3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769" t="8571" r="5769" b="10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7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3C" w:rsidRPr="00BE31BD" w:rsidRDefault="00A257E8" w:rsidP="003C5BAE">
      <w:pPr>
        <w:jc w:val="left"/>
        <w:rPr>
          <w:rFonts w:ascii="Arial" w:hAnsi="Arial" w:cs="Arial"/>
          <w:sz w:val="20"/>
          <w:szCs w:val="20"/>
        </w:rPr>
      </w:pPr>
      <w:r w:rsidRPr="00A257E8">
        <w:rPr>
          <w:rFonts w:ascii="Arial" w:hAnsi="Arial" w:cs="Arial"/>
          <w:b/>
          <w:sz w:val="20"/>
          <w:szCs w:val="20"/>
        </w:rPr>
        <w:t xml:space="preserve">Figure </w:t>
      </w:r>
      <w:r w:rsidR="000306B4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70684C">
        <w:rPr>
          <w:rFonts w:ascii="Arial" w:hAnsi="Arial" w:cs="Arial"/>
          <w:sz w:val="20"/>
          <w:szCs w:val="20"/>
        </w:rPr>
        <w:t xml:space="preserve">The contents of the hydrogenation reactor </w:t>
      </w:r>
      <w:r w:rsidR="0070684C" w:rsidRPr="0070684C">
        <w:rPr>
          <w:rFonts w:ascii="Arial" w:hAnsi="Arial" w:cs="Arial"/>
          <w:sz w:val="20"/>
          <w:szCs w:val="20"/>
        </w:rPr>
        <w:t>(R-101)</w:t>
      </w:r>
    </w:p>
    <w:p w:rsidR="00FF2AF2" w:rsidRPr="00611D8B" w:rsidRDefault="00FF2AF2" w:rsidP="00FF2AF2">
      <w:pPr>
        <w:keepNext/>
        <w:keepLines/>
        <w:jc w:val="left"/>
        <w:rPr>
          <w:rFonts w:ascii="Arial" w:hAnsi="Arial" w:cs="Arial"/>
          <w:b/>
          <w:color w:val="984806"/>
          <w:sz w:val="28"/>
          <w:szCs w:val="28"/>
        </w:rPr>
      </w:pPr>
      <w:r>
        <w:rPr>
          <w:rFonts w:ascii="Arial" w:hAnsi="Arial" w:cs="Arial"/>
          <w:b/>
          <w:color w:val="984806"/>
          <w:sz w:val="28"/>
          <w:szCs w:val="28"/>
        </w:rPr>
        <w:lastRenderedPageBreak/>
        <w:t>Summary</w:t>
      </w:r>
    </w:p>
    <w:p w:rsidR="00FF2AF2" w:rsidRDefault="00FF2AF2" w:rsidP="00FF2AF2">
      <w:pPr>
        <w:keepNext/>
        <w:keepLines/>
        <w:spacing w:befor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indicated in the preceding analysis</w:t>
      </w:r>
      <w:r w:rsidR="006A0BD1">
        <w:rPr>
          <w:rFonts w:ascii="Arial" w:hAnsi="Arial" w:cs="Arial"/>
          <w:sz w:val="20"/>
          <w:szCs w:val="20"/>
        </w:rPr>
        <w:t>,</w:t>
      </w:r>
      <w:r w:rsidR="00E168A6">
        <w:rPr>
          <w:rFonts w:ascii="Arial" w:hAnsi="Arial" w:cs="Arial"/>
          <w:sz w:val="20"/>
          <w:szCs w:val="20"/>
        </w:rPr>
        <w:t xml:space="preserve"> </w:t>
      </w:r>
      <w:r w:rsidR="00217884">
        <w:rPr>
          <w:rFonts w:ascii="Arial" w:hAnsi="Arial" w:cs="Arial"/>
          <w:sz w:val="20"/>
          <w:szCs w:val="20"/>
        </w:rPr>
        <w:t>a manufacturing plant</w:t>
      </w:r>
      <w:r w:rsidR="00E168A6">
        <w:rPr>
          <w:rFonts w:ascii="Arial" w:hAnsi="Arial" w:cs="Arial"/>
          <w:sz w:val="20"/>
          <w:szCs w:val="20"/>
        </w:rPr>
        <w:t xml:space="preserve"> producing </w:t>
      </w:r>
      <w:r w:rsidR="000A108A">
        <w:rPr>
          <w:rFonts w:ascii="Arial" w:hAnsi="Arial" w:cs="Arial"/>
          <w:sz w:val="20"/>
          <w:szCs w:val="20"/>
        </w:rPr>
        <w:t xml:space="preserve">31,000 MT/year of </w:t>
      </w:r>
      <w:r w:rsidR="0076351A">
        <w:rPr>
          <w:rFonts w:ascii="Arial" w:hAnsi="Arial" w:cs="Arial"/>
          <w:sz w:val="20"/>
          <w:szCs w:val="20"/>
        </w:rPr>
        <w:t xml:space="preserve">spray dried 95% </w:t>
      </w:r>
      <w:r w:rsidR="00E168A6">
        <w:rPr>
          <w:rFonts w:ascii="Arial" w:hAnsi="Arial" w:cs="Arial"/>
          <w:sz w:val="20"/>
          <w:szCs w:val="20"/>
        </w:rPr>
        <w:t xml:space="preserve">sorbitol from </w:t>
      </w:r>
      <w:r w:rsidR="000A108A">
        <w:rPr>
          <w:rFonts w:ascii="Arial" w:hAnsi="Arial" w:cs="Arial"/>
          <w:sz w:val="20"/>
          <w:szCs w:val="20"/>
        </w:rPr>
        <w:t xml:space="preserve">95% </w:t>
      </w:r>
      <w:r w:rsidR="00E168A6">
        <w:rPr>
          <w:rFonts w:ascii="Arial" w:hAnsi="Arial" w:cs="Arial"/>
          <w:sz w:val="20"/>
          <w:szCs w:val="20"/>
        </w:rPr>
        <w:t xml:space="preserve">glucose syrup </w:t>
      </w:r>
      <w:r>
        <w:rPr>
          <w:rFonts w:ascii="Arial" w:hAnsi="Arial" w:cs="Arial"/>
          <w:sz w:val="20"/>
          <w:szCs w:val="20"/>
        </w:rPr>
        <w:t>requires</w:t>
      </w:r>
      <w:r w:rsidRPr="00B20EAE">
        <w:rPr>
          <w:rFonts w:ascii="Arial" w:hAnsi="Arial" w:cs="Arial"/>
          <w:sz w:val="20"/>
          <w:szCs w:val="20"/>
        </w:rPr>
        <w:t xml:space="preserve"> a total CAPEX of </w:t>
      </w:r>
      <w:r>
        <w:rPr>
          <w:rFonts w:ascii="Arial" w:hAnsi="Arial" w:cs="Arial"/>
          <w:sz w:val="20"/>
          <w:szCs w:val="20"/>
        </w:rPr>
        <w:t>around $</w:t>
      </w:r>
      <w:r w:rsidR="00E168A6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million </w:t>
      </w:r>
      <w:r w:rsidRPr="00B20EAE">
        <w:rPr>
          <w:rFonts w:ascii="Arial" w:hAnsi="Arial" w:cs="Arial"/>
          <w:sz w:val="20"/>
          <w:szCs w:val="20"/>
        </w:rPr>
        <w:t xml:space="preserve">and </w:t>
      </w:r>
      <w:r w:rsidR="00DE6138">
        <w:rPr>
          <w:rFonts w:ascii="Arial" w:hAnsi="Arial" w:cs="Arial"/>
          <w:sz w:val="20"/>
          <w:szCs w:val="20"/>
        </w:rPr>
        <w:t xml:space="preserve">has </w:t>
      </w:r>
      <w:r>
        <w:rPr>
          <w:rFonts w:ascii="Arial" w:hAnsi="Arial" w:cs="Arial"/>
          <w:sz w:val="20"/>
          <w:szCs w:val="20"/>
        </w:rPr>
        <w:t xml:space="preserve">annual </w:t>
      </w:r>
      <w:r w:rsidRPr="00B20EAE">
        <w:rPr>
          <w:rFonts w:ascii="Arial" w:hAnsi="Arial" w:cs="Arial"/>
          <w:sz w:val="20"/>
          <w:szCs w:val="20"/>
        </w:rPr>
        <w:t xml:space="preserve">operating </w:t>
      </w:r>
      <w:r>
        <w:rPr>
          <w:rFonts w:ascii="Arial" w:hAnsi="Arial" w:cs="Arial"/>
          <w:sz w:val="20"/>
          <w:szCs w:val="20"/>
        </w:rPr>
        <w:t xml:space="preserve">expenditures </w:t>
      </w:r>
      <w:r w:rsidRPr="00B20EAE"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>around $</w:t>
      </w:r>
      <w:r w:rsidR="00DE6138">
        <w:rPr>
          <w:rFonts w:ascii="Arial" w:hAnsi="Arial" w:cs="Arial"/>
          <w:sz w:val="20"/>
          <w:szCs w:val="20"/>
        </w:rPr>
        <w:t>2</w:t>
      </w:r>
      <w:r w:rsidR="00B26082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million</w:t>
      </w:r>
      <w:r w:rsidRPr="00B20EAE">
        <w:rPr>
          <w:rFonts w:ascii="Arial" w:hAnsi="Arial" w:cs="Arial"/>
          <w:sz w:val="20"/>
          <w:szCs w:val="20"/>
        </w:rPr>
        <w:t xml:space="preserve">. </w:t>
      </w:r>
      <w:r w:rsidR="00585B28">
        <w:rPr>
          <w:rFonts w:ascii="Arial" w:hAnsi="Arial" w:cs="Arial"/>
          <w:sz w:val="20"/>
          <w:szCs w:val="20"/>
        </w:rPr>
        <w:t>The glucose syrup raw material</w:t>
      </w:r>
      <w:r w:rsidR="00217884">
        <w:rPr>
          <w:rFonts w:ascii="Arial" w:hAnsi="Arial" w:cs="Arial"/>
          <w:sz w:val="20"/>
          <w:szCs w:val="20"/>
        </w:rPr>
        <w:t xml:space="preserve"> is the most important operating cost (50% of total)</w:t>
      </w:r>
      <w:r w:rsidR="00430100">
        <w:rPr>
          <w:rFonts w:ascii="Arial" w:hAnsi="Arial" w:cs="Arial"/>
          <w:sz w:val="20"/>
          <w:szCs w:val="20"/>
        </w:rPr>
        <w:t>,</w:t>
      </w:r>
      <w:r w:rsidR="00585B28">
        <w:rPr>
          <w:rFonts w:ascii="Arial" w:hAnsi="Arial" w:cs="Arial"/>
          <w:sz w:val="20"/>
          <w:szCs w:val="20"/>
        </w:rPr>
        <w:t xml:space="preserve"> followed by the </w:t>
      </w:r>
      <w:r w:rsidR="00430100">
        <w:rPr>
          <w:rFonts w:ascii="Arial" w:hAnsi="Arial" w:cs="Arial"/>
          <w:sz w:val="20"/>
          <w:szCs w:val="20"/>
        </w:rPr>
        <w:t>facility-dependent cost which account</w:t>
      </w:r>
      <w:r w:rsidR="003A74DD">
        <w:rPr>
          <w:rFonts w:ascii="Arial" w:hAnsi="Arial" w:cs="Arial"/>
          <w:sz w:val="20"/>
          <w:szCs w:val="20"/>
        </w:rPr>
        <w:t>s</w:t>
      </w:r>
      <w:r w:rsidR="00430100">
        <w:rPr>
          <w:rFonts w:ascii="Arial" w:hAnsi="Arial" w:cs="Arial"/>
          <w:sz w:val="20"/>
          <w:szCs w:val="20"/>
        </w:rPr>
        <w:t xml:space="preserve"> for </w:t>
      </w:r>
      <w:r w:rsidR="003A74DD">
        <w:rPr>
          <w:rFonts w:ascii="Arial" w:hAnsi="Arial" w:cs="Arial"/>
          <w:sz w:val="20"/>
          <w:szCs w:val="20"/>
        </w:rPr>
        <w:t xml:space="preserve">the </w:t>
      </w:r>
      <w:r w:rsidR="00430100">
        <w:rPr>
          <w:rFonts w:ascii="Arial" w:hAnsi="Arial" w:cs="Arial"/>
          <w:sz w:val="20"/>
          <w:szCs w:val="20"/>
        </w:rPr>
        <w:t>depreciation of the fixed capital</w:t>
      </w:r>
      <w:r w:rsidR="003A74DD">
        <w:rPr>
          <w:rFonts w:ascii="Arial" w:hAnsi="Arial" w:cs="Arial"/>
          <w:sz w:val="20"/>
          <w:szCs w:val="20"/>
        </w:rPr>
        <w:t xml:space="preserve"> investment and the maintenance</w:t>
      </w:r>
      <w:r w:rsidR="003E120B">
        <w:rPr>
          <w:rFonts w:ascii="Arial" w:hAnsi="Arial" w:cs="Arial"/>
          <w:sz w:val="20"/>
          <w:szCs w:val="20"/>
        </w:rPr>
        <w:t xml:space="preserve"> </w:t>
      </w:r>
      <w:r w:rsidR="00430100">
        <w:rPr>
          <w:rFonts w:ascii="Arial" w:hAnsi="Arial" w:cs="Arial"/>
          <w:sz w:val="20"/>
          <w:szCs w:val="20"/>
        </w:rPr>
        <w:t>of the plant</w:t>
      </w:r>
      <w:r w:rsidR="00585B28">
        <w:rPr>
          <w:rFonts w:ascii="Arial" w:hAnsi="Arial" w:cs="Arial"/>
          <w:sz w:val="20"/>
          <w:szCs w:val="20"/>
        </w:rPr>
        <w:t>. This clearly indicates that depreciated facilities</w:t>
      </w:r>
      <w:r w:rsidR="00BD74D4">
        <w:rPr>
          <w:rFonts w:ascii="Arial" w:hAnsi="Arial" w:cs="Arial"/>
          <w:sz w:val="20"/>
          <w:szCs w:val="20"/>
        </w:rPr>
        <w:t xml:space="preserve"> can</w:t>
      </w:r>
      <w:r w:rsidR="00585B28">
        <w:rPr>
          <w:rFonts w:ascii="Arial" w:hAnsi="Arial" w:cs="Arial"/>
          <w:sz w:val="20"/>
          <w:szCs w:val="20"/>
        </w:rPr>
        <w:t xml:space="preserve"> have a con</w:t>
      </w:r>
      <w:r w:rsidR="006C6B5D">
        <w:rPr>
          <w:rFonts w:ascii="Arial" w:hAnsi="Arial" w:cs="Arial"/>
          <w:sz w:val="20"/>
          <w:szCs w:val="20"/>
        </w:rPr>
        <w:t>siderably lower production cost</w:t>
      </w:r>
      <w:r w:rsidR="009771F8">
        <w:rPr>
          <w:rFonts w:ascii="Arial" w:hAnsi="Arial" w:cs="Arial"/>
          <w:sz w:val="20"/>
          <w:szCs w:val="20"/>
        </w:rPr>
        <w:t xml:space="preserve">. Moreover, the integration of </w:t>
      </w:r>
      <w:r w:rsidR="00DE6138">
        <w:rPr>
          <w:rFonts w:ascii="Arial" w:hAnsi="Arial" w:cs="Arial"/>
          <w:sz w:val="20"/>
          <w:szCs w:val="20"/>
        </w:rPr>
        <w:t xml:space="preserve">sorbitol </w:t>
      </w:r>
      <w:r w:rsidR="009771F8">
        <w:rPr>
          <w:rFonts w:ascii="Arial" w:hAnsi="Arial" w:cs="Arial"/>
          <w:sz w:val="20"/>
          <w:szCs w:val="20"/>
        </w:rPr>
        <w:t xml:space="preserve">production lines within a corn refinery </w:t>
      </w:r>
      <w:r w:rsidR="000A40B6">
        <w:rPr>
          <w:rFonts w:ascii="Arial" w:hAnsi="Arial" w:cs="Arial"/>
          <w:sz w:val="20"/>
          <w:szCs w:val="20"/>
        </w:rPr>
        <w:t>which includes</w:t>
      </w:r>
      <w:r w:rsidR="00DE6138">
        <w:rPr>
          <w:rFonts w:ascii="Arial" w:hAnsi="Arial" w:cs="Arial"/>
          <w:sz w:val="20"/>
          <w:szCs w:val="20"/>
        </w:rPr>
        <w:t xml:space="preserve"> glucose syrup production </w:t>
      </w:r>
      <w:r w:rsidR="001C2CBD">
        <w:rPr>
          <w:rFonts w:ascii="Arial" w:hAnsi="Arial" w:cs="Arial"/>
          <w:sz w:val="20"/>
          <w:szCs w:val="20"/>
        </w:rPr>
        <w:t>can</w:t>
      </w:r>
      <w:bookmarkStart w:id="0" w:name="_GoBack"/>
      <w:bookmarkEnd w:id="0"/>
      <w:r w:rsidR="006C6B5D">
        <w:rPr>
          <w:rFonts w:ascii="Arial" w:hAnsi="Arial" w:cs="Arial"/>
          <w:sz w:val="20"/>
          <w:szCs w:val="20"/>
        </w:rPr>
        <w:t xml:space="preserve"> result</w:t>
      </w:r>
      <w:r w:rsidR="009771F8">
        <w:rPr>
          <w:rFonts w:ascii="Arial" w:hAnsi="Arial" w:cs="Arial"/>
          <w:sz w:val="20"/>
          <w:szCs w:val="20"/>
        </w:rPr>
        <w:t xml:space="preserve"> in synergies which </w:t>
      </w:r>
      <w:r w:rsidR="003E120B">
        <w:rPr>
          <w:rFonts w:ascii="Arial" w:hAnsi="Arial" w:cs="Arial"/>
          <w:sz w:val="20"/>
          <w:szCs w:val="20"/>
        </w:rPr>
        <w:t>can</w:t>
      </w:r>
      <w:r w:rsidR="006C6B5D">
        <w:rPr>
          <w:rFonts w:ascii="Arial" w:hAnsi="Arial" w:cs="Arial"/>
          <w:sz w:val="20"/>
          <w:szCs w:val="20"/>
        </w:rPr>
        <w:t xml:space="preserve"> </w:t>
      </w:r>
      <w:r w:rsidR="009771F8">
        <w:rPr>
          <w:rFonts w:ascii="Arial" w:hAnsi="Arial" w:cs="Arial"/>
          <w:sz w:val="20"/>
          <w:szCs w:val="20"/>
        </w:rPr>
        <w:t>improve profitability</w:t>
      </w:r>
      <w:r w:rsidR="000A40B6">
        <w:rPr>
          <w:rFonts w:ascii="Arial" w:hAnsi="Arial" w:cs="Arial"/>
          <w:sz w:val="20"/>
          <w:szCs w:val="20"/>
        </w:rPr>
        <w:t xml:space="preserve"> further</w:t>
      </w:r>
      <w:r w:rsidR="009771F8">
        <w:rPr>
          <w:rFonts w:ascii="Arial" w:hAnsi="Arial" w:cs="Arial"/>
          <w:sz w:val="20"/>
          <w:szCs w:val="20"/>
        </w:rPr>
        <w:t>.</w:t>
      </w:r>
      <w:r w:rsidR="00DE6138">
        <w:rPr>
          <w:rFonts w:ascii="Arial" w:hAnsi="Arial" w:cs="Arial"/>
          <w:sz w:val="20"/>
          <w:szCs w:val="20"/>
        </w:rPr>
        <w:t xml:space="preserve"> </w:t>
      </w:r>
    </w:p>
    <w:p w:rsidR="00F6095E" w:rsidRPr="00BE31BD" w:rsidRDefault="00F6095E" w:rsidP="004B4E82">
      <w:pPr>
        <w:jc w:val="left"/>
        <w:rPr>
          <w:rFonts w:ascii="Arial" w:hAnsi="Arial" w:cs="Arial"/>
          <w:sz w:val="20"/>
          <w:szCs w:val="20"/>
        </w:rPr>
      </w:pPr>
    </w:p>
    <w:p w:rsidR="008C4870" w:rsidRPr="00BE31BD" w:rsidRDefault="00F6095E" w:rsidP="00A86A68">
      <w:pPr>
        <w:jc w:val="left"/>
        <w:rPr>
          <w:rFonts w:ascii="Arial" w:hAnsi="Arial" w:cs="Arial"/>
          <w:b/>
          <w:color w:val="984806"/>
          <w:sz w:val="28"/>
          <w:szCs w:val="28"/>
        </w:rPr>
      </w:pPr>
      <w:r w:rsidRPr="00BE31BD">
        <w:rPr>
          <w:rFonts w:ascii="Arial" w:hAnsi="Arial" w:cs="Arial"/>
          <w:b/>
          <w:color w:val="984806"/>
          <w:sz w:val="28"/>
          <w:szCs w:val="28"/>
        </w:rPr>
        <w:t>References</w:t>
      </w:r>
    </w:p>
    <w:p w:rsidR="005A774F" w:rsidRDefault="005A774F" w:rsidP="009150D4">
      <w:pPr>
        <w:spacing w:before="240"/>
        <w:jc w:val="left"/>
        <w:rPr>
          <w:rFonts w:ascii="Arial" w:hAnsi="Arial" w:cs="Arial"/>
          <w:sz w:val="20"/>
          <w:szCs w:val="20"/>
          <w:lang w:val="en-GB"/>
        </w:rPr>
      </w:pPr>
      <w:proofErr w:type="spellStart"/>
      <w:r>
        <w:rPr>
          <w:rFonts w:ascii="Arial" w:hAnsi="Arial" w:cs="Arial"/>
          <w:sz w:val="20"/>
          <w:szCs w:val="20"/>
        </w:rPr>
        <w:t>Bahndorf</w:t>
      </w:r>
      <w:proofErr w:type="spellEnd"/>
      <w:r>
        <w:rPr>
          <w:rFonts w:ascii="Arial" w:hAnsi="Arial" w:cs="Arial"/>
          <w:sz w:val="20"/>
          <w:szCs w:val="20"/>
        </w:rPr>
        <w:t xml:space="preserve"> D. and </w:t>
      </w:r>
      <w:proofErr w:type="spellStart"/>
      <w:r>
        <w:rPr>
          <w:rFonts w:ascii="Arial" w:hAnsi="Arial" w:cs="Arial"/>
          <w:sz w:val="20"/>
          <w:szCs w:val="20"/>
        </w:rPr>
        <w:t>Kienle</w:t>
      </w:r>
      <w:proofErr w:type="spellEnd"/>
      <w:r>
        <w:rPr>
          <w:rFonts w:ascii="Arial" w:hAnsi="Arial" w:cs="Arial"/>
          <w:sz w:val="20"/>
          <w:szCs w:val="20"/>
        </w:rPr>
        <w:t xml:space="preserve"> U., 2004, World Market of Sugar and Sweeteners, International Association for Stevia Research</w:t>
      </w:r>
    </w:p>
    <w:p w:rsidR="009150D4" w:rsidRDefault="009150D4" w:rsidP="009150D4">
      <w:pPr>
        <w:spacing w:before="240"/>
        <w:jc w:val="left"/>
        <w:rPr>
          <w:rFonts w:ascii="Arial" w:hAnsi="Arial" w:cs="Arial"/>
          <w:sz w:val="20"/>
          <w:szCs w:val="20"/>
          <w:lang w:val="en-GB"/>
        </w:rPr>
      </w:pPr>
      <w:proofErr w:type="spellStart"/>
      <w:r>
        <w:rPr>
          <w:rFonts w:ascii="Arial" w:hAnsi="Arial" w:cs="Arial"/>
          <w:sz w:val="20"/>
          <w:szCs w:val="20"/>
          <w:lang w:val="en-GB"/>
        </w:rPr>
        <w:t>BeMiller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J. and Whistler R., 2009, Starch Chemistry and Technology, Elsevier, Oxford, UK</w:t>
      </w:r>
    </w:p>
    <w:p w:rsidR="00F6095E" w:rsidRDefault="002D5D40" w:rsidP="008C4870">
      <w:pPr>
        <w:spacing w:before="240"/>
        <w:jc w:val="lef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Johnson L.A. and May J.B, 2003, </w:t>
      </w:r>
      <w:r w:rsidR="00DA38B6">
        <w:rPr>
          <w:rFonts w:ascii="Arial" w:hAnsi="Arial" w:cs="Arial"/>
          <w:sz w:val="20"/>
          <w:szCs w:val="20"/>
          <w:lang w:val="en-GB"/>
        </w:rPr>
        <w:t>“</w:t>
      </w:r>
      <w:r w:rsidRPr="002D5D40">
        <w:rPr>
          <w:rFonts w:ascii="Arial" w:hAnsi="Arial" w:cs="Arial"/>
          <w:sz w:val="20"/>
          <w:szCs w:val="20"/>
          <w:lang w:val="en-GB"/>
        </w:rPr>
        <w:t xml:space="preserve">Wet milling: the basis for corn </w:t>
      </w:r>
      <w:proofErr w:type="spellStart"/>
      <w:r w:rsidRPr="002D5D40">
        <w:rPr>
          <w:rFonts w:ascii="Arial" w:hAnsi="Arial" w:cs="Arial"/>
          <w:sz w:val="20"/>
          <w:szCs w:val="20"/>
          <w:lang w:val="en-GB"/>
        </w:rPr>
        <w:t>biorefineries</w:t>
      </w:r>
      <w:proofErr w:type="spellEnd"/>
      <w:r w:rsidR="00DA38B6">
        <w:rPr>
          <w:rFonts w:ascii="Arial" w:hAnsi="Arial" w:cs="Arial"/>
          <w:sz w:val="20"/>
          <w:szCs w:val="20"/>
          <w:lang w:val="en-GB"/>
        </w:rPr>
        <w:t xml:space="preserve">”, in </w:t>
      </w:r>
      <w:r w:rsidR="00DA38B6" w:rsidRPr="00DA38B6">
        <w:rPr>
          <w:rFonts w:ascii="Arial" w:hAnsi="Arial" w:cs="Arial"/>
          <w:sz w:val="20"/>
          <w:szCs w:val="20"/>
          <w:lang w:val="en-GB"/>
        </w:rPr>
        <w:t>Corn: chemistry and technology</w:t>
      </w:r>
      <w:r w:rsidR="00DA38B6">
        <w:rPr>
          <w:rFonts w:ascii="Arial" w:hAnsi="Arial" w:cs="Arial"/>
          <w:sz w:val="20"/>
          <w:szCs w:val="20"/>
          <w:lang w:val="en-GB"/>
        </w:rPr>
        <w:t xml:space="preserve">, Edited by White P.J and Johnson L.A, </w:t>
      </w:r>
      <w:r w:rsidR="00153D00">
        <w:rPr>
          <w:rFonts w:ascii="Arial" w:hAnsi="Arial" w:cs="Arial"/>
          <w:sz w:val="20"/>
          <w:szCs w:val="20"/>
          <w:lang w:val="en-GB"/>
        </w:rPr>
        <w:t xml:space="preserve">AACC, St Paul, Minnesota </w:t>
      </w:r>
    </w:p>
    <w:p w:rsidR="00537BB6" w:rsidRDefault="00537BB6" w:rsidP="008C4870">
      <w:pPr>
        <w:spacing w:before="240"/>
        <w:jc w:val="lef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Hobbs L., 2009, “Sweeteners from Starch: Production, Properties and Uses”, pp 797-832 in Starch: Chemistry and Technology, </w:t>
      </w:r>
      <w:r w:rsidR="00EE2889">
        <w:rPr>
          <w:rFonts w:ascii="Arial" w:hAnsi="Arial" w:cs="Arial"/>
          <w:sz w:val="20"/>
          <w:szCs w:val="20"/>
          <w:lang w:val="en-GB"/>
        </w:rPr>
        <w:t xml:space="preserve">Edited by </w:t>
      </w:r>
      <w:proofErr w:type="spellStart"/>
      <w:r w:rsidR="00EE2889">
        <w:rPr>
          <w:rFonts w:ascii="Arial" w:hAnsi="Arial" w:cs="Arial"/>
          <w:sz w:val="20"/>
          <w:szCs w:val="20"/>
          <w:lang w:val="en-GB"/>
        </w:rPr>
        <w:t>BeMiller</w:t>
      </w:r>
      <w:proofErr w:type="spellEnd"/>
      <w:r w:rsidR="00EE2889">
        <w:rPr>
          <w:rFonts w:ascii="Arial" w:hAnsi="Arial" w:cs="Arial"/>
          <w:sz w:val="20"/>
          <w:szCs w:val="20"/>
          <w:lang w:val="en-GB"/>
        </w:rPr>
        <w:t xml:space="preserve"> J. and Whistler R, </w:t>
      </w:r>
      <w:r>
        <w:rPr>
          <w:rFonts w:ascii="Arial" w:hAnsi="Arial" w:cs="Arial"/>
          <w:sz w:val="20"/>
          <w:szCs w:val="20"/>
          <w:lang w:val="en-GB"/>
        </w:rPr>
        <w:t>3</w:t>
      </w:r>
      <w:r w:rsidRPr="00537BB6">
        <w:rPr>
          <w:rFonts w:ascii="Arial" w:hAnsi="Arial" w:cs="Arial"/>
          <w:sz w:val="20"/>
          <w:szCs w:val="20"/>
          <w:vertAlign w:val="superscript"/>
          <w:lang w:val="en-GB"/>
        </w:rPr>
        <w:t>rd</w:t>
      </w:r>
      <w:r>
        <w:rPr>
          <w:rFonts w:ascii="Arial" w:hAnsi="Arial" w:cs="Arial"/>
          <w:sz w:val="20"/>
          <w:szCs w:val="20"/>
          <w:lang w:val="en-GB"/>
        </w:rPr>
        <w:t xml:space="preserve"> edition, Elsevier, Oxford, UK</w:t>
      </w:r>
    </w:p>
    <w:p w:rsidR="00905220" w:rsidRDefault="00905220" w:rsidP="008C4870">
      <w:pPr>
        <w:spacing w:before="240"/>
        <w:jc w:val="lef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Hull P., 2010, Glucose Syrups Technology and Applications, Wiley Blackwell, Oxford, UK </w:t>
      </w:r>
    </w:p>
    <w:p w:rsidR="00153D00" w:rsidRDefault="00153D00" w:rsidP="008C4870">
      <w:pPr>
        <w:spacing w:before="240"/>
        <w:jc w:val="lef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Raquel de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Pinho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Ferreira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Guine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and Paula Maria dos Reis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Correia</w:t>
      </w:r>
      <w:proofErr w:type="spellEnd"/>
      <w:r>
        <w:rPr>
          <w:rFonts w:ascii="Arial" w:hAnsi="Arial" w:cs="Arial"/>
          <w:sz w:val="20"/>
          <w:szCs w:val="20"/>
          <w:lang w:val="en-GB"/>
        </w:rPr>
        <w:t>, 2014, Engineering Aspects of Cereals and Cereal-based Products, CRC Press, Taylor &amp; Francis Group, New York</w:t>
      </w:r>
    </w:p>
    <w:p w:rsidR="00153D00" w:rsidRDefault="00153D00" w:rsidP="008C4870">
      <w:pPr>
        <w:spacing w:before="240"/>
        <w:jc w:val="lef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Serna-S</w:t>
      </w:r>
      <w:r w:rsidR="00843EC0">
        <w:rPr>
          <w:rFonts w:ascii="Arial" w:hAnsi="Arial" w:cs="Arial"/>
          <w:sz w:val="20"/>
          <w:szCs w:val="20"/>
          <w:lang w:val="en-GB"/>
        </w:rPr>
        <w:t>a</w:t>
      </w:r>
      <w:r>
        <w:rPr>
          <w:rFonts w:ascii="Arial" w:hAnsi="Arial" w:cs="Arial"/>
          <w:sz w:val="20"/>
          <w:szCs w:val="20"/>
          <w:lang w:val="en-GB"/>
        </w:rPr>
        <w:t xml:space="preserve">ldivar </w:t>
      </w:r>
      <w:r w:rsidR="009150D4">
        <w:rPr>
          <w:rFonts w:ascii="Arial" w:hAnsi="Arial" w:cs="Arial"/>
          <w:sz w:val="20"/>
          <w:szCs w:val="20"/>
          <w:lang w:val="en-GB"/>
        </w:rPr>
        <w:t>S.O., 2010, Cereal Gains: Properties, Processing and Nutritional Attributes, CRC Press, Taylor &amp; Francis Group, New York</w:t>
      </w:r>
    </w:p>
    <w:p w:rsidR="009150D4" w:rsidRDefault="009150D4" w:rsidP="008C4870">
      <w:pPr>
        <w:spacing w:before="240"/>
        <w:jc w:val="left"/>
        <w:rPr>
          <w:rFonts w:ascii="Arial" w:hAnsi="Arial" w:cs="Arial"/>
          <w:sz w:val="20"/>
          <w:szCs w:val="20"/>
          <w:lang w:val="en-GB"/>
        </w:rPr>
      </w:pPr>
    </w:p>
    <w:p w:rsidR="007A47FB" w:rsidRPr="00BE31BD" w:rsidRDefault="007A47FB" w:rsidP="008C4870">
      <w:pPr>
        <w:spacing w:before="240"/>
        <w:jc w:val="left"/>
        <w:rPr>
          <w:rFonts w:ascii="Arial" w:hAnsi="Arial" w:cs="Arial"/>
          <w:sz w:val="20"/>
          <w:szCs w:val="20"/>
        </w:rPr>
      </w:pPr>
    </w:p>
    <w:p w:rsidR="007A47FB" w:rsidRPr="00BE31BD" w:rsidRDefault="007A47FB" w:rsidP="008C4870">
      <w:pPr>
        <w:spacing w:before="240"/>
        <w:jc w:val="left"/>
        <w:rPr>
          <w:rFonts w:ascii="Arial" w:hAnsi="Arial" w:cs="Arial"/>
          <w:sz w:val="20"/>
          <w:szCs w:val="20"/>
        </w:rPr>
      </w:pPr>
    </w:p>
    <w:sectPr w:rsidR="007A47FB" w:rsidRPr="00BE31BD" w:rsidSect="00BA027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939" w:rsidRDefault="00C90939" w:rsidP="00E66CAB">
      <w:pPr>
        <w:spacing w:before="0" w:after="0" w:line="240" w:lineRule="auto"/>
      </w:pPr>
      <w:r>
        <w:separator/>
      </w:r>
    </w:p>
  </w:endnote>
  <w:endnote w:type="continuationSeparator" w:id="0">
    <w:p w:rsidR="00C90939" w:rsidRDefault="00C90939" w:rsidP="00E66C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239" w:rsidRPr="00E66CAB" w:rsidRDefault="004F3239" w:rsidP="00E66CAB">
    <w:pPr>
      <w:pStyle w:val="Footer"/>
      <w:pBdr>
        <w:top w:val="thinThickSmallGap" w:sz="24" w:space="1" w:color="622423"/>
      </w:pBdr>
      <w:tabs>
        <w:tab w:val="right" w:pos="9639"/>
      </w:tabs>
      <w:rPr>
        <w:rFonts w:ascii="Arial" w:hAnsi="Arial" w:cs="Arial"/>
        <w:szCs w:val="20"/>
      </w:rPr>
    </w:pPr>
    <w:r w:rsidRPr="00E66CAB">
      <w:rPr>
        <w:rFonts w:ascii="Arial" w:hAnsi="Arial" w:cs="Arial"/>
        <w:szCs w:val="20"/>
      </w:rPr>
      <w:t>Intelligen, Inc.</w:t>
    </w:r>
    <w:r w:rsidRPr="00E66CAB">
      <w:rPr>
        <w:rFonts w:ascii="Arial" w:hAnsi="Arial" w:cs="Arial"/>
        <w:szCs w:val="20"/>
      </w:rPr>
      <w:tab/>
    </w:r>
    <w:r w:rsidRPr="00E66CAB">
      <w:rPr>
        <w:rFonts w:ascii="Arial" w:hAnsi="Arial" w:cs="Arial"/>
        <w:szCs w:val="20"/>
      </w:rPr>
      <w:tab/>
      <w:t xml:space="preserve">Page </w:t>
    </w:r>
    <w:r w:rsidRPr="00E66CAB">
      <w:rPr>
        <w:rFonts w:ascii="Arial" w:hAnsi="Arial" w:cs="Arial"/>
        <w:szCs w:val="20"/>
      </w:rPr>
      <w:fldChar w:fldCharType="begin"/>
    </w:r>
    <w:r w:rsidRPr="00E66CAB">
      <w:rPr>
        <w:rFonts w:ascii="Arial" w:hAnsi="Arial" w:cs="Arial"/>
        <w:szCs w:val="20"/>
      </w:rPr>
      <w:instrText xml:space="preserve"> PAGE   \* MERGEFORMAT </w:instrText>
    </w:r>
    <w:r w:rsidRPr="00E66CAB">
      <w:rPr>
        <w:rFonts w:ascii="Arial" w:hAnsi="Arial" w:cs="Arial"/>
        <w:szCs w:val="20"/>
      </w:rPr>
      <w:fldChar w:fldCharType="separate"/>
    </w:r>
    <w:r w:rsidR="001C2CBD">
      <w:rPr>
        <w:rFonts w:ascii="Arial" w:hAnsi="Arial" w:cs="Arial"/>
        <w:noProof/>
        <w:szCs w:val="20"/>
      </w:rPr>
      <w:t>11</w:t>
    </w:r>
    <w:r w:rsidRPr="00E66CAB">
      <w:rPr>
        <w:rFonts w:ascii="Arial" w:hAnsi="Arial" w:cs="Arial"/>
        <w:szCs w:val="20"/>
      </w:rPr>
      <w:fldChar w:fldCharType="end"/>
    </w:r>
  </w:p>
  <w:p w:rsidR="004F3239" w:rsidRDefault="004F3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939" w:rsidRDefault="00C90939" w:rsidP="00E66CAB">
      <w:pPr>
        <w:spacing w:before="0" w:after="0" w:line="240" w:lineRule="auto"/>
      </w:pPr>
      <w:r>
        <w:separator/>
      </w:r>
    </w:p>
  </w:footnote>
  <w:footnote w:type="continuationSeparator" w:id="0">
    <w:p w:rsidR="00C90939" w:rsidRDefault="00C90939" w:rsidP="00E66C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0FE"/>
    <w:multiLevelType w:val="multilevel"/>
    <w:tmpl w:val="BBDE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80A72"/>
    <w:multiLevelType w:val="hybridMultilevel"/>
    <w:tmpl w:val="7B607B1C"/>
    <w:lvl w:ilvl="0" w:tplc="373A1EC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E1833"/>
    <w:multiLevelType w:val="multilevel"/>
    <w:tmpl w:val="4716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8B1196"/>
    <w:multiLevelType w:val="hybridMultilevel"/>
    <w:tmpl w:val="B1F2401C"/>
    <w:lvl w:ilvl="0" w:tplc="373A1EC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F6B53"/>
    <w:multiLevelType w:val="hybridMultilevel"/>
    <w:tmpl w:val="3FF06C5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D538A"/>
    <w:multiLevelType w:val="hybridMultilevel"/>
    <w:tmpl w:val="5334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854C2"/>
    <w:multiLevelType w:val="hybridMultilevel"/>
    <w:tmpl w:val="1BD4D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E7A88"/>
    <w:multiLevelType w:val="hybridMultilevel"/>
    <w:tmpl w:val="8B0CE89A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273FE"/>
    <w:multiLevelType w:val="hybridMultilevel"/>
    <w:tmpl w:val="88F498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A734DA"/>
    <w:multiLevelType w:val="hybridMultilevel"/>
    <w:tmpl w:val="A1C0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322D2"/>
    <w:multiLevelType w:val="hybridMultilevel"/>
    <w:tmpl w:val="38FCAC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46A02"/>
    <w:multiLevelType w:val="multilevel"/>
    <w:tmpl w:val="4598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A75D99"/>
    <w:multiLevelType w:val="hybridMultilevel"/>
    <w:tmpl w:val="61463F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85E55E2"/>
    <w:multiLevelType w:val="hybridMultilevel"/>
    <w:tmpl w:val="19ECE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AC3D3C"/>
    <w:multiLevelType w:val="hybridMultilevel"/>
    <w:tmpl w:val="5AE8D300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426FF"/>
    <w:multiLevelType w:val="hybridMultilevel"/>
    <w:tmpl w:val="8C0E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14326"/>
    <w:multiLevelType w:val="hybridMultilevel"/>
    <w:tmpl w:val="13284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0274F"/>
    <w:multiLevelType w:val="hybridMultilevel"/>
    <w:tmpl w:val="1CD8F5EC"/>
    <w:lvl w:ilvl="0" w:tplc="373A1EC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B862F7"/>
    <w:multiLevelType w:val="hybridMultilevel"/>
    <w:tmpl w:val="FF2825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112470"/>
    <w:multiLevelType w:val="hybridMultilevel"/>
    <w:tmpl w:val="1E480A24"/>
    <w:lvl w:ilvl="0" w:tplc="9B6CFD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BA7AAF"/>
    <w:multiLevelType w:val="hybridMultilevel"/>
    <w:tmpl w:val="12021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5"/>
  </w:num>
  <w:num w:numId="6">
    <w:abstractNumId w:val="13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2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  <w:num w:numId="14">
    <w:abstractNumId w:val="11"/>
  </w:num>
  <w:num w:numId="15">
    <w:abstractNumId w:val="14"/>
  </w:num>
  <w:num w:numId="16">
    <w:abstractNumId w:val="1"/>
  </w:num>
  <w:num w:numId="17">
    <w:abstractNumId w:val="9"/>
  </w:num>
  <w:num w:numId="18">
    <w:abstractNumId w:val="20"/>
  </w:num>
  <w:num w:numId="19">
    <w:abstractNumId w:val="6"/>
  </w:num>
  <w:num w:numId="20">
    <w:abstractNumId w:val="17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AB"/>
    <w:rsid w:val="00000341"/>
    <w:rsid w:val="00000631"/>
    <w:rsid w:val="00000A54"/>
    <w:rsid w:val="00000D63"/>
    <w:rsid w:val="000019E4"/>
    <w:rsid w:val="000025D0"/>
    <w:rsid w:val="00002793"/>
    <w:rsid w:val="00002F7C"/>
    <w:rsid w:val="000033BA"/>
    <w:rsid w:val="00003570"/>
    <w:rsid w:val="0000445D"/>
    <w:rsid w:val="00004E0D"/>
    <w:rsid w:val="0000615F"/>
    <w:rsid w:val="000064D8"/>
    <w:rsid w:val="00006FF3"/>
    <w:rsid w:val="00011A60"/>
    <w:rsid w:val="00012383"/>
    <w:rsid w:val="00013010"/>
    <w:rsid w:val="00013912"/>
    <w:rsid w:val="000141AF"/>
    <w:rsid w:val="0001454B"/>
    <w:rsid w:val="00014A7E"/>
    <w:rsid w:val="00014EE6"/>
    <w:rsid w:val="000151C0"/>
    <w:rsid w:val="00016BBE"/>
    <w:rsid w:val="00020409"/>
    <w:rsid w:val="0002069E"/>
    <w:rsid w:val="00020C3C"/>
    <w:rsid w:val="000213A5"/>
    <w:rsid w:val="00021621"/>
    <w:rsid w:val="00021ECC"/>
    <w:rsid w:val="00021FA8"/>
    <w:rsid w:val="000228A6"/>
    <w:rsid w:val="000240A1"/>
    <w:rsid w:val="00024A3A"/>
    <w:rsid w:val="00024E07"/>
    <w:rsid w:val="0002582C"/>
    <w:rsid w:val="000259F7"/>
    <w:rsid w:val="000271F3"/>
    <w:rsid w:val="000306B4"/>
    <w:rsid w:val="00031F01"/>
    <w:rsid w:val="00034A64"/>
    <w:rsid w:val="00034BA3"/>
    <w:rsid w:val="00036794"/>
    <w:rsid w:val="00037E18"/>
    <w:rsid w:val="00040B25"/>
    <w:rsid w:val="00040DD5"/>
    <w:rsid w:val="000419CD"/>
    <w:rsid w:val="000456B5"/>
    <w:rsid w:val="00047303"/>
    <w:rsid w:val="00050FF0"/>
    <w:rsid w:val="00053107"/>
    <w:rsid w:val="00054E01"/>
    <w:rsid w:val="00055DD9"/>
    <w:rsid w:val="000565C2"/>
    <w:rsid w:val="00061914"/>
    <w:rsid w:val="0006290D"/>
    <w:rsid w:val="00064061"/>
    <w:rsid w:val="000649BB"/>
    <w:rsid w:val="00065484"/>
    <w:rsid w:val="000660E3"/>
    <w:rsid w:val="00067B3F"/>
    <w:rsid w:val="000700F9"/>
    <w:rsid w:val="00070530"/>
    <w:rsid w:val="00072587"/>
    <w:rsid w:val="00072F6E"/>
    <w:rsid w:val="00076709"/>
    <w:rsid w:val="00077135"/>
    <w:rsid w:val="0007755F"/>
    <w:rsid w:val="00081C39"/>
    <w:rsid w:val="00082677"/>
    <w:rsid w:val="00083CAB"/>
    <w:rsid w:val="0008457D"/>
    <w:rsid w:val="00084672"/>
    <w:rsid w:val="00084788"/>
    <w:rsid w:val="00090590"/>
    <w:rsid w:val="00091109"/>
    <w:rsid w:val="00091201"/>
    <w:rsid w:val="000913BB"/>
    <w:rsid w:val="00091B2B"/>
    <w:rsid w:val="00092EDA"/>
    <w:rsid w:val="000934AD"/>
    <w:rsid w:val="00095513"/>
    <w:rsid w:val="0009576D"/>
    <w:rsid w:val="00095EBD"/>
    <w:rsid w:val="00097F95"/>
    <w:rsid w:val="000A09D8"/>
    <w:rsid w:val="000A0F6A"/>
    <w:rsid w:val="000A108A"/>
    <w:rsid w:val="000A11ED"/>
    <w:rsid w:val="000A1FAD"/>
    <w:rsid w:val="000A349E"/>
    <w:rsid w:val="000A40B6"/>
    <w:rsid w:val="000A4936"/>
    <w:rsid w:val="000A4AD2"/>
    <w:rsid w:val="000A4CC3"/>
    <w:rsid w:val="000A55CA"/>
    <w:rsid w:val="000A5B07"/>
    <w:rsid w:val="000A667C"/>
    <w:rsid w:val="000A7C9F"/>
    <w:rsid w:val="000B1389"/>
    <w:rsid w:val="000B23E3"/>
    <w:rsid w:val="000B48E8"/>
    <w:rsid w:val="000B59F3"/>
    <w:rsid w:val="000B65F7"/>
    <w:rsid w:val="000B7538"/>
    <w:rsid w:val="000C0783"/>
    <w:rsid w:val="000C0B33"/>
    <w:rsid w:val="000C19D3"/>
    <w:rsid w:val="000C1E7A"/>
    <w:rsid w:val="000C20D5"/>
    <w:rsid w:val="000C20DB"/>
    <w:rsid w:val="000C2B88"/>
    <w:rsid w:val="000C3160"/>
    <w:rsid w:val="000C3A77"/>
    <w:rsid w:val="000C427C"/>
    <w:rsid w:val="000C4911"/>
    <w:rsid w:val="000C4D7D"/>
    <w:rsid w:val="000C6735"/>
    <w:rsid w:val="000D1057"/>
    <w:rsid w:val="000D1C0C"/>
    <w:rsid w:val="000D2160"/>
    <w:rsid w:val="000D2B22"/>
    <w:rsid w:val="000D3B1A"/>
    <w:rsid w:val="000D4D00"/>
    <w:rsid w:val="000D7CA4"/>
    <w:rsid w:val="000E001A"/>
    <w:rsid w:val="000E1B6B"/>
    <w:rsid w:val="000E1B84"/>
    <w:rsid w:val="000E1BCF"/>
    <w:rsid w:val="000E61EF"/>
    <w:rsid w:val="000E7998"/>
    <w:rsid w:val="000E7CDE"/>
    <w:rsid w:val="000F2104"/>
    <w:rsid w:val="000F2473"/>
    <w:rsid w:val="000F2DA3"/>
    <w:rsid w:val="000F3047"/>
    <w:rsid w:val="000F3548"/>
    <w:rsid w:val="000F5126"/>
    <w:rsid w:val="0010191F"/>
    <w:rsid w:val="00101C8F"/>
    <w:rsid w:val="00101CCE"/>
    <w:rsid w:val="00103334"/>
    <w:rsid w:val="00103756"/>
    <w:rsid w:val="00104C35"/>
    <w:rsid w:val="0010518D"/>
    <w:rsid w:val="001077A4"/>
    <w:rsid w:val="00107F15"/>
    <w:rsid w:val="0011070C"/>
    <w:rsid w:val="0011164A"/>
    <w:rsid w:val="0011242B"/>
    <w:rsid w:val="00113344"/>
    <w:rsid w:val="00113373"/>
    <w:rsid w:val="00113508"/>
    <w:rsid w:val="001138F4"/>
    <w:rsid w:val="00116361"/>
    <w:rsid w:val="0011699D"/>
    <w:rsid w:val="001173B7"/>
    <w:rsid w:val="0011760C"/>
    <w:rsid w:val="00117FC5"/>
    <w:rsid w:val="0012119A"/>
    <w:rsid w:val="00121E28"/>
    <w:rsid w:val="00123DB4"/>
    <w:rsid w:val="00126AB2"/>
    <w:rsid w:val="0012727D"/>
    <w:rsid w:val="001315A4"/>
    <w:rsid w:val="001318B1"/>
    <w:rsid w:val="00133250"/>
    <w:rsid w:val="0013337E"/>
    <w:rsid w:val="001335E8"/>
    <w:rsid w:val="0013377A"/>
    <w:rsid w:val="00133E5A"/>
    <w:rsid w:val="00134B3E"/>
    <w:rsid w:val="00135CD0"/>
    <w:rsid w:val="00141538"/>
    <w:rsid w:val="00144544"/>
    <w:rsid w:val="00146ADE"/>
    <w:rsid w:val="00152236"/>
    <w:rsid w:val="00152360"/>
    <w:rsid w:val="00152641"/>
    <w:rsid w:val="00152BF2"/>
    <w:rsid w:val="00153D00"/>
    <w:rsid w:val="00153FFB"/>
    <w:rsid w:val="00155327"/>
    <w:rsid w:val="00155A17"/>
    <w:rsid w:val="00156D27"/>
    <w:rsid w:val="00160494"/>
    <w:rsid w:val="00160836"/>
    <w:rsid w:val="00166497"/>
    <w:rsid w:val="001664F1"/>
    <w:rsid w:val="001724D3"/>
    <w:rsid w:val="0017268A"/>
    <w:rsid w:val="00173D11"/>
    <w:rsid w:val="00174B95"/>
    <w:rsid w:val="00175846"/>
    <w:rsid w:val="00175B40"/>
    <w:rsid w:val="00180E29"/>
    <w:rsid w:val="0018167A"/>
    <w:rsid w:val="00182FA4"/>
    <w:rsid w:val="001836FC"/>
    <w:rsid w:val="00185264"/>
    <w:rsid w:val="0018588E"/>
    <w:rsid w:val="001859FD"/>
    <w:rsid w:val="00185ACD"/>
    <w:rsid w:val="001869AB"/>
    <w:rsid w:val="0018786F"/>
    <w:rsid w:val="001910B1"/>
    <w:rsid w:val="001920F1"/>
    <w:rsid w:val="001934C0"/>
    <w:rsid w:val="00193FA0"/>
    <w:rsid w:val="0019735A"/>
    <w:rsid w:val="00197F81"/>
    <w:rsid w:val="001A1A25"/>
    <w:rsid w:val="001A1B45"/>
    <w:rsid w:val="001A50F9"/>
    <w:rsid w:val="001A544D"/>
    <w:rsid w:val="001A55CD"/>
    <w:rsid w:val="001A6597"/>
    <w:rsid w:val="001A6B86"/>
    <w:rsid w:val="001A7451"/>
    <w:rsid w:val="001A755B"/>
    <w:rsid w:val="001B129F"/>
    <w:rsid w:val="001B240E"/>
    <w:rsid w:val="001B2DF3"/>
    <w:rsid w:val="001B5302"/>
    <w:rsid w:val="001B6346"/>
    <w:rsid w:val="001B6528"/>
    <w:rsid w:val="001C133E"/>
    <w:rsid w:val="001C2CBD"/>
    <w:rsid w:val="001C4027"/>
    <w:rsid w:val="001C466C"/>
    <w:rsid w:val="001C5DD4"/>
    <w:rsid w:val="001C783D"/>
    <w:rsid w:val="001D04A3"/>
    <w:rsid w:val="001D1072"/>
    <w:rsid w:val="001D2289"/>
    <w:rsid w:val="001D28EA"/>
    <w:rsid w:val="001D2BC8"/>
    <w:rsid w:val="001D37D1"/>
    <w:rsid w:val="001D45A9"/>
    <w:rsid w:val="001D5AF9"/>
    <w:rsid w:val="001D6064"/>
    <w:rsid w:val="001D7870"/>
    <w:rsid w:val="001E11E4"/>
    <w:rsid w:val="001E12A5"/>
    <w:rsid w:val="001E2BD4"/>
    <w:rsid w:val="001E3327"/>
    <w:rsid w:val="001E3592"/>
    <w:rsid w:val="001E4C66"/>
    <w:rsid w:val="001E539E"/>
    <w:rsid w:val="001E5916"/>
    <w:rsid w:val="001E5945"/>
    <w:rsid w:val="001E6897"/>
    <w:rsid w:val="001E7EAD"/>
    <w:rsid w:val="001F0FD3"/>
    <w:rsid w:val="001F1475"/>
    <w:rsid w:val="001F1F3F"/>
    <w:rsid w:val="001F2620"/>
    <w:rsid w:val="001F29C6"/>
    <w:rsid w:val="001F2E3D"/>
    <w:rsid w:val="001F3136"/>
    <w:rsid w:val="001F486C"/>
    <w:rsid w:val="001F5B22"/>
    <w:rsid w:val="001F65A7"/>
    <w:rsid w:val="001F6744"/>
    <w:rsid w:val="001F69BE"/>
    <w:rsid w:val="00200FA6"/>
    <w:rsid w:val="0020138B"/>
    <w:rsid w:val="002014F6"/>
    <w:rsid w:val="002026F4"/>
    <w:rsid w:val="00202EAA"/>
    <w:rsid w:val="00202FE8"/>
    <w:rsid w:val="002049EC"/>
    <w:rsid w:val="00204C9A"/>
    <w:rsid w:val="002077F1"/>
    <w:rsid w:val="00210334"/>
    <w:rsid w:val="00210B9E"/>
    <w:rsid w:val="0021190B"/>
    <w:rsid w:val="00211C49"/>
    <w:rsid w:val="00213D30"/>
    <w:rsid w:val="002149A2"/>
    <w:rsid w:val="00217342"/>
    <w:rsid w:val="00217884"/>
    <w:rsid w:val="00217FBD"/>
    <w:rsid w:val="0022034E"/>
    <w:rsid w:val="0022036F"/>
    <w:rsid w:val="002215E7"/>
    <w:rsid w:val="00222C37"/>
    <w:rsid w:val="00225A80"/>
    <w:rsid w:val="00226954"/>
    <w:rsid w:val="0022714B"/>
    <w:rsid w:val="002275FA"/>
    <w:rsid w:val="00227B96"/>
    <w:rsid w:val="002312AE"/>
    <w:rsid w:val="00231429"/>
    <w:rsid w:val="00232713"/>
    <w:rsid w:val="00232E64"/>
    <w:rsid w:val="002339F8"/>
    <w:rsid w:val="00233C56"/>
    <w:rsid w:val="00233D2D"/>
    <w:rsid w:val="0023407B"/>
    <w:rsid w:val="002340A8"/>
    <w:rsid w:val="002345D5"/>
    <w:rsid w:val="00234FC1"/>
    <w:rsid w:val="00236C54"/>
    <w:rsid w:val="00236D88"/>
    <w:rsid w:val="00240C83"/>
    <w:rsid w:val="00240D84"/>
    <w:rsid w:val="002418B0"/>
    <w:rsid w:val="00243388"/>
    <w:rsid w:val="002502A7"/>
    <w:rsid w:val="00250584"/>
    <w:rsid w:val="00250586"/>
    <w:rsid w:val="00252F64"/>
    <w:rsid w:val="002531F8"/>
    <w:rsid w:val="002533C3"/>
    <w:rsid w:val="00253731"/>
    <w:rsid w:val="00253DF2"/>
    <w:rsid w:val="00253F13"/>
    <w:rsid w:val="002541AA"/>
    <w:rsid w:val="00254510"/>
    <w:rsid w:val="00254674"/>
    <w:rsid w:val="00255D33"/>
    <w:rsid w:val="00256988"/>
    <w:rsid w:val="0026244C"/>
    <w:rsid w:val="0026710A"/>
    <w:rsid w:val="00267F41"/>
    <w:rsid w:val="002703C5"/>
    <w:rsid w:val="0027054A"/>
    <w:rsid w:val="0027105F"/>
    <w:rsid w:val="0027133B"/>
    <w:rsid w:val="00271779"/>
    <w:rsid w:val="00271B82"/>
    <w:rsid w:val="002725CF"/>
    <w:rsid w:val="002735A0"/>
    <w:rsid w:val="002743D8"/>
    <w:rsid w:val="002748A4"/>
    <w:rsid w:val="00274E25"/>
    <w:rsid w:val="002763EA"/>
    <w:rsid w:val="00277B8C"/>
    <w:rsid w:val="00280B8C"/>
    <w:rsid w:val="002818BA"/>
    <w:rsid w:val="00281DB6"/>
    <w:rsid w:val="00281FA7"/>
    <w:rsid w:val="00283203"/>
    <w:rsid w:val="00283FF2"/>
    <w:rsid w:val="0028714B"/>
    <w:rsid w:val="00287491"/>
    <w:rsid w:val="002876D8"/>
    <w:rsid w:val="00287ABF"/>
    <w:rsid w:val="00287CEB"/>
    <w:rsid w:val="0029006D"/>
    <w:rsid w:val="00290C64"/>
    <w:rsid w:val="002917B4"/>
    <w:rsid w:val="00295167"/>
    <w:rsid w:val="00295C51"/>
    <w:rsid w:val="002A0AE6"/>
    <w:rsid w:val="002A17B4"/>
    <w:rsid w:val="002A19D7"/>
    <w:rsid w:val="002A1AA4"/>
    <w:rsid w:val="002A31DF"/>
    <w:rsid w:val="002A3948"/>
    <w:rsid w:val="002B0165"/>
    <w:rsid w:val="002B060A"/>
    <w:rsid w:val="002B108B"/>
    <w:rsid w:val="002B19EB"/>
    <w:rsid w:val="002B2207"/>
    <w:rsid w:val="002B3F28"/>
    <w:rsid w:val="002B7FDE"/>
    <w:rsid w:val="002C09F2"/>
    <w:rsid w:val="002C160F"/>
    <w:rsid w:val="002C1A2C"/>
    <w:rsid w:val="002C2314"/>
    <w:rsid w:val="002C2894"/>
    <w:rsid w:val="002C4137"/>
    <w:rsid w:val="002C4313"/>
    <w:rsid w:val="002C5645"/>
    <w:rsid w:val="002C5A05"/>
    <w:rsid w:val="002D176A"/>
    <w:rsid w:val="002D2250"/>
    <w:rsid w:val="002D310F"/>
    <w:rsid w:val="002D34E6"/>
    <w:rsid w:val="002D3A24"/>
    <w:rsid w:val="002D3C08"/>
    <w:rsid w:val="002D3C77"/>
    <w:rsid w:val="002D4FF5"/>
    <w:rsid w:val="002D5D40"/>
    <w:rsid w:val="002D6AD7"/>
    <w:rsid w:val="002E2ADC"/>
    <w:rsid w:val="002E34BB"/>
    <w:rsid w:val="002E47CE"/>
    <w:rsid w:val="002E4DC8"/>
    <w:rsid w:val="002E541D"/>
    <w:rsid w:val="002E5C62"/>
    <w:rsid w:val="002E76D5"/>
    <w:rsid w:val="002F3280"/>
    <w:rsid w:val="002F3420"/>
    <w:rsid w:val="002F395C"/>
    <w:rsid w:val="002F7635"/>
    <w:rsid w:val="002F797A"/>
    <w:rsid w:val="00302B03"/>
    <w:rsid w:val="00302D12"/>
    <w:rsid w:val="00303BDD"/>
    <w:rsid w:val="00304013"/>
    <w:rsid w:val="003051C0"/>
    <w:rsid w:val="00305FB0"/>
    <w:rsid w:val="00306E12"/>
    <w:rsid w:val="00310CD5"/>
    <w:rsid w:val="00312678"/>
    <w:rsid w:val="00312869"/>
    <w:rsid w:val="00312959"/>
    <w:rsid w:val="003141E8"/>
    <w:rsid w:val="00315B16"/>
    <w:rsid w:val="00317E7E"/>
    <w:rsid w:val="003203EB"/>
    <w:rsid w:val="00321C80"/>
    <w:rsid w:val="00322131"/>
    <w:rsid w:val="00322696"/>
    <w:rsid w:val="00322837"/>
    <w:rsid w:val="00323601"/>
    <w:rsid w:val="00324E89"/>
    <w:rsid w:val="00324F53"/>
    <w:rsid w:val="003256E2"/>
    <w:rsid w:val="0032631C"/>
    <w:rsid w:val="00327B96"/>
    <w:rsid w:val="00332AAD"/>
    <w:rsid w:val="00334335"/>
    <w:rsid w:val="003344A0"/>
    <w:rsid w:val="003353A7"/>
    <w:rsid w:val="003354E8"/>
    <w:rsid w:val="003356E6"/>
    <w:rsid w:val="00336379"/>
    <w:rsid w:val="00336ED4"/>
    <w:rsid w:val="003370E0"/>
    <w:rsid w:val="00337942"/>
    <w:rsid w:val="0034086B"/>
    <w:rsid w:val="00340E72"/>
    <w:rsid w:val="00342993"/>
    <w:rsid w:val="00343E3F"/>
    <w:rsid w:val="00344598"/>
    <w:rsid w:val="003446FD"/>
    <w:rsid w:val="00345DEA"/>
    <w:rsid w:val="003469F0"/>
    <w:rsid w:val="00346B23"/>
    <w:rsid w:val="00347347"/>
    <w:rsid w:val="0035181D"/>
    <w:rsid w:val="0035327D"/>
    <w:rsid w:val="00355259"/>
    <w:rsid w:val="00355CE2"/>
    <w:rsid w:val="00356ABE"/>
    <w:rsid w:val="00356F97"/>
    <w:rsid w:val="003578E1"/>
    <w:rsid w:val="00360C12"/>
    <w:rsid w:val="00361A20"/>
    <w:rsid w:val="0036295C"/>
    <w:rsid w:val="00362E8E"/>
    <w:rsid w:val="003648F9"/>
    <w:rsid w:val="00364AB6"/>
    <w:rsid w:val="00364CDD"/>
    <w:rsid w:val="00365C5A"/>
    <w:rsid w:val="0036719E"/>
    <w:rsid w:val="003675ED"/>
    <w:rsid w:val="00371F93"/>
    <w:rsid w:val="00376413"/>
    <w:rsid w:val="0038152D"/>
    <w:rsid w:val="00382098"/>
    <w:rsid w:val="0038225F"/>
    <w:rsid w:val="00383746"/>
    <w:rsid w:val="003838F8"/>
    <w:rsid w:val="003840E4"/>
    <w:rsid w:val="00384BF9"/>
    <w:rsid w:val="0038556B"/>
    <w:rsid w:val="00385BE1"/>
    <w:rsid w:val="00386683"/>
    <w:rsid w:val="0038716F"/>
    <w:rsid w:val="00387280"/>
    <w:rsid w:val="003907B4"/>
    <w:rsid w:val="0039168D"/>
    <w:rsid w:val="00392C5E"/>
    <w:rsid w:val="003A0008"/>
    <w:rsid w:val="003A05E0"/>
    <w:rsid w:val="003A1D34"/>
    <w:rsid w:val="003A2EE5"/>
    <w:rsid w:val="003A499C"/>
    <w:rsid w:val="003A5C6C"/>
    <w:rsid w:val="003A63BB"/>
    <w:rsid w:val="003A64E2"/>
    <w:rsid w:val="003A7297"/>
    <w:rsid w:val="003A74DD"/>
    <w:rsid w:val="003A769E"/>
    <w:rsid w:val="003A7CE7"/>
    <w:rsid w:val="003A7E50"/>
    <w:rsid w:val="003B0909"/>
    <w:rsid w:val="003B1218"/>
    <w:rsid w:val="003B1D3B"/>
    <w:rsid w:val="003B2009"/>
    <w:rsid w:val="003B24BC"/>
    <w:rsid w:val="003B261F"/>
    <w:rsid w:val="003B3C7C"/>
    <w:rsid w:val="003B4E01"/>
    <w:rsid w:val="003B4EA2"/>
    <w:rsid w:val="003B7030"/>
    <w:rsid w:val="003B799C"/>
    <w:rsid w:val="003C042B"/>
    <w:rsid w:val="003C1422"/>
    <w:rsid w:val="003C1A00"/>
    <w:rsid w:val="003C2444"/>
    <w:rsid w:val="003C3049"/>
    <w:rsid w:val="003C4BCF"/>
    <w:rsid w:val="003C5BAE"/>
    <w:rsid w:val="003C721D"/>
    <w:rsid w:val="003D099F"/>
    <w:rsid w:val="003D3851"/>
    <w:rsid w:val="003D3F91"/>
    <w:rsid w:val="003D6DE0"/>
    <w:rsid w:val="003D761B"/>
    <w:rsid w:val="003D777E"/>
    <w:rsid w:val="003D7D72"/>
    <w:rsid w:val="003D7E4A"/>
    <w:rsid w:val="003E0698"/>
    <w:rsid w:val="003E120B"/>
    <w:rsid w:val="003E174B"/>
    <w:rsid w:val="003E3694"/>
    <w:rsid w:val="003E485A"/>
    <w:rsid w:val="003E4A9B"/>
    <w:rsid w:val="003E5A5D"/>
    <w:rsid w:val="003E5B1B"/>
    <w:rsid w:val="003E6A2F"/>
    <w:rsid w:val="003F05BC"/>
    <w:rsid w:val="003F107C"/>
    <w:rsid w:val="003F1DCD"/>
    <w:rsid w:val="003F3371"/>
    <w:rsid w:val="003F44AF"/>
    <w:rsid w:val="003F48B1"/>
    <w:rsid w:val="003F4FFE"/>
    <w:rsid w:val="003F50A0"/>
    <w:rsid w:val="003F597A"/>
    <w:rsid w:val="00401B3A"/>
    <w:rsid w:val="0040201C"/>
    <w:rsid w:val="004045B0"/>
    <w:rsid w:val="00405307"/>
    <w:rsid w:val="00406171"/>
    <w:rsid w:val="0040650E"/>
    <w:rsid w:val="00406950"/>
    <w:rsid w:val="00407211"/>
    <w:rsid w:val="0040785C"/>
    <w:rsid w:val="00407ABC"/>
    <w:rsid w:val="00411172"/>
    <w:rsid w:val="00411F27"/>
    <w:rsid w:val="00415BB5"/>
    <w:rsid w:val="00416765"/>
    <w:rsid w:val="004167C4"/>
    <w:rsid w:val="0042007B"/>
    <w:rsid w:val="00420CF7"/>
    <w:rsid w:val="00421286"/>
    <w:rsid w:val="0042147A"/>
    <w:rsid w:val="00421F5F"/>
    <w:rsid w:val="004223C5"/>
    <w:rsid w:val="004223D0"/>
    <w:rsid w:val="00423117"/>
    <w:rsid w:val="0042320A"/>
    <w:rsid w:val="0042328D"/>
    <w:rsid w:val="00423EB2"/>
    <w:rsid w:val="00424ED4"/>
    <w:rsid w:val="0042542E"/>
    <w:rsid w:val="004263FE"/>
    <w:rsid w:val="004268B6"/>
    <w:rsid w:val="00430100"/>
    <w:rsid w:val="00430A21"/>
    <w:rsid w:val="004326D7"/>
    <w:rsid w:val="004329CC"/>
    <w:rsid w:val="004338CB"/>
    <w:rsid w:val="0043411E"/>
    <w:rsid w:val="00434776"/>
    <w:rsid w:val="00434D08"/>
    <w:rsid w:val="00436913"/>
    <w:rsid w:val="00437A24"/>
    <w:rsid w:val="004409B6"/>
    <w:rsid w:val="00440DF9"/>
    <w:rsid w:val="00441C69"/>
    <w:rsid w:val="004422DB"/>
    <w:rsid w:val="00443CEE"/>
    <w:rsid w:val="004448CA"/>
    <w:rsid w:val="004461C0"/>
    <w:rsid w:val="004461C6"/>
    <w:rsid w:val="00446A1C"/>
    <w:rsid w:val="00450815"/>
    <w:rsid w:val="00450A2D"/>
    <w:rsid w:val="00451F7E"/>
    <w:rsid w:val="00453F3F"/>
    <w:rsid w:val="00455117"/>
    <w:rsid w:val="00455628"/>
    <w:rsid w:val="00455E13"/>
    <w:rsid w:val="00456523"/>
    <w:rsid w:val="004603DA"/>
    <w:rsid w:val="004613CE"/>
    <w:rsid w:val="004620FB"/>
    <w:rsid w:val="00463A31"/>
    <w:rsid w:val="0046410E"/>
    <w:rsid w:val="00464865"/>
    <w:rsid w:val="00464C01"/>
    <w:rsid w:val="00470EE4"/>
    <w:rsid w:val="004710FB"/>
    <w:rsid w:val="00471B9D"/>
    <w:rsid w:val="00472090"/>
    <w:rsid w:val="0047418F"/>
    <w:rsid w:val="00474243"/>
    <w:rsid w:val="004746F2"/>
    <w:rsid w:val="00476071"/>
    <w:rsid w:val="004778CB"/>
    <w:rsid w:val="00480213"/>
    <w:rsid w:val="00480A62"/>
    <w:rsid w:val="004810BB"/>
    <w:rsid w:val="004813E0"/>
    <w:rsid w:val="004818D8"/>
    <w:rsid w:val="004827A3"/>
    <w:rsid w:val="0048436D"/>
    <w:rsid w:val="0048471E"/>
    <w:rsid w:val="00485A26"/>
    <w:rsid w:val="004860E9"/>
    <w:rsid w:val="00486499"/>
    <w:rsid w:val="004867EB"/>
    <w:rsid w:val="00486B76"/>
    <w:rsid w:val="0049404C"/>
    <w:rsid w:val="00494FCE"/>
    <w:rsid w:val="00496684"/>
    <w:rsid w:val="004A1DDF"/>
    <w:rsid w:val="004A281C"/>
    <w:rsid w:val="004A3B7B"/>
    <w:rsid w:val="004A3D3F"/>
    <w:rsid w:val="004A459E"/>
    <w:rsid w:val="004A4F77"/>
    <w:rsid w:val="004A5BB9"/>
    <w:rsid w:val="004A6A42"/>
    <w:rsid w:val="004A765E"/>
    <w:rsid w:val="004B0F7E"/>
    <w:rsid w:val="004B1A28"/>
    <w:rsid w:val="004B1EC4"/>
    <w:rsid w:val="004B27AD"/>
    <w:rsid w:val="004B3C4E"/>
    <w:rsid w:val="004B4E82"/>
    <w:rsid w:val="004B505B"/>
    <w:rsid w:val="004B6EBD"/>
    <w:rsid w:val="004B76B5"/>
    <w:rsid w:val="004C012F"/>
    <w:rsid w:val="004C0E49"/>
    <w:rsid w:val="004C1183"/>
    <w:rsid w:val="004C1356"/>
    <w:rsid w:val="004C17B6"/>
    <w:rsid w:val="004C2612"/>
    <w:rsid w:val="004C29C0"/>
    <w:rsid w:val="004C3268"/>
    <w:rsid w:val="004C3BD8"/>
    <w:rsid w:val="004C43A8"/>
    <w:rsid w:val="004C4E6A"/>
    <w:rsid w:val="004C67A1"/>
    <w:rsid w:val="004C6D2F"/>
    <w:rsid w:val="004C7486"/>
    <w:rsid w:val="004D1F19"/>
    <w:rsid w:val="004D20C9"/>
    <w:rsid w:val="004D2810"/>
    <w:rsid w:val="004D314B"/>
    <w:rsid w:val="004D4068"/>
    <w:rsid w:val="004D4DFB"/>
    <w:rsid w:val="004D6020"/>
    <w:rsid w:val="004D65BC"/>
    <w:rsid w:val="004D6AC1"/>
    <w:rsid w:val="004D6D4E"/>
    <w:rsid w:val="004D78A8"/>
    <w:rsid w:val="004D7DC4"/>
    <w:rsid w:val="004E081B"/>
    <w:rsid w:val="004E2BB7"/>
    <w:rsid w:val="004E3415"/>
    <w:rsid w:val="004E4E5D"/>
    <w:rsid w:val="004E57D3"/>
    <w:rsid w:val="004E5895"/>
    <w:rsid w:val="004E6FA5"/>
    <w:rsid w:val="004F1A83"/>
    <w:rsid w:val="004F3239"/>
    <w:rsid w:val="004F4284"/>
    <w:rsid w:val="004F48C4"/>
    <w:rsid w:val="004F5375"/>
    <w:rsid w:val="004F590F"/>
    <w:rsid w:val="004F6422"/>
    <w:rsid w:val="004F6761"/>
    <w:rsid w:val="004F70C1"/>
    <w:rsid w:val="00500019"/>
    <w:rsid w:val="00501344"/>
    <w:rsid w:val="00501ABA"/>
    <w:rsid w:val="00502E40"/>
    <w:rsid w:val="00503ED0"/>
    <w:rsid w:val="00504085"/>
    <w:rsid w:val="00504467"/>
    <w:rsid w:val="00504862"/>
    <w:rsid w:val="00505ADF"/>
    <w:rsid w:val="00506837"/>
    <w:rsid w:val="00507CA2"/>
    <w:rsid w:val="00507D22"/>
    <w:rsid w:val="00507FF6"/>
    <w:rsid w:val="0051006E"/>
    <w:rsid w:val="00510240"/>
    <w:rsid w:val="005115AE"/>
    <w:rsid w:val="00511DDD"/>
    <w:rsid w:val="00512837"/>
    <w:rsid w:val="0051287D"/>
    <w:rsid w:val="005140A8"/>
    <w:rsid w:val="005147E4"/>
    <w:rsid w:val="00515F62"/>
    <w:rsid w:val="00517CE9"/>
    <w:rsid w:val="005208A8"/>
    <w:rsid w:val="00521162"/>
    <w:rsid w:val="005218E1"/>
    <w:rsid w:val="0052369D"/>
    <w:rsid w:val="00524546"/>
    <w:rsid w:val="005250AB"/>
    <w:rsid w:val="0052589A"/>
    <w:rsid w:val="00527325"/>
    <w:rsid w:val="00527934"/>
    <w:rsid w:val="00527B53"/>
    <w:rsid w:val="005303CA"/>
    <w:rsid w:val="005303E3"/>
    <w:rsid w:val="0053057E"/>
    <w:rsid w:val="00531F9D"/>
    <w:rsid w:val="005321DA"/>
    <w:rsid w:val="0053277E"/>
    <w:rsid w:val="00533D87"/>
    <w:rsid w:val="005343D4"/>
    <w:rsid w:val="00536341"/>
    <w:rsid w:val="005364F0"/>
    <w:rsid w:val="00537BB6"/>
    <w:rsid w:val="00537FBA"/>
    <w:rsid w:val="00540535"/>
    <w:rsid w:val="00540A04"/>
    <w:rsid w:val="0054122D"/>
    <w:rsid w:val="005463AC"/>
    <w:rsid w:val="00546B2E"/>
    <w:rsid w:val="00546E8A"/>
    <w:rsid w:val="005476B7"/>
    <w:rsid w:val="00547E5B"/>
    <w:rsid w:val="00550AA2"/>
    <w:rsid w:val="00551C85"/>
    <w:rsid w:val="00552AED"/>
    <w:rsid w:val="0055382D"/>
    <w:rsid w:val="005542D7"/>
    <w:rsid w:val="00554983"/>
    <w:rsid w:val="00556669"/>
    <w:rsid w:val="00563166"/>
    <w:rsid w:val="005631E8"/>
    <w:rsid w:val="00563846"/>
    <w:rsid w:val="00564F82"/>
    <w:rsid w:val="00566447"/>
    <w:rsid w:val="005701A9"/>
    <w:rsid w:val="00571767"/>
    <w:rsid w:val="005737FC"/>
    <w:rsid w:val="005740B4"/>
    <w:rsid w:val="005766F7"/>
    <w:rsid w:val="00576B9A"/>
    <w:rsid w:val="00580BBA"/>
    <w:rsid w:val="00580C4B"/>
    <w:rsid w:val="00581E59"/>
    <w:rsid w:val="005837AA"/>
    <w:rsid w:val="00584704"/>
    <w:rsid w:val="00585B28"/>
    <w:rsid w:val="005868BE"/>
    <w:rsid w:val="00586C01"/>
    <w:rsid w:val="00587881"/>
    <w:rsid w:val="0058793E"/>
    <w:rsid w:val="00587D62"/>
    <w:rsid w:val="005912C8"/>
    <w:rsid w:val="005915E8"/>
    <w:rsid w:val="00593951"/>
    <w:rsid w:val="00593A3C"/>
    <w:rsid w:val="005968DF"/>
    <w:rsid w:val="00596E5E"/>
    <w:rsid w:val="0059749B"/>
    <w:rsid w:val="00597B2E"/>
    <w:rsid w:val="005A064A"/>
    <w:rsid w:val="005A1CE4"/>
    <w:rsid w:val="005A394B"/>
    <w:rsid w:val="005A4293"/>
    <w:rsid w:val="005A4DCC"/>
    <w:rsid w:val="005A6AE5"/>
    <w:rsid w:val="005A7232"/>
    <w:rsid w:val="005A774F"/>
    <w:rsid w:val="005A7DCA"/>
    <w:rsid w:val="005A7F51"/>
    <w:rsid w:val="005B00BE"/>
    <w:rsid w:val="005B0DBE"/>
    <w:rsid w:val="005B136C"/>
    <w:rsid w:val="005B1DC8"/>
    <w:rsid w:val="005B2163"/>
    <w:rsid w:val="005B2A33"/>
    <w:rsid w:val="005B2C72"/>
    <w:rsid w:val="005B3196"/>
    <w:rsid w:val="005B729C"/>
    <w:rsid w:val="005C11BF"/>
    <w:rsid w:val="005D06F1"/>
    <w:rsid w:val="005D20CA"/>
    <w:rsid w:val="005D28CE"/>
    <w:rsid w:val="005D32F1"/>
    <w:rsid w:val="005D5B9E"/>
    <w:rsid w:val="005D5D62"/>
    <w:rsid w:val="005D6284"/>
    <w:rsid w:val="005D633A"/>
    <w:rsid w:val="005D66DF"/>
    <w:rsid w:val="005E0EDB"/>
    <w:rsid w:val="005E21AA"/>
    <w:rsid w:val="005E2682"/>
    <w:rsid w:val="005E335F"/>
    <w:rsid w:val="005E3D93"/>
    <w:rsid w:val="005E545C"/>
    <w:rsid w:val="005E5C16"/>
    <w:rsid w:val="005E7CEE"/>
    <w:rsid w:val="005E7ED3"/>
    <w:rsid w:val="005F139F"/>
    <w:rsid w:val="005F2892"/>
    <w:rsid w:val="005F3241"/>
    <w:rsid w:val="005F434B"/>
    <w:rsid w:val="005F437F"/>
    <w:rsid w:val="005F670A"/>
    <w:rsid w:val="005F6C37"/>
    <w:rsid w:val="005F6D25"/>
    <w:rsid w:val="005F7C66"/>
    <w:rsid w:val="006022AA"/>
    <w:rsid w:val="006027BE"/>
    <w:rsid w:val="00602B50"/>
    <w:rsid w:val="00603A2F"/>
    <w:rsid w:val="00604371"/>
    <w:rsid w:val="006059D4"/>
    <w:rsid w:val="006063DD"/>
    <w:rsid w:val="00607526"/>
    <w:rsid w:val="0061185D"/>
    <w:rsid w:val="00611CE8"/>
    <w:rsid w:val="00611D41"/>
    <w:rsid w:val="00611D8B"/>
    <w:rsid w:val="00613E9A"/>
    <w:rsid w:val="006146FB"/>
    <w:rsid w:val="00615EF6"/>
    <w:rsid w:val="0061628A"/>
    <w:rsid w:val="00616ABA"/>
    <w:rsid w:val="006179D1"/>
    <w:rsid w:val="006203EB"/>
    <w:rsid w:val="00620842"/>
    <w:rsid w:val="00620B2F"/>
    <w:rsid w:val="00621F14"/>
    <w:rsid w:val="0062213D"/>
    <w:rsid w:val="00622482"/>
    <w:rsid w:val="00622857"/>
    <w:rsid w:val="006233DA"/>
    <w:rsid w:val="00626ABE"/>
    <w:rsid w:val="0062768A"/>
    <w:rsid w:val="006276B5"/>
    <w:rsid w:val="00627E94"/>
    <w:rsid w:val="00630A69"/>
    <w:rsid w:val="00632BC0"/>
    <w:rsid w:val="00633296"/>
    <w:rsid w:val="00633772"/>
    <w:rsid w:val="00633CFB"/>
    <w:rsid w:val="0063496F"/>
    <w:rsid w:val="006359CC"/>
    <w:rsid w:val="00636E40"/>
    <w:rsid w:val="0063757F"/>
    <w:rsid w:val="00637DB4"/>
    <w:rsid w:val="006433C6"/>
    <w:rsid w:val="00643B96"/>
    <w:rsid w:val="00644ADD"/>
    <w:rsid w:val="00645A11"/>
    <w:rsid w:val="00645AF6"/>
    <w:rsid w:val="00647244"/>
    <w:rsid w:val="00650456"/>
    <w:rsid w:val="006511BD"/>
    <w:rsid w:val="00651E7C"/>
    <w:rsid w:val="00652A1C"/>
    <w:rsid w:val="006665E0"/>
    <w:rsid w:val="006710DF"/>
    <w:rsid w:val="00672DE4"/>
    <w:rsid w:val="00673530"/>
    <w:rsid w:val="006735D8"/>
    <w:rsid w:val="006740E6"/>
    <w:rsid w:val="0067414F"/>
    <w:rsid w:val="00675A13"/>
    <w:rsid w:val="00675C9C"/>
    <w:rsid w:val="00675F67"/>
    <w:rsid w:val="006822C9"/>
    <w:rsid w:val="006828DD"/>
    <w:rsid w:val="00684873"/>
    <w:rsid w:val="00684AE6"/>
    <w:rsid w:val="00685449"/>
    <w:rsid w:val="0068604B"/>
    <w:rsid w:val="00690186"/>
    <w:rsid w:val="006924FC"/>
    <w:rsid w:val="00693166"/>
    <w:rsid w:val="00695D6C"/>
    <w:rsid w:val="0069607D"/>
    <w:rsid w:val="006A0738"/>
    <w:rsid w:val="006A0876"/>
    <w:rsid w:val="006A0885"/>
    <w:rsid w:val="006A0A09"/>
    <w:rsid w:val="006A0BD1"/>
    <w:rsid w:val="006A1065"/>
    <w:rsid w:val="006A5425"/>
    <w:rsid w:val="006A5447"/>
    <w:rsid w:val="006A59EE"/>
    <w:rsid w:val="006A6740"/>
    <w:rsid w:val="006A6A0A"/>
    <w:rsid w:val="006A73B6"/>
    <w:rsid w:val="006A78D7"/>
    <w:rsid w:val="006B1FAE"/>
    <w:rsid w:val="006B2C04"/>
    <w:rsid w:val="006B3E5C"/>
    <w:rsid w:val="006B3FE4"/>
    <w:rsid w:val="006B4A4A"/>
    <w:rsid w:val="006B4DFB"/>
    <w:rsid w:val="006B718C"/>
    <w:rsid w:val="006C1A6F"/>
    <w:rsid w:val="006C21FA"/>
    <w:rsid w:val="006C2666"/>
    <w:rsid w:val="006C2B5A"/>
    <w:rsid w:val="006C3262"/>
    <w:rsid w:val="006C37E6"/>
    <w:rsid w:val="006C3F59"/>
    <w:rsid w:val="006C4BD0"/>
    <w:rsid w:val="006C6A9F"/>
    <w:rsid w:val="006C6B5D"/>
    <w:rsid w:val="006C7BDB"/>
    <w:rsid w:val="006C7D63"/>
    <w:rsid w:val="006D0DCD"/>
    <w:rsid w:val="006D0E42"/>
    <w:rsid w:val="006D2D8B"/>
    <w:rsid w:val="006D4211"/>
    <w:rsid w:val="006D46A9"/>
    <w:rsid w:val="006D5783"/>
    <w:rsid w:val="006D58EF"/>
    <w:rsid w:val="006D6787"/>
    <w:rsid w:val="006D7FA4"/>
    <w:rsid w:val="006E1743"/>
    <w:rsid w:val="006E35A2"/>
    <w:rsid w:val="006E3F0C"/>
    <w:rsid w:val="006E40AC"/>
    <w:rsid w:val="006E450E"/>
    <w:rsid w:val="006E5B33"/>
    <w:rsid w:val="006E5D3B"/>
    <w:rsid w:val="006E74EB"/>
    <w:rsid w:val="006E7CE3"/>
    <w:rsid w:val="006F1655"/>
    <w:rsid w:val="006F1A4D"/>
    <w:rsid w:val="006F355E"/>
    <w:rsid w:val="006F3E16"/>
    <w:rsid w:val="006F464C"/>
    <w:rsid w:val="006F6074"/>
    <w:rsid w:val="00700B4C"/>
    <w:rsid w:val="007014A6"/>
    <w:rsid w:val="00701FD9"/>
    <w:rsid w:val="00702F1F"/>
    <w:rsid w:val="0070684C"/>
    <w:rsid w:val="00707495"/>
    <w:rsid w:val="007075CE"/>
    <w:rsid w:val="00711AAC"/>
    <w:rsid w:val="00712D68"/>
    <w:rsid w:val="007140E1"/>
    <w:rsid w:val="00714E5B"/>
    <w:rsid w:val="0071589C"/>
    <w:rsid w:val="00715C2D"/>
    <w:rsid w:val="00717B4F"/>
    <w:rsid w:val="00721A44"/>
    <w:rsid w:val="00722BEC"/>
    <w:rsid w:val="0072391E"/>
    <w:rsid w:val="00723A61"/>
    <w:rsid w:val="00723E22"/>
    <w:rsid w:val="00724CD7"/>
    <w:rsid w:val="00727F3B"/>
    <w:rsid w:val="00730825"/>
    <w:rsid w:val="00732929"/>
    <w:rsid w:val="007332C5"/>
    <w:rsid w:val="007335EA"/>
    <w:rsid w:val="00733614"/>
    <w:rsid w:val="00733C75"/>
    <w:rsid w:val="00734B6C"/>
    <w:rsid w:val="007358A5"/>
    <w:rsid w:val="00736D18"/>
    <w:rsid w:val="00737B30"/>
    <w:rsid w:val="007402F9"/>
    <w:rsid w:val="00740E92"/>
    <w:rsid w:val="00741A4B"/>
    <w:rsid w:val="00741B11"/>
    <w:rsid w:val="00741E31"/>
    <w:rsid w:val="00742859"/>
    <w:rsid w:val="007442CA"/>
    <w:rsid w:val="00744419"/>
    <w:rsid w:val="00744BCE"/>
    <w:rsid w:val="00745232"/>
    <w:rsid w:val="007452F7"/>
    <w:rsid w:val="00745D25"/>
    <w:rsid w:val="007477F2"/>
    <w:rsid w:val="00750309"/>
    <w:rsid w:val="007503FC"/>
    <w:rsid w:val="007527CD"/>
    <w:rsid w:val="00752FB1"/>
    <w:rsid w:val="007531B3"/>
    <w:rsid w:val="00754AE5"/>
    <w:rsid w:val="00756BBA"/>
    <w:rsid w:val="00756DCB"/>
    <w:rsid w:val="00760B48"/>
    <w:rsid w:val="0076152C"/>
    <w:rsid w:val="0076208B"/>
    <w:rsid w:val="007634C9"/>
    <w:rsid w:val="0076351A"/>
    <w:rsid w:val="0076456A"/>
    <w:rsid w:val="00764A0A"/>
    <w:rsid w:val="00764BF0"/>
    <w:rsid w:val="0076614A"/>
    <w:rsid w:val="0076620B"/>
    <w:rsid w:val="00766CE9"/>
    <w:rsid w:val="00767CD4"/>
    <w:rsid w:val="00770997"/>
    <w:rsid w:val="00770B78"/>
    <w:rsid w:val="007713DA"/>
    <w:rsid w:val="00773B7E"/>
    <w:rsid w:val="00773B9A"/>
    <w:rsid w:val="007740A8"/>
    <w:rsid w:val="00774417"/>
    <w:rsid w:val="007752D5"/>
    <w:rsid w:val="00775725"/>
    <w:rsid w:val="00782034"/>
    <w:rsid w:val="0078348D"/>
    <w:rsid w:val="007848BD"/>
    <w:rsid w:val="0078591C"/>
    <w:rsid w:val="00786221"/>
    <w:rsid w:val="007867C4"/>
    <w:rsid w:val="007877DA"/>
    <w:rsid w:val="007902E8"/>
    <w:rsid w:val="0079073A"/>
    <w:rsid w:val="00790AAA"/>
    <w:rsid w:val="007928EC"/>
    <w:rsid w:val="00792EC5"/>
    <w:rsid w:val="007947A8"/>
    <w:rsid w:val="007949D9"/>
    <w:rsid w:val="00794D91"/>
    <w:rsid w:val="00795C75"/>
    <w:rsid w:val="00796976"/>
    <w:rsid w:val="0079716F"/>
    <w:rsid w:val="007A094F"/>
    <w:rsid w:val="007A1694"/>
    <w:rsid w:val="007A279C"/>
    <w:rsid w:val="007A4635"/>
    <w:rsid w:val="007A47FB"/>
    <w:rsid w:val="007A551D"/>
    <w:rsid w:val="007A5723"/>
    <w:rsid w:val="007A6C33"/>
    <w:rsid w:val="007A7232"/>
    <w:rsid w:val="007A7E75"/>
    <w:rsid w:val="007A7ECE"/>
    <w:rsid w:val="007B0841"/>
    <w:rsid w:val="007B1D32"/>
    <w:rsid w:val="007B1EDA"/>
    <w:rsid w:val="007B2553"/>
    <w:rsid w:val="007B2A05"/>
    <w:rsid w:val="007B2EF7"/>
    <w:rsid w:val="007B4C53"/>
    <w:rsid w:val="007B5136"/>
    <w:rsid w:val="007B55F4"/>
    <w:rsid w:val="007B6D96"/>
    <w:rsid w:val="007C04AB"/>
    <w:rsid w:val="007C21FF"/>
    <w:rsid w:val="007C2214"/>
    <w:rsid w:val="007C27FD"/>
    <w:rsid w:val="007C3ACF"/>
    <w:rsid w:val="007C5B5E"/>
    <w:rsid w:val="007C605E"/>
    <w:rsid w:val="007C71E4"/>
    <w:rsid w:val="007D2961"/>
    <w:rsid w:val="007D3174"/>
    <w:rsid w:val="007D3683"/>
    <w:rsid w:val="007D3E85"/>
    <w:rsid w:val="007D45E7"/>
    <w:rsid w:val="007D4770"/>
    <w:rsid w:val="007D4F65"/>
    <w:rsid w:val="007D507B"/>
    <w:rsid w:val="007D5E33"/>
    <w:rsid w:val="007D68AD"/>
    <w:rsid w:val="007D7C95"/>
    <w:rsid w:val="007E0A4C"/>
    <w:rsid w:val="007E0BF3"/>
    <w:rsid w:val="007E134A"/>
    <w:rsid w:val="007E13C6"/>
    <w:rsid w:val="007E21D5"/>
    <w:rsid w:val="007E2587"/>
    <w:rsid w:val="007E2AF3"/>
    <w:rsid w:val="007E391B"/>
    <w:rsid w:val="007E449F"/>
    <w:rsid w:val="007E50F6"/>
    <w:rsid w:val="007E5E76"/>
    <w:rsid w:val="007E7AA3"/>
    <w:rsid w:val="007E7E8F"/>
    <w:rsid w:val="007F075B"/>
    <w:rsid w:val="007F18B5"/>
    <w:rsid w:val="007F3276"/>
    <w:rsid w:val="007F4674"/>
    <w:rsid w:val="007F4D19"/>
    <w:rsid w:val="007F7683"/>
    <w:rsid w:val="007F76A6"/>
    <w:rsid w:val="007F7DD8"/>
    <w:rsid w:val="008013CF"/>
    <w:rsid w:val="00801EB7"/>
    <w:rsid w:val="0080234C"/>
    <w:rsid w:val="008033E3"/>
    <w:rsid w:val="00806F73"/>
    <w:rsid w:val="008071A5"/>
    <w:rsid w:val="00810629"/>
    <w:rsid w:val="00810F69"/>
    <w:rsid w:val="00811D7B"/>
    <w:rsid w:val="00813C19"/>
    <w:rsid w:val="00813CEF"/>
    <w:rsid w:val="00814E62"/>
    <w:rsid w:val="00815F1C"/>
    <w:rsid w:val="008160B8"/>
    <w:rsid w:val="00817004"/>
    <w:rsid w:val="00821040"/>
    <w:rsid w:val="0082150C"/>
    <w:rsid w:val="008246C3"/>
    <w:rsid w:val="00825239"/>
    <w:rsid w:val="00826028"/>
    <w:rsid w:val="00826BFD"/>
    <w:rsid w:val="00827512"/>
    <w:rsid w:val="00827699"/>
    <w:rsid w:val="0083044C"/>
    <w:rsid w:val="008305ED"/>
    <w:rsid w:val="0083099D"/>
    <w:rsid w:val="008311AF"/>
    <w:rsid w:val="008320D1"/>
    <w:rsid w:val="00832743"/>
    <w:rsid w:val="00834906"/>
    <w:rsid w:val="0083494A"/>
    <w:rsid w:val="00834BEE"/>
    <w:rsid w:val="0083568E"/>
    <w:rsid w:val="008369F8"/>
    <w:rsid w:val="0083742F"/>
    <w:rsid w:val="00840204"/>
    <w:rsid w:val="0084064D"/>
    <w:rsid w:val="00840739"/>
    <w:rsid w:val="00840BB1"/>
    <w:rsid w:val="00840FEF"/>
    <w:rsid w:val="00841038"/>
    <w:rsid w:val="008414B2"/>
    <w:rsid w:val="00841ED1"/>
    <w:rsid w:val="00843EC0"/>
    <w:rsid w:val="00845D63"/>
    <w:rsid w:val="00845E3C"/>
    <w:rsid w:val="008470AD"/>
    <w:rsid w:val="008505D5"/>
    <w:rsid w:val="00852638"/>
    <w:rsid w:val="00852C6B"/>
    <w:rsid w:val="00853DA0"/>
    <w:rsid w:val="0085528B"/>
    <w:rsid w:val="00856ACF"/>
    <w:rsid w:val="00861B61"/>
    <w:rsid w:val="00864221"/>
    <w:rsid w:val="008652DA"/>
    <w:rsid w:val="00865DB2"/>
    <w:rsid w:val="00866437"/>
    <w:rsid w:val="0086729A"/>
    <w:rsid w:val="00867DF7"/>
    <w:rsid w:val="00870356"/>
    <w:rsid w:val="00870F54"/>
    <w:rsid w:val="0087153A"/>
    <w:rsid w:val="00871C40"/>
    <w:rsid w:val="008733C8"/>
    <w:rsid w:val="00873F7E"/>
    <w:rsid w:val="00874416"/>
    <w:rsid w:val="008758A1"/>
    <w:rsid w:val="008764F0"/>
    <w:rsid w:val="00876C93"/>
    <w:rsid w:val="00876D3D"/>
    <w:rsid w:val="00876E6B"/>
    <w:rsid w:val="00877BB4"/>
    <w:rsid w:val="00880AF8"/>
    <w:rsid w:val="00882993"/>
    <w:rsid w:val="008829AA"/>
    <w:rsid w:val="008831C5"/>
    <w:rsid w:val="00884EB7"/>
    <w:rsid w:val="00885001"/>
    <w:rsid w:val="00886815"/>
    <w:rsid w:val="00886E4D"/>
    <w:rsid w:val="00886E64"/>
    <w:rsid w:val="008875EA"/>
    <w:rsid w:val="0088787F"/>
    <w:rsid w:val="00887D02"/>
    <w:rsid w:val="00891004"/>
    <w:rsid w:val="00891F7A"/>
    <w:rsid w:val="00893453"/>
    <w:rsid w:val="00893A8F"/>
    <w:rsid w:val="00895ECD"/>
    <w:rsid w:val="008A3AA5"/>
    <w:rsid w:val="008A57C9"/>
    <w:rsid w:val="008A6D64"/>
    <w:rsid w:val="008B09B2"/>
    <w:rsid w:val="008B1EF9"/>
    <w:rsid w:val="008B262E"/>
    <w:rsid w:val="008B2675"/>
    <w:rsid w:val="008B2A6C"/>
    <w:rsid w:val="008B2C6D"/>
    <w:rsid w:val="008B5FC3"/>
    <w:rsid w:val="008B79A0"/>
    <w:rsid w:val="008C02D5"/>
    <w:rsid w:val="008C21B9"/>
    <w:rsid w:val="008C2CB5"/>
    <w:rsid w:val="008C35FE"/>
    <w:rsid w:val="008C3CC9"/>
    <w:rsid w:val="008C3E4D"/>
    <w:rsid w:val="008C4870"/>
    <w:rsid w:val="008C4A69"/>
    <w:rsid w:val="008D4A31"/>
    <w:rsid w:val="008D4F0B"/>
    <w:rsid w:val="008D7F0F"/>
    <w:rsid w:val="008E057C"/>
    <w:rsid w:val="008E1E8C"/>
    <w:rsid w:val="008E2131"/>
    <w:rsid w:val="008E3206"/>
    <w:rsid w:val="008E354B"/>
    <w:rsid w:val="008E6225"/>
    <w:rsid w:val="008F030B"/>
    <w:rsid w:val="008F0C71"/>
    <w:rsid w:val="008F1351"/>
    <w:rsid w:val="008F3E65"/>
    <w:rsid w:val="008F487A"/>
    <w:rsid w:val="008F5463"/>
    <w:rsid w:val="008F6E86"/>
    <w:rsid w:val="00903292"/>
    <w:rsid w:val="00903ADA"/>
    <w:rsid w:val="00904E1F"/>
    <w:rsid w:val="00904FC8"/>
    <w:rsid w:val="00905220"/>
    <w:rsid w:val="00905635"/>
    <w:rsid w:val="00907974"/>
    <w:rsid w:val="009111E1"/>
    <w:rsid w:val="009123AE"/>
    <w:rsid w:val="009148D3"/>
    <w:rsid w:val="009150D4"/>
    <w:rsid w:val="00916B34"/>
    <w:rsid w:val="00917787"/>
    <w:rsid w:val="00917BC5"/>
    <w:rsid w:val="00920EE8"/>
    <w:rsid w:val="009211EC"/>
    <w:rsid w:val="00921579"/>
    <w:rsid w:val="00922DD1"/>
    <w:rsid w:val="009233A7"/>
    <w:rsid w:val="0092361D"/>
    <w:rsid w:val="0092377E"/>
    <w:rsid w:val="009238CC"/>
    <w:rsid w:val="00923EA7"/>
    <w:rsid w:val="00924105"/>
    <w:rsid w:val="00924C11"/>
    <w:rsid w:val="0092641E"/>
    <w:rsid w:val="009269D0"/>
    <w:rsid w:val="00926C51"/>
    <w:rsid w:val="00931F8D"/>
    <w:rsid w:val="00932013"/>
    <w:rsid w:val="00934D5B"/>
    <w:rsid w:val="00935003"/>
    <w:rsid w:val="00936466"/>
    <w:rsid w:val="009370E3"/>
    <w:rsid w:val="00937FD6"/>
    <w:rsid w:val="009411E3"/>
    <w:rsid w:val="0094140A"/>
    <w:rsid w:val="009417CC"/>
    <w:rsid w:val="0094218C"/>
    <w:rsid w:val="00945693"/>
    <w:rsid w:val="00945E91"/>
    <w:rsid w:val="00945F6D"/>
    <w:rsid w:val="00950971"/>
    <w:rsid w:val="00951B89"/>
    <w:rsid w:val="00952C2E"/>
    <w:rsid w:val="00955164"/>
    <w:rsid w:val="00956A39"/>
    <w:rsid w:val="0095769D"/>
    <w:rsid w:val="00957B6F"/>
    <w:rsid w:val="00960942"/>
    <w:rsid w:val="00960E67"/>
    <w:rsid w:val="0096122F"/>
    <w:rsid w:val="00961780"/>
    <w:rsid w:val="00961FBA"/>
    <w:rsid w:val="00962315"/>
    <w:rsid w:val="0096257A"/>
    <w:rsid w:val="009649C7"/>
    <w:rsid w:val="00965C2C"/>
    <w:rsid w:val="009675C7"/>
    <w:rsid w:val="0097169D"/>
    <w:rsid w:val="00974468"/>
    <w:rsid w:val="009750B9"/>
    <w:rsid w:val="0097616C"/>
    <w:rsid w:val="009762CC"/>
    <w:rsid w:val="0097638E"/>
    <w:rsid w:val="00976A69"/>
    <w:rsid w:val="009771F8"/>
    <w:rsid w:val="00977716"/>
    <w:rsid w:val="0098013F"/>
    <w:rsid w:val="00984AA7"/>
    <w:rsid w:val="00984E2B"/>
    <w:rsid w:val="009869AA"/>
    <w:rsid w:val="00986CD6"/>
    <w:rsid w:val="009877F4"/>
    <w:rsid w:val="009908C1"/>
    <w:rsid w:val="00990CC8"/>
    <w:rsid w:val="009923CB"/>
    <w:rsid w:val="00992C5C"/>
    <w:rsid w:val="0099416D"/>
    <w:rsid w:val="00995C93"/>
    <w:rsid w:val="00996206"/>
    <w:rsid w:val="00997035"/>
    <w:rsid w:val="009976A9"/>
    <w:rsid w:val="00997E61"/>
    <w:rsid w:val="009A1913"/>
    <w:rsid w:val="009A1F38"/>
    <w:rsid w:val="009A24D7"/>
    <w:rsid w:val="009A2957"/>
    <w:rsid w:val="009A3114"/>
    <w:rsid w:val="009A744E"/>
    <w:rsid w:val="009A7E0E"/>
    <w:rsid w:val="009B05F0"/>
    <w:rsid w:val="009B0DE0"/>
    <w:rsid w:val="009B14B5"/>
    <w:rsid w:val="009B2D08"/>
    <w:rsid w:val="009B302A"/>
    <w:rsid w:val="009B570C"/>
    <w:rsid w:val="009B608B"/>
    <w:rsid w:val="009C0106"/>
    <w:rsid w:val="009C0954"/>
    <w:rsid w:val="009C1256"/>
    <w:rsid w:val="009C1C19"/>
    <w:rsid w:val="009C35C6"/>
    <w:rsid w:val="009C3973"/>
    <w:rsid w:val="009D256B"/>
    <w:rsid w:val="009D2B25"/>
    <w:rsid w:val="009D4840"/>
    <w:rsid w:val="009D4AFC"/>
    <w:rsid w:val="009D5AFF"/>
    <w:rsid w:val="009D65B0"/>
    <w:rsid w:val="009D66C6"/>
    <w:rsid w:val="009D773A"/>
    <w:rsid w:val="009D7E1B"/>
    <w:rsid w:val="009D7F07"/>
    <w:rsid w:val="009E05A3"/>
    <w:rsid w:val="009E2B36"/>
    <w:rsid w:val="009E4ECF"/>
    <w:rsid w:val="009E64F9"/>
    <w:rsid w:val="009E7297"/>
    <w:rsid w:val="009E75A9"/>
    <w:rsid w:val="009F0ABE"/>
    <w:rsid w:val="009F1A56"/>
    <w:rsid w:val="009F1C08"/>
    <w:rsid w:val="009F2EC2"/>
    <w:rsid w:val="009F3AE0"/>
    <w:rsid w:val="009F615A"/>
    <w:rsid w:val="009F6754"/>
    <w:rsid w:val="009F7BCF"/>
    <w:rsid w:val="00A00A59"/>
    <w:rsid w:val="00A02AF6"/>
    <w:rsid w:val="00A02C6A"/>
    <w:rsid w:val="00A04B4D"/>
    <w:rsid w:val="00A04F46"/>
    <w:rsid w:val="00A05EB1"/>
    <w:rsid w:val="00A065E2"/>
    <w:rsid w:val="00A06C48"/>
    <w:rsid w:val="00A07403"/>
    <w:rsid w:val="00A07429"/>
    <w:rsid w:val="00A07F88"/>
    <w:rsid w:val="00A1119B"/>
    <w:rsid w:val="00A11269"/>
    <w:rsid w:val="00A12D82"/>
    <w:rsid w:val="00A1392D"/>
    <w:rsid w:val="00A139CD"/>
    <w:rsid w:val="00A14495"/>
    <w:rsid w:val="00A1452D"/>
    <w:rsid w:val="00A148B7"/>
    <w:rsid w:val="00A15A50"/>
    <w:rsid w:val="00A16ADA"/>
    <w:rsid w:val="00A1725F"/>
    <w:rsid w:val="00A17322"/>
    <w:rsid w:val="00A17B65"/>
    <w:rsid w:val="00A20065"/>
    <w:rsid w:val="00A2066F"/>
    <w:rsid w:val="00A219FD"/>
    <w:rsid w:val="00A21D67"/>
    <w:rsid w:val="00A2200D"/>
    <w:rsid w:val="00A23222"/>
    <w:rsid w:val="00A257E8"/>
    <w:rsid w:val="00A27906"/>
    <w:rsid w:val="00A3021E"/>
    <w:rsid w:val="00A31246"/>
    <w:rsid w:val="00A32A73"/>
    <w:rsid w:val="00A334AB"/>
    <w:rsid w:val="00A33692"/>
    <w:rsid w:val="00A34098"/>
    <w:rsid w:val="00A34BBD"/>
    <w:rsid w:val="00A3559E"/>
    <w:rsid w:val="00A36C6B"/>
    <w:rsid w:val="00A37398"/>
    <w:rsid w:val="00A42576"/>
    <w:rsid w:val="00A42BF8"/>
    <w:rsid w:val="00A44428"/>
    <w:rsid w:val="00A4466D"/>
    <w:rsid w:val="00A45000"/>
    <w:rsid w:val="00A459AC"/>
    <w:rsid w:val="00A46118"/>
    <w:rsid w:val="00A465CD"/>
    <w:rsid w:val="00A509B8"/>
    <w:rsid w:val="00A50D64"/>
    <w:rsid w:val="00A52128"/>
    <w:rsid w:val="00A523F8"/>
    <w:rsid w:val="00A52535"/>
    <w:rsid w:val="00A54029"/>
    <w:rsid w:val="00A54C08"/>
    <w:rsid w:val="00A55374"/>
    <w:rsid w:val="00A56847"/>
    <w:rsid w:val="00A56B45"/>
    <w:rsid w:val="00A56C62"/>
    <w:rsid w:val="00A578D8"/>
    <w:rsid w:val="00A623D6"/>
    <w:rsid w:val="00A6393B"/>
    <w:rsid w:val="00A63977"/>
    <w:rsid w:val="00A700FA"/>
    <w:rsid w:val="00A717C6"/>
    <w:rsid w:val="00A7191C"/>
    <w:rsid w:val="00A72137"/>
    <w:rsid w:val="00A73941"/>
    <w:rsid w:val="00A73CEE"/>
    <w:rsid w:val="00A751AB"/>
    <w:rsid w:val="00A768DA"/>
    <w:rsid w:val="00A774BF"/>
    <w:rsid w:val="00A80A8F"/>
    <w:rsid w:val="00A82D84"/>
    <w:rsid w:val="00A8487C"/>
    <w:rsid w:val="00A86A68"/>
    <w:rsid w:val="00A87EC7"/>
    <w:rsid w:val="00A87FA2"/>
    <w:rsid w:val="00A902EE"/>
    <w:rsid w:val="00A90641"/>
    <w:rsid w:val="00A92266"/>
    <w:rsid w:val="00A92358"/>
    <w:rsid w:val="00A9280C"/>
    <w:rsid w:val="00A947E6"/>
    <w:rsid w:val="00A95AE3"/>
    <w:rsid w:val="00A963C1"/>
    <w:rsid w:val="00A97199"/>
    <w:rsid w:val="00AA0346"/>
    <w:rsid w:val="00AA50C9"/>
    <w:rsid w:val="00AA5BF4"/>
    <w:rsid w:val="00AA5D9D"/>
    <w:rsid w:val="00AA66B0"/>
    <w:rsid w:val="00AA70B7"/>
    <w:rsid w:val="00AB08CF"/>
    <w:rsid w:val="00AB0A60"/>
    <w:rsid w:val="00AB0F7B"/>
    <w:rsid w:val="00AB1AED"/>
    <w:rsid w:val="00AB2236"/>
    <w:rsid w:val="00AB2396"/>
    <w:rsid w:val="00AB3578"/>
    <w:rsid w:val="00AB5E13"/>
    <w:rsid w:val="00AB75E0"/>
    <w:rsid w:val="00AC023C"/>
    <w:rsid w:val="00AC1689"/>
    <w:rsid w:val="00AC1D56"/>
    <w:rsid w:val="00AC2E5E"/>
    <w:rsid w:val="00AC356A"/>
    <w:rsid w:val="00AC4D26"/>
    <w:rsid w:val="00AC53DF"/>
    <w:rsid w:val="00AC7CB6"/>
    <w:rsid w:val="00AD02B3"/>
    <w:rsid w:val="00AD1FEC"/>
    <w:rsid w:val="00AD25D3"/>
    <w:rsid w:val="00AD7866"/>
    <w:rsid w:val="00AE1A44"/>
    <w:rsid w:val="00AE3BD7"/>
    <w:rsid w:val="00AE3D55"/>
    <w:rsid w:val="00AE62D1"/>
    <w:rsid w:val="00AE79DC"/>
    <w:rsid w:val="00AE7DB2"/>
    <w:rsid w:val="00AF087E"/>
    <w:rsid w:val="00AF10DE"/>
    <w:rsid w:val="00AF1954"/>
    <w:rsid w:val="00AF261B"/>
    <w:rsid w:val="00AF2AE8"/>
    <w:rsid w:val="00AF3C40"/>
    <w:rsid w:val="00AF4C08"/>
    <w:rsid w:val="00AF4E4F"/>
    <w:rsid w:val="00AF51DF"/>
    <w:rsid w:val="00AF5CDB"/>
    <w:rsid w:val="00AF6865"/>
    <w:rsid w:val="00AF7BCF"/>
    <w:rsid w:val="00AF7E31"/>
    <w:rsid w:val="00B00C7F"/>
    <w:rsid w:val="00B00F65"/>
    <w:rsid w:val="00B01087"/>
    <w:rsid w:val="00B02F7C"/>
    <w:rsid w:val="00B0338E"/>
    <w:rsid w:val="00B074C3"/>
    <w:rsid w:val="00B07E3F"/>
    <w:rsid w:val="00B1001C"/>
    <w:rsid w:val="00B101B1"/>
    <w:rsid w:val="00B10A4C"/>
    <w:rsid w:val="00B11865"/>
    <w:rsid w:val="00B11EAC"/>
    <w:rsid w:val="00B147B8"/>
    <w:rsid w:val="00B20C13"/>
    <w:rsid w:val="00B20EAE"/>
    <w:rsid w:val="00B21350"/>
    <w:rsid w:val="00B21A51"/>
    <w:rsid w:val="00B2249E"/>
    <w:rsid w:val="00B22F21"/>
    <w:rsid w:val="00B236F9"/>
    <w:rsid w:val="00B24F74"/>
    <w:rsid w:val="00B26082"/>
    <w:rsid w:val="00B265CF"/>
    <w:rsid w:val="00B26ADD"/>
    <w:rsid w:val="00B26D90"/>
    <w:rsid w:val="00B27A53"/>
    <w:rsid w:val="00B304E8"/>
    <w:rsid w:val="00B31332"/>
    <w:rsid w:val="00B335D8"/>
    <w:rsid w:val="00B352F7"/>
    <w:rsid w:val="00B35460"/>
    <w:rsid w:val="00B361EC"/>
    <w:rsid w:val="00B36C68"/>
    <w:rsid w:val="00B37283"/>
    <w:rsid w:val="00B431EA"/>
    <w:rsid w:val="00B437C5"/>
    <w:rsid w:val="00B4401A"/>
    <w:rsid w:val="00B44FE2"/>
    <w:rsid w:val="00B450AA"/>
    <w:rsid w:val="00B45D5A"/>
    <w:rsid w:val="00B4649A"/>
    <w:rsid w:val="00B46C63"/>
    <w:rsid w:val="00B471E3"/>
    <w:rsid w:val="00B47CA3"/>
    <w:rsid w:val="00B50D80"/>
    <w:rsid w:val="00B51600"/>
    <w:rsid w:val="00B5185A"/>
    <w:rsid w:val="00B52620"/>
    <w:rsid w:val="00B52CD8"/>
    <w:rsid w:val="00B54100"/>
    <w:rsid w:val="00B55167"/>
    <w:rsid w:val="00B552C1"/>
    <w:rsid w:val="00B608FF"/>
    <w:rsid w:val="00B60E5A"/>
    <w:rsid w:val="00B62A76"/>
    <w:rsid w:val="00B62D1F"/>
    <w:rsid w:val="00B64C06"/>
    <w:rsid w:val="00B64E43"/>
    <w:rsid w:val="00B72D05"/>
    <w:rsid w:val="00B73718"/>
    <w:rsid w:val="00B73831"/>
    <w:rsid w:val="00B75805"/>
    <w:rsid w:val="00B75CF5"/>
    <w:rsid w:val="00B76BFD"/>
    <w:rsid w:val="00B77535"/>
    <w:rsid w:val="00B77AFC"/>
    <w:rsid w:val="00B8179E"/>
    <w:rsid w:val="00B8238E"/>
    <w:rsid w:val="00B849C6"/>
    <w:rsid w:val="00B84A9A"/>
    <w:rsid w:val="00B85933"/>
    <w:rsid w:val="00B86134"/>
    <w:rsid w:val="00B86AEF"/>
    <w:rsid w:val="00B87772"/>
    <w:rsid w:val="00B919BA"/>
    <w:rsid w:val="00B93F13"/>
    <w:rsid w:val="00B93F4C"/>
    <w:rsid w:val="00B9466A"/>
    <w:rsid w:val="00BA0271"/>
    <w:rsid w:val="00BA3293"/>
    <w:rsid w:val="00BA42BB"/>
    <w:rsid w:val="00BA47B0"/>
    <w:rsid w:val="00BA5565"/>
    <w:rsid w:val="00BA7CA9"/>
    <w:rsid w:val="00BB07A7"/>
    <w:rsid w:val="00BB1E49"/>
    <w:rsid w:val="00BB2C13"/>
    <w:rsid w:val="00BB338E"/>
    <w:rsid w:val="00BB39A2"/>
    <w:rsid w:val="00BB3E30"/>
    <w:rsid w:val="00BB4407"/>
    <w:rsid w:val="00BB4567"/>
    <w:rsid w:val="00BB7921"/>
    <w:rsid w:val="00BC1868"/>
    <w:rsid w:val="00BC2017"/>
    <w:rsid w:val="00BC27C0"/>
    <w:rsid w:val="00BC2F88"/>
    <w:rsid w:val="00BC4104"/>
    <w:rsid w:val="00BC47B2"/>
    <w:rsid w:val="00BC57DB"/>
    <w:rsid w:val="00BC5A90"/>
    <w:rsid w:val="00BC61A4"/>
    <w:rsid w:val="00BC7125"/>
    <w:rsid w:val="00BD0AB2"/>
    <w:rsid w:val="00BD0F56"/>
    <w:rsid w:val="00BD2665"/>
    <w:rsid w:val="00BD297E"/>
    <w:rsid w:val="00BD298F"/>
    <w:rsid w:val="00BD3249"/>
    <w:rsid w:val="00BD3B96"/>
    <w:rsid w:val="00BD3CBF"/>
    <w:rsid w:val="00BD4143"/>
    <w:rsid w:val="00BD6112"/>
    <w:rsid w:val="00BD67AD"/>
    <w:rsid w:val="00BD74D4"/>
    <w:rsid w:val="00BD7686"/>
    <w:rsid w:val="00BE0519"/>
    <w:rsid w:val="00BE0957"/>
    <w:rsid w:val="00BE0B61"/>
    <w:rsid w:val="00BE0DDD"/>
    <w:rsid w:val="00BE1E16"/>
    <w:rsid w:val="00BE239E"/>
    <w:rsid w:val="00BE31BD"/>
    <w:rsid w:val="00BE3DFC"/>
    <w:rsid w:val="00BE40C1"/>
    <w:rsid w:val="00BE662A"/>
    <w:rsid w:val="00BE6895"/>
    <w:rsid w:val="00BE721B"/>
    <w:rsid w:val="00BE7C71"/>
    <w:rsid w:val="00BF201A"/>
    <w:rsid w:val="00BF2968"/>
    <w:rsid w:val="00BF306D"/>
    <w:rsid w:val="00BF36AD"/>
    <w:rsid w:val="00BF6AC5"/>
    <w:rsid w:val="00C01C68"/>
    <w:rsid w:val="00C03E3B"/>
    <w:rsid w:val="00C04D33"/>
    <w:rsid w:val="00C04E29"/>
    <w:rsid w:val="00C06413"/>
    <w:rsid w:val="00C067D8"/>
    <w:rsid w:val="00C1140D"/>
    <w:rsid w:val="00C11E53"/>
    <w:rsid w:val="00C124F4"/>
    <w:rsid w:val="00C130F5"/>
    <w:rsid w:val="00C13ECF"/>
    <w:rsid w:val="00C2042B"/>
    <w:rsid w:val="00C21149"/>
    <w:rsid w:val="00C21253"/>
    <w:rsid w:val="00C22E16"/>
    <w:rsid w:val="00C24AB4"/>
    <w:rsid w:val="00C2513F"/>
    <w:rsid w:val="00C2648A"/>
    <w:rsid w:val="00C27159"/>
    <w:rsid w:val="00C27446"/>
    <w:rsid w:val="00C27587"/>
    <w:rsid w:val="00C30BDF"/>
    <w:rsid w:val="00C313C3"/>
    <w:rsid w:val="00C32036"/>
    <w:rsid w:val="00C32FC0"/>
    <w:rsid w:val="00C3375C"/>
    <w:rsid w:val="00C34E83"/>
    <w:rsid w:val="00C35EFF"/>
    <w:rsid w:val="00C360AE"/>
    <w:rsid w:val="00C3695D"/>
    <w:rsid w:val="00C377BC"/>
    <w:rsid w:val="00C37D00"/>
    <w:rsid w:val="00C42874"/>
    <w:rsid w:val="00C43DA6"/>
    <w:rsid w:val="00C46E3B"/>
    <w:rsid w:val="00C5081D"/>
    <w:rsid w:val="00C52191"/>
    <w:rsid w:val="00C53ED6"/>
    <w:rsid w:val="00C540C5"/>
    <w:rsid w:val="00C54881"/>
    <w:rsid w:val="00C560AF"/>
    <w:rsid w:val="00C562B2"/>
    <w:rsid w:val="00C569ED"/>
    <w:rsid w:val="00C610C5"/>
    <w:rsid w:val="00C61C6A"/>
    <w:rsid w:val="00C63E53"/>
    <w:rsid w:val="00C643D3"/>
    <w:rsid w:val="00C65714"/>
    <w:rsid w:val="00C67476"/>
    <w:rsid w:val="00C70975"/>
    <w:rsid w:val="00C70EF0"/>
    <w:rsid w:val="00C71430"/>
    <w:rsid w:val="00C7270B"/>
    <w:rsid w:val="00C72E00"/>
    <w:rsid w:val="00C738BB"/>
    <w:rsid w:val="00C756AB"/>
    <w:rsid w:val="00C778CE"/>
    <w:rsid w:val="00C816C7"/>
    <w:rsid w:val="00C82C49"/>
    <w:rsid w:val="00C83C48"/>
    <w:rsid w:val="00C848D9"/>
    <w:rsid w:val="00C873A4"/>
    <w:rsid w:val="00C90939"/>
    <w:rsid w:val="00C915E7"/>
    <w:rsid w:val="00C91B26"/>
    <w:rsid w:val="00C9267D"/>
    <w:rsid w:val="00C93109"/>
    <w:rsid w:val="00C9348B"/>
    <w:rsid w:val="00C9602F"/>
    <w:rsid w:val="00C9604E"/>
    <w:rsid w:val="00CA2399"/>
    <w:rsid w:val="00CA3045"/>
    <w:rsid w:val="00CA38E2"/>
    <w:rsid w:val="00CA3A76"/>
    <w:rsid w:val="00CA3B6C"/>
    <w:rsid w:val="00CA3D62"/>
    <w:rsid w:val="00CA5026"/>
    <w:rsid w:val="00CA74D0"/>
    <w:rsid w:val="00CB1908"/>
    <w:rsid w:val="00CB1D23"/>
    <w:rsid w:val="00CB4ADD"/>
    <w:rsid w:val="00CB4E9A"/>
    <w:rsid w:val="00CB5A4D"/>
    <w:rsid w:val="00CB621B"/>
    <w:rsid w:val="00CC02E8"/>
    <w:rsid w:val="00CC0987"/>
    <w:rsid w:val="00CC0CD5"/>
    <w:rsid w:val="00CC18AC"/>
    <w:rsid w:val="00CC1F7C"/>
    <w:rsid w:val="00CC2C37"/>
    <w:rsid w:val="00CC2C55"/>
    <w:rsid w:val="00CC4799"/>
    <w:rsid w:val="00CC4E43"/>
    <w:rsid w:val="00CC6CD0"/>
    <w:rsid w:val="00CC7C77"/>
    <w:rsid w:val="00CD1C1E"/>
    <w:rsid w:val="00CD3707"/>
    <w:rsid w:val="00CD477C"/>
    <w:rsid w:val="00CD6C10"/>
    <w:rsid w:val="00CE01A9"/>
    <w:rsid w:val="00CE40FE"/>
    <w:rsid w:val="00CE44A0"/>
    <w:rsid w:val="00CE45A5"/>
    <w:rsid w:val="00CF01BF"/>
    <w:rsid w:val="00CF01F4"/>
    <w:rsid w:val="00CF1220"/>
    <w:rsid w:val="00CF15A3"/>
    <w:rsid w:val="00CF1A7D"/>
    <w:rsid w:val="00CF1E54"/>
    <w:rsid w:val="00CF31CA"/>
    <w:rsid w:val="00CF5733"/>
    <w:rsid w:val="00CF6B3A"/>
    <w:rsid w:val="00D01497"/>
    <w:rsid w:val="00D03372"/>
    <w:rsid w:val="00D04DC1"/>
    <w:rsid w:val="00D05B5F"/>
    <w:rsid w:val="00D0617B"/>
    <w:rsid w:val="00D0629E"/>
    <w:rsid w:val="00D104F7"/>
    <w:rsid w:val="00D10797"/>
    <w:rsid w:val="00D11A28"/>
    <w:rsid w:val="00D11F56"/>
    <w:rsid w:val="00D130D2"/>
    <w:rsid w:val="00D14AC3"/>
    <w:rsid w:val="00D1634A"/>
    <w:rsid w:val="00D16590"/>
    <w:rsid w:val="00D17C79"/>
    <w:rsid w:val="00D17CA7"/>
    <w:rsid w:val="00D21301"/>
    <w:rsid w:val="00D235EC"/>
    <w:rsid w:val="00D23FD0"/>
    <w:rsid w:val="00D24865"/>
    <w:rsid w:val="00D254C3"/>
    <w:rsid w:val="00D26686"/>
    <w:rsid w:val="00D26A12"/>
    <w:rsid w:val="00D306C6"/>
    <w:rsid w:val="00D3424F"/>
    <w:rsid w:val="00D3515D"/>
    <w:rsid w:val="00D35490"/>
    <w:rsid w:val="00D35969"/>
    <w:rsid w:val="00D35E05"/>
    <w:rsid w:val="00D36C64"/>
    <w:rsid w:val="00D376DD"/>
    <w:rsid w:val="00D40BAF"/>
    <w:rsid w:val="00D42996"/>
    <w:rsid w:val="00D43A37"/>
    <w:rsid w:val="00D44203"/>
    <w:rsid w:val="00D44436"/>
    <w:rsid w:val="00D4496B"/>
    <w:rsid w:val="00D46EBA"/>
    <w:rsid w:val="00D50559"/>
    <w:rsid w:val="00D508E8"/>
    <w:rsid w:val="00D51DCE"/>
    <w:rsid w:val="00D52189"/>
    <w:rsid w:val="00D52602"/>
    <w:rsid w:val="00D52628"/>
    <w:rsid w:val="00D52DEF"/>
    <w:rsid w:val="00D53870"/>
    <w:rsid w:val="00D54252"/>
    <w:rsid w:val="00D542B4"/>
    <w:rsid w:val="00D54E75"/>
    <w:rsid w:val="00D55B61"/>
    <w:rsid w:val="00D56E76"/>
    <w:rsid w:val="00D57B39"/>
    <w:rsid w:val="00D60593"/>
    <w:rsid w:val="00D62635"/>
    <w:rsid w:val="00D63FF6"/>
    <w:rsid w:val="00D66DAD"/>
    <w:rsid w:val="00D679FC"/>
    <w:rsid w:val="00D67D07"/>
    <w:rsid w:val="00D71358"/>
    <w:rsid w:val="00D71473"/>
    <w:rsid w:val="00D715AB"/>
    <w:rsid w:val="00D7166F"/>
    <w:rsid w:val="00D7188E"/>
    <w:rsid w:val="00D71A95"/>
    <w:rsid w:val="00D7339C"/>
    <w:rsid w:val="00D7490B"/>
    <w:rsid w:val="00D75072"/>
    <w:rsid w:val="00D759DC"/>
    <w:rsid w:val="00D76297"/>
    <w:rsid w:val="00D76DDE"/>
    <w:rsid w:val="00D77876"/>
    <w:rsid w:val="00D77D69"/>
    <w:rsid w:val="00D80B6E"/>
    <w:rsid w:val="00D82A8C"/>
    <w:rsid w:val="00D855CC"/>
    <w:rsid w:val="00D8588D"/>
    <w:rsid w:val="00D85DF4"/>
    <w:rsid w:val="00D8710E"/>
    <w:rsid w:val="00D9190E"/>
    <w:rsid w:val="00D92638"/>
    <w:rsid w:val="00D93263"/>
    <w:rsid w:val="00D9361E"/>
    <w:rsid w:val="00D957CD"/>
    <w:rsid w:val="00D95FFA"/>
    <w:rsid w:val="00D97843"/>
    <w:rsid w:val="00D97FA7"/>
    <w:rsid w:val="00DA1C0C"/>
    <w:rsid w:val="00DA330B"/>
    <w:rsid w:val="00DA3535"/>
    <w:rsid w:val="00DA3702"/>
    <w:rsid w:val="00DA38B6"/>
    <w:rsid w:val="00DA44F6"/>
    <w:rsid w:val="00DA50D8"/>
    <w:rsid w:val="00DA5C98"/>
    <w:rsid w:val="00DA7372"/>
    <w:rsid w:val="00DA7C31"/>
    <w:rsid w:val="00DA7C38"/>
    <w:rsid w:val="00DB00A6"/>
    <w:rsid w:val="00DB09E9"/>
    <w:rsid w:val="00DB0DC1"/>
    <w:rsid w:val="00DB26B1"/>
    <w:rsid w:val="00DB2C05"/>
    <w:rsid w:val="00DB324E"/>
    <w:rsid w:val="00DB3288"/>
    <w:rsid w:val="00DB7FF5"/>
    <w:rsid w:val="00DC3E95"/>
    <w:rsid w:val="00DC4129"/>
    <w:rsid w:val="00DC51E9"/>
    <w:rsid w:val="00DC5BE8"/>
    <w:rsid w:val="00DC607C"/>
    <w:rsid w:val="00DC6DF6"/>
    <w:rsid w:val="00DD027A"/>
    <w:rsid w:val="00DD0C0E"/>
    <w:rsid w:val="00DD1E4A"/>
    <w:rsid w:val="00DD2D4C"/>
    <w:rsid w:val="00DD5786"/>
    <w:rsid w:val="00DD6784"/>
    <w:rsid w:val="00DD73B9"/>
    <w:rsid w:val="00DE0D7B"/>
    <w:rsid w:val="00DE1DBA"/>
    <w:rsid w:val="00DE201E"/>
    <w:rsid w:val="00DE21A1"/>
    <w:rsid w:val="00DE2AFE"/>
    <w:rsid w:val="00DE2F52"/>
    <w:rsid w:val="00DE3A92"/>
    <w:rsid w:val="00DE5DA1"/>
    <w:rsid w:val="00DE5F75"/>
    <w:rsid w:val="00DE6138"/>
    <w:rsid w:val="00DE629C"/>
    <w:rsid w:val="00DE77D0"/>
    <w:rsid w:val="00DF05BE"/>
    <w:rsid w:val="00DF0CF2"/>
    <w:rsid w:val="00DF30E4"/>
    <w:rsid w:val="00DF3984"/>
    <w:rsid w:val="00DF3B74"/>
    <w:rsid w:val="00DF6AE4"/>
    <w:rsid w:val="00DF6DA9"/>
    <w:rsid w:val="00DF7582"/>
    <w:rsid w:val="00DF7973"/>
    <w:rsid w:val="00E01348"/>
    <w:rsid w:val="00E01843"/>
    <w:rsid w:val="00E02765"/>
    <w:rsid w:val="00E02D59"/>
    <w:rsid w:val="00E03492"/>
    <w:rsid w:val="00E042F7"/>
    <w:rsid w:val="00E04B0D"/>
    <w:rsid w:val="00E050C2"/>
    <w:rsid w:val="00E0775A"/>
    <w:rsid w:val="00E107BC"/>
    <w:rsid w:val="00E11CDD"/>
    <w:rsid w:val="00E12594"/>
    <w:rsid w:val="00E13A01"/>
    <w:rsid w:val="00E15522"/>
    <w:rsid w:val="00E15C89"/>
    <w:rsid w:val="00E15F58"/>
    <w:rsid w:val="00E168A6"/>
    <w:rsid w:val="00E2099D"/>
    <w:rsid w:val="00E21EEA"/>
    <w:rsid w:val="00E224FE"/>
    <w:rsid w:val="00E243C0"/>
    <w:rsid w:val="00E24652"/>
    <w:rsid w:val="00E24882"/>
    <w:rsid w:val="00E2667A"/>
    <w:rsid w:val="00E269B8"/>
    <w:rsid w:val="00E270EE"/>
    <w:rsid w:val="00E314AF"/>
    <w:rsid w:val="00E33731"/>
    <w:rsid w:val="00E36A97"/>
    <w:rsid w:val="00E36CE7"/>
    <w:rsid w:val="00E37209"/>
    <w:rsid w:val="00E37DA5"/>
    <w:rsid w:val="00E40901"/>
    <w:rsid w:val="00E42385"/>
    <w:rsid w:val="00E43EDF"/>
    <w:rsid w:val="00E446F6"/>
    <w:rsid w:val="00E460E5"/>
    <w:rsid w:val="00E46504"/>
    <w:rsid w:val="00E471E2"/>
    <w:rsid w:val="00E5237A"/>
    <w:rsid w:val="00E524ED"/>
    <w:rsid w:val="00E53F66"/>
    <w:rsid w:val="00E55872"/>
    <w:rsid w:val="00E55D85"/>
    <w:rsid w:val="00E55F42"/>
    <w:rsid w:val="00E56621"/>
    <w:rsid w:val="00E60B7A"/>
    <w:rsid w:val="00E60FE8"/>
    <w:rsid w:val="00E62B89"/>
    <w:rsid w:val="00E64E54"/>
    <w:rsid w:val="00E66508"/>
    <w:rsid w:val="00E66CAB"/>
    <w:rsid w:val="00E66F34"/>
    <w:rsid w:val="00E7250E"/>
    <w:rsid w:val="00E7293B"/>
    <w:rsid w:val="00E73F6F"/>
    <w:rsid w:val="00E7455E"/>
    <w:rsid w:val="00E75AB2"/>
    <w:rsid w:val="00E76FE0"/>
    <w:rsid w:val="00E7707F"/>
    <w:rsid w:val="00E8193C"/>
    <w:rsid w:val="00E82D6B"/>
    <w:rsid w:val="00E83252"/>
    <w:rsid w:val="00E83C81"/>
    <w:rsid w:val="00E87595"/>
    <w:rsid w:val="00E90ACE"/>
    <w:rsid w:val="00E9232A"/>
    <w:rsid w:val="00E92539"/>
    <w:rsid w:val="00E9293B"/>
    <w:rsid w:val="00E93F25"/>
    <w:rsid w:val="00E94114"/>
    <w:rsid w:val="00E95F51"/>
    <w:rsid w:val="00E9650D"/>
    <w:rsid w:val="00EA0113"/>
    <w:rsid w:val="00EA1D3E"/>
    <w:rsid w:val="00EA27F2"/>
    <w:rsid w:val="00EA3DD0"/>
    <w:rsid w:val="00EA483C"/>
    <w:rsid w:val="00EB085B"/>
    <w:rsid w:val="00EB20B6"/>
    <w:rsid w:val="00EB23EE"/>
    <w:rsid w:val="00EB2B45"/>
    <w:rsid w:val="00EB2F60"/>
    <w:rsid w:val="00EB3E1C"/>
    <w:rsid w:val="00EB4B02"/>
    <w:rsid w:val="00EB4B8E"/>
    <w:rsid w:val="00EB534F"/>
    <w:rsid w:val="00EB7033"/>
    <w:rsid w:val="00EB76D5"/>
    <w:rsid w:val="00EC00F2"/>
    <w:rsid w:val="00EC0386"/>
    <w:rsid w:val="00EC3214"/>
    <w:rsid w:val="00EC34CF"/>
    <w:rsid w:val="00EC3686"/>
    <w:rsid w:val="00EC3E95"/>
    <w:rsid w:val="00EC44E2"/>
    <w:rsid w:val="00EC5F33"/>
    <w:rsid w:val="00ED0B21"/>
    <w:rsid w:val="00ED12BE"/>
    <w:rsid w:val="00ED256E"/>
    <w:rsid w:val="00ED32E3"/>
    <w:rsid w:val="00ED3F8E"/>
    <w:rsid w:val="00ED5790"/>
    <w:rsid w:val="00ED59A3"/>
    <w:rsid w:val="00ED5D59"/>
    <w:rsid w:val="00ED6170"/>
    <w:rsid w:val="00ED6995"/>
    <w:rsid w:val="00ED74DE"/>
    <w:rsid w:val="00ED7980"/>
    <w:rsid w:val="00EE2889"/>
    <w:rsid w:val="00EE400D"/>
    <w:rsid w:val="00EE4AE3"/>
    <w:rsid w:val="00EE5B3F"/>
    <w:rsid w:val="00EF4257"/>
    <w:rsid w:val="00EF5923"/>
    <w:rsid w:val="00EF7AFE"/>
    <w:rsid w:val="00F0102D"/>
    <w:rsid w:val="00F01980"/>
    <w:rsid w:val="00F0397F"/>
    <w:rsid w:val="00F058D3"/>
    <w:rsid w:val="00F059F1"/>
    <w:rsid w:val="00F05F5A"/>
    <w:rsid w:val="00F062DA"/>
    <w:rsid w:val="00F0634C"/>
    <w:rsid w:val="00F07138"/>
    <w:rsid w:val="00F10B48"/>
    <w:rsid w:val="00F10F8C"/>
    <w:rsid w:val="00F12343"/>
    <w:rsid w:val="00F1425A"/>
    <w:rsid w:val="00F14DAE"/>
    <w:rsid w:val="00F14DDF"/>
    <w:rsid w:val="00F1530C"/>
    <w:rsid w:val="00F1574E"/>
    <w:rsid w:val="00F1683B"/>
    <w:rsid w:val="00F22DCB"/>
    <w:rsid w:val="00F241DB"/>
    <w:rsid w:val="00F250E9"/>
    <w:rsid w:val="00F258D1"/>
    <w:rsid w:val="00F25AE0"/>
    <w:rsid w:val="00F31AB7"/>
    <w:rsid w:val="00F3231A"/>
    <w:rsid w:val="00F3317B"/>
    <w:rsid w:val="00F343B0"/>
    <w:rsid w:val="00F3641D"/>
    <w:rsid w:val="00F36745"/>
    <w:rsid w:val="00F40DFD"/>
    <w:rsid w:val="00F4155C"/>
    <w:rsid w:val="00F4212B"/>
    <w:rsid w:val="00F42554"/>
    <w:rsid w:val="00F42BBD"/>
    <w:rsid w:val="00F42C9D"/>
    <w:rsid w:val="00F42CDA"/>
    <w:rsid w:val="00F44C36"/>
    <w:rsid w:val="00F4581A"/>
    <w:rsid w:val="00F46A2B"/>
    <w:rsid w:val="00F47895"/>
    <w:rsid w:val="00F47D8A"/>
    <w:rsid w:val="00F515E8"/>
    <w:rsid w:val="00F51F62"/>
    <w:rsid w:val="00F52422"/>
    <w:rsid w:val="00F52A28"/>
    <w:rsid w:val="00F535DE"/>
    <w:rsid w:val="00F5377D"/>
    <w:rsid w:val="00F54565"/>
    <w:rsid w:val="00F5546B"/>
    <w:rsid w:val="00F576DF"/>
    <w:rsid w:val="00F57EF1"/>
    <w:rsid w:val="00F6095E"/>
    <w:rsid w:val="00F60B58"/>
    <w:rsid w:val="00F6117A"/>
    <w:rsid w:val="00F61EAE"/>
    <w:rsid w:val="00F6594A"/>
    <w:rsid w:val="00F6596C"/>
    <w:rsid w:val="00F65FC5"/>
    <w:rsid w:val="00F6653B"/>
    <w:rsid w:val="00F66B19"/>
    <w:rsid w:val="00F67405"/>
    <w:rsid w:val="00F724D2"/>
    <w:rsid w:val="00F72731"/>
    <w:rsid w:val="00F73658"/>
    <w:rsid w:val="00F73F5A"/>
    <w:rsid w:val="00F82144"/>
    <w:rsid w:val="00F82945"/>
    <w:rsid w:val="00F83702"/>
    <w:rsid w:val="00F83C8C"/>
    <w:rsid w:val="00F85E87"/>
    <w:rsid w:val="00F90F4C"/>
    <w:rsid w:val="00F914E9"/>
    <w:rsid w:val="00F91D95"/>
    <w:rsid w:val="00F91F19"/>
    <w:rsid w:val="00F92698"/>
    <w:rsid w:val="00F9459F"/>
    <w:rsid w:val="00F954FF"/>
    <w:rsid w:val="00F96D25"/>
    <w:rsid w:val="00F9707D"/>
    <w:rsid w:val="00F978D6"/>
    <w:rsid w:val="00F979A3"/>
    <w:rsid w:val="00F97DF9"/>
    <w:rsid w:val="00FA0629"/>
    <w:rsid w:val="00FA1E0E"/>
    <w:rsid w:val="00FA243C"/>
    <w:rsid w:val="00FA28DE"/>
    <w:rsid w:val="00FA3092"/>
    <w:rsid w:val="00FA36BC"/>
    <w:rsid w:val="00FA4013"/>
    <w:rsid w:val="00FA477B"/>
    <w:rsid w:val="00FA4CB3"/>
    <w:rsid w:val="00FA592D"/>
    <w:rsid w:val="00FB1DF6"/>
    <w:rsid w:val="00FB240D"/>
    <w:rsid w:val="00FB3181"/>
    <w:rsid w:val="00FB4069"/>
    <w:rsid w:val="00FB43F8"/>
    <w:rsid w:val="00FB6D8A"/>
    <w:rsid w:val="00FC01D6"/>
    <w:rsid w:val="00FC05BA"/>
    <w:rsid w:val="00FC0AE3"/>
    <w:rsid w:val="00FC197F"/>
    <w:rsid w:val="00FC28DF"/>
    <w:rsid w:val="00FC426B"/>
    <w:rsid w:val="00FC44B5"/>
    <w:rsid w:val="00FC5B55"/>
    <w:rsid w:val="00FC65A3"/>
    <w:rsid w:val="00FC661D"/>
    <w:rsid w:val="00FD062A"/>
    <w:rsid w:val="00FD21C6"/>
    <w:rsid w:val="00FD2CB1"/>
    <w:rsid w:val="00FD31BB"/>
    <w:rsid w:val="00FD3595"/>
    <w:rsid w:val="00FD687A"/>
    <w:rsid w:val="00FD6E3A"/>
    <w:rsid w:val="00FD7F8E"/>
    <w:rsid w:val="00FE01C6"/>
    <w:rsid w:val="00FE7234"/>
    <w:rsid w:val="00FE7E49"/>
    <w:rsid w:val="00FF0C42"/>
    <w:rsid w:val="00FF2AF2"/>
    <w:rsid w:val="00FF5E6A"/>
    <w:rsid w:val="00FF6601"/>
    <w:rsid w:val="00FF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l-GR" w:eastAsia="el-G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AB"/>
    <w:pPr>
      <w:spacing w:before="120" w:after="120"/>
      <w:jc w:val="both"/>
    </w:pPr>
    <w:rPr>
      <w:rFonts w:ascii="Times New Roman" w:eastAsia="Times New Roman" w:hAnsi="Times New Roman"/>
      <w:sz w:val="22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E3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uiPriority w:val="99"/>
    <w:unhideWhenUsed/>
    <w:rsid w:val="00E66C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66CAB"/>
    <w:pPr>
      <w:tabs>
        <w:tab w:val="center" w:pos="4680"/>
        <w:tab w:val="right" w:pos="9360"/>
      </w:tabs>
      <w:spacing w:before="0" w:after="0" w:line="240" w:lineRule="auto"/>
    </w:pPr>
    <w:rPr>
      <w:sz w:val="20"/>
    </w:rPr>
  </w:style>
  <w:style w:type="character" w:customStyle="1" w:styleId="HeaderChar">
    <w:name w:val="Header Char"/>
    <w:link w:val="Header"/>
    <w:uiPriority w:val="99"/>
    <w:semiHidden/>
    <w:rsid w:val="00E66CAB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E66CAB"/>
    <w:pPr>
      <w:tabs>
        <w:tab w:val="center" w:pos="4680"/>
        <w:tab w:val="right" w:pos="9360"/>
      </w:tabs>
      <w:spacing w:before="0" w:after="0" w:line="240" w:lineRule="auto"/>
    </w:pPr>
    <w:rPr>
      <w:sz w:val="20"/>
    </w:rPr>
  </w:style>
  <w:style w:type="character" w:customStyle="1" w:styleId="FooterChar">
    <w:name w:val="Footer Char"/>
    <w:link w:val="Footer"/>
    <w:uiPriority w:val="99"/>
    <w:rsid w:val="00E66CAB"/>
    <w:rPr>
      <w:rFonts w:ascii="Times New Roman" w:eastAsia="Times New Roman" w:hAnsi="Times New Roman" w:cs="Times New Roman"/>
      <w:szCs w:val="24"/>
    </w:rPr>
  </w:style>
  <w:style w:type="paragraph" w:styleId="Title">
    <w:name w:val="Title"/>
    <w:basedOn w:val="Normal"/>
    <w:link w:val="TitleChar"/>
    <w:qFormat/>
    <w:rsid w:val="00E66CAB"/>
    <w:pPr>
      <w:spacing w:before="240" w:after="240"/>
      <w:outlineLvl w:val="0"/>
    </w:pPr>
    <w:rPr>
      <w:rFonts w:ascii="Arial" w:hAnsi="Arial"/>
      <w:b/>
      <w:bCs/>
      <w:color w:val="000080"/>
      <w:kern w:val="28"/>
      <w:sz w:val="40"/>
      <w:szCs w:val="32"/>
    </w:rPr>
  </w:style>
  <w:style w:type="character" w:customStyle="1" w:styleId="TitleChar">
    <w:name w:val="Title Char"/>
    <w:link w:val="Title"/>
    <w:rsid w:val="00E66CAB"/>
    <w:rPr>
      <w:rFonts w:ascii="Arial" w:eastAsia="Times New Roman" w:hAnsi="Arial" w:cs="Arial"/>
      <w:b/>
      <w:bCs/>
      <w:color w:val="000080"/>
      <w:kern w:val="28"/>
      <w:sz w:val="40"/>
      <w:szCs w:val="32"/>
    </w:rPr>
  </w:style>
  <w:style w:type="paragraph" w:styleId="ListParagraph">
    <w:name w:val="List Paragraph"/>
    <w:basedOn w:val="Normal"/>
    <w:uiPriority w:val="34"/>
    <w:qFormat/>
    <w:rsid w:val="00F3317B"/>
    <w:pPr>
      <w:ind w:left="720"/>
      <w:contextualSpacing/>
    </w:pPr>
  </w:style>
  <w:style w:type="paragraph" w:customStyle="1" w:styleId="Style3">
    <w:name w:val="Style3"/>
    <w:basedOn w:val="Normal"/>
    <w:next w:val="Normal"/>
    <w:rsid w:val="00F3317B"/>
    <w:pPr>
      <w:widowControl w:val="0"/>
      <w:autoSpaceDE w:val="0"/>
      <w:autoSpaceDN w:val="0"/>
      <w:adjustRightInd w:val="0"/>
      <w:spacing w:before="0" w:after="0" w:line="240" w:lineRule="auto"/>
      <w:jc w:val="left"/>
    </w:pPr>
    <w:rPr>
      <w:rFonts w:ascii="Optima" w:hAnsi="Optima" w:cs="Optim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74EB"/>
    <w:pPr>
      <w:spacing w:before="0" w:after="200" w:line="240" w:lineRule="auto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009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2009"/>
    <w:rPr>
      <w:rFonts w:ascii="Tahoma" w:eastAsia="Times New Roman" w:hAnsi="Tahoma" w:cs="Tahoma"/>
      <w:sz w:val="16"/>
      <w:szCs w:val="16"/>
    </w:rPr>
  </w:style>
  <w:style w:type="paragraph" w:customStyle="1" w:styleId="SP18237689">
    <w:name w:val="SP.18.237689"/>
    <w:basedOn w:val="Normal"/>
    <w:next w:val="Normal"/>
    <w:uiPriority w:val="99"/>
    <w:rsid w:val="008764F0"/>
    <w:pPr>
      <w:autoSpaceDE w:val="0"/>
      <w:autoSpaceDN w:val="0"/>
      <w:adjustRightInd w:val="0"/>
      <w:spacing w:before="0" w:after="0" w:line="240" w:lineRule="auto"/>
      <w:jc w:val="left"/>
    </w:pPr>
    <w:rPr>
      <w:rFonts w:eastAsia="Calibri"/>
      <w:sz w:val="24"/>
    </w:rPr>
  </w:style>
  <w:style w:type="character" w:customStyle="1" w:styleId="SC182724">
    <w:name w:val="SC.18.2724"/>
    <w:uiPriority w:val="99"/>
    <w:rsid w:val="008764F0"/>
    <w:rPr>
      <w:color w:val="000000"/>
      <w:sz w:val="20"/>
      <w:szCs w:val="20"/>
    </w:rPr>
  </w:style>
  <w:style w:type="paragraph" w:customStyle="1" w:styleId="SP11217206">
    <w:name w:val="SP.11.217206"/>
    <w:basedOn w:val="Normal"/>
    <w:next w:val="Normal"/>
    <w:uiPriority w:val="99"/>
    <w:rsid w:val="0076456A"/>
    <w:pPr>
      <w:autoSpaceDE w:val="0"/>
      <w:autoSpaceDN w:val="0"/>
      <w:adjustRightInd w:val="0"/>
      <w:spacing w:before="0" w:after="0" w:line="240" w:lineRule="auto"/>
      <w:jc w:val="left"/>
    </w:pPr>
    <w:rPr>
      <w:rFonts w:eastAsia="Calibri"/>
      <w:sz w:val="24"/>
    </w:rPr>
  </w:style>
  <w:style w:type="character" w:customStyle="1" w:styleId="SC112740">
    <w:name w:val="SC.11.2740"/>
    <w:uiPriority w:val="99"/>
    <w:rsid w:val="0076456A"/>
    <w:rPr>
      <w:color w:val="000000"/>
      <w:sz w:val="20"/>
      <w:szCs w:val="20"/>
    </w:rPr>
  </w:style>
  <w:style w:type="paragraph" w:customStyle="1" w:styleId="Style49">
    <w:name w:val="Style49"/>
    <w:basedOn w:val="Normal"/>
    <w:next w:val="Normal"/>
    <w:rsid w:val="007B6D96"/>
    <w:pPr>
      <w:widowControl w:val="0"/>
      <w:autoSpaceDE w:val="0"/>
      <w:autoSpaceDN w:val="0"/>
      <w:adjustRightInd w:val="0"/>
      <w:spacing w:before="0" w:after="0" w:line="240" w:lineRule="auto"/>
      <w:jc w:val="left"/>
    </w:pPr>
    <w:rPr>
      <w:rFonts w:ascii="Optima-Bold" w:hAnsi="Optima-Bold" w:cs="Optima-Bold"/>
      <w:sz w:val="11"/>
      <w:szCs w:val="11"/>
    </w:rPr>
  </w:style>
  <w:style w:type="character" w:customStyle="1" w:styleId="hcp3">
    <w:name w:val="hcp3"/>
    <w:rsid w:val="00401B3A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401B3A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menu">
    <w:name w:val="menu"/>
    <w:rsid w:val="00401B3A"/>
  </w:style>
  <w:style w:type="character" w:customStyle="1" w:styleId="fmmenuseparator">
    <w:name w:val="fm_menuseparator"/>
    <w:rsid w:val="00401B3A"/>
  </w:style>
  <w:style w:type="character" w:customStyle="1" w:styleId="fmcrossreference">
    <w:name w:val="fm_crossreference"/>
    <w:rsid w:val="00401B3A"/>
  </w:style>
  <w:style w:type="character" w:styleId="Strong">
    <w:name w:val="Strong"/>
    <w:uiPriority w:val="22"/>
    <w:qFormat/>
    <w:rsid w:val="00814E62"/>
    <w:rPr>
      <w:b/>
      <w:bCs/>
    </w:rPr>
  </w:style>
  <w:style w:type="character" w:customStyle="1" w:styleId="apple-converted-space">
    <w:name w:val="apple-converted-space"/>
    <w:rsid w:val="00814E62"/>
  </w:style>
  <w:style w:type="paragraph" w:customStyle="1" w:styleId="volissue">
    <w:name w:val="volissue"/>
    <w:basedOn w:val="Normal"/>
    <w:rsid w:val="002A17B4"/>
    <w:pPr>
      <w:spacing w:before="100" w:beforeAutospacing="1" w:after="100" w:afterAutospacing="1" w:line="240" w:lineRule="auto"/>
      <w:jc w:val="left"/>
    </w:pPr>
    <w:rPr>
      <w:sz w:val="24"/>
      <w:lang w:val="el-GR" w:eastAsia="el-GR"/>
    </w:rPr>
  </w:style>
  <w:style w:type="table" w:styleId="TableGrid">
    <w:name w:val="Table Grid"/>
    <w:basedOn w:val="TableNormal"/>
    <w:uiPriority w:val="59"/>
    <w:rsid w:val="003E485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rticle-author-info">
    <w:name w:val="article-author-info"/>
    <w:basedOn w:val="DefaultParagraphFont"/>
    <w:rsid w:val="003A1D34"/>
  </w:style>
  <w:style w:type="character" w:styleId="CommentReference">
    <w:name w:val="annotation reference"/>
    <w:basedOn w:val="DefaultParagraphFont"/>
    <w:uiPriority w:val="99"/>
    <w:semiHidden/>
    <w:unhideWhenUsed/>
    <w:rsid w:val="00DA5C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C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C98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C98"/>
    <w:rPr>
      <w:rFonts w:ascii="Times New Roman" w:eastAsia="Times New Roman" w:hAnsi="Times New Roman"/>
      <w:b/>
      <w:bCs/>
      <w:lang w:val="en-US" w:eastAsia="en-US"/>
    </w:rPr>
  </w:style>
  <w:style w:type="paragraph" w:customStyle="1" w:styleId="ecxmsonormal">
    <w:name w:val="ecxmsonormal"/>
    <w:basedOn w:val="Normal"/>
    <w:rsid w:val="00FD31BB"/>
    <w:pPr>
      <w:spacing w:before="100" w:beforeAutospacing="1" w:after="100" w:afterAutospacing="1" w:line="240" w:lineRule="auto"/>
      <w:jc w:val="left"/>
    </w:pPr>
    <w:rPr>
      <w:sz w:val="24"/>
      <w:lang w:val="en-GB" w:eastAsia="en-GB"/>
    </w:rPr>
  </w:style>
  <w:style w:type="paragraph" w:customStyle="1" w:styleId="ecxmsolistparagraph">
    <w:name w:val="ecxmsolistparagraph"/>
    <w:basedOn w:val="Normal"/>
    <w:rsid w:val="00FD31BB"/>
    <w:pPr>
      <w:spacing w:before="100" w:beforeAutospacing="1" w:after="100" w:afterAutospacing="1" w:line="240" w:lineRule="auto"/>
      <w:jc w:val="left"/>
    </w:pPr>
    <w:rPr>
      <w:sz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5262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D5D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l-GR" w:eastAsia="el-G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AB"/>
    <w:pPr>
      <w:spacing w:before="120" w:after="120"/>
      <w:jc w:val="both"/>
    </w:pPr>
    <w:rPr>
      <w:rFonts w:ascii="Times New Roman" w:eastAsia="Times New Roman" w:hAnsi="Times New Roman"/>
      <w:sz w:val="22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E3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uiPriority w:val="99"/>
    <w:unhideWhenUsed/>
    <w:rsid w:val="00E66C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66CAB"/>
    <w:pPr>
      <w:tabs>
        <w:tab w:val="center" w:pos="4680"/>
        <w:tab w:val="right" w:pos="9360"/>
      </w:tabs>
      <w:spacing w:before="0" w:after="0" w:line="240" w:lineRule="auto"/>
    </w:pPr>
    <w:rPr>
      <w:sz w:val="20"/>
    </w:rPr>
  </w:style>
  <w:style w:type="character" w:customStyle="1" w:styleId="HeaderChar">
    <w:name w:val="Header Char"/>
    <w:link w:val="Header"/>
    <w:uiPriority w:val="99"/>
    <w:semiHidden/>
    <w:rsid w:val="00E66CAB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E66CAB"/>
    <w:pPr>
      <w:tabs>
        <w:tab w:val="center" w:pos="4680"/>
        <w:tab w:val="right" w:pos="9360"/>
      </w:tabs>
      <w:spacing w:before="0" w:after="0" w:line="240" w:lineRule="auto"/>
    </w:pPr>
    <w:rPr>
      <w:sz w:val="20"/>
    </w:rPr>
  </w:style>
  <w:style w:type="character" w:customStyle="1" w:styleId="FooterChar">
    <w:name w:val="Footer Char"/>
    <w:link w:val="Footer"/>
    <w:uiPriority w:val="99"/>
    <w:rsid w:val="00E66CAB"/>
    <w:rPr>
      <w:rFonts w:ascii="Times New Roman" w:eastAsia="Times New Roman" w:hAnsi="Times New Roman" w:cs="Times New Roman"/>
      <w:szCs w:val="24"/>
    </w:rPr>
  </w:style>
  <w:style w:type="paragraph" w:styleId="Title">
    <w:name w:val="Title"/>
    <w:basedOn w:val="Normal"/>
    <w:link w:val="TitleChar"/>
    <w:qFormat/>
    <w:rsid w:val="00E66CAB"/>
    <w:pPr>
      <w:spacing w:before="240" w:after="240"/>
      <w:outlineLvl w:val="0"/>
    </w:pPr>
    <w:rPr>
      <w:rFonts w:ascii="Arial" w:hAnsi="Arial"/>
      <w:b/>
      <w:bCs/>
      <w:color w:val="000080"/>
      <w:kern w:val="28"/>
      <w:sz w:val="40"/>
      <w:szCs w:val="32"/>
    </w:rPr>
  </w:style>
  <w:style w:type="character" w:customStyle="1" w:styleId="TitleChar">
    <w:name w:val="Title Char"/>
    <w:link w:val="Title"/>
    <w:rsid w:val="00E66CAB"/>
    <w:rPr>
      <w:rFonts w:ascii="Arial" w:eastAsia="Times New Roman" w:hAnsi="Arial" w:cs="Arial"/>
      <w:b/>
      <w:bCs/>
      <w:color w:val="000080"/>
      <w:kern w:val="28"/>
      <w:sz w:val="40"/>
      <w:szCs w:val="32"/>
    </w:rPr>
  </w:style>
  <w:style w:type="paragraph" w:styleId="ListParagraph">
    <w:name w:val="List Paragraph"/>
    <w:basedOn w:val="Normal"/>
    <w:uiPriority w:val="34"/>
    <w:qFormat/>
    <w:rsid w:val="00F3317B"/>
    <w:pPr>
      <w:ind w:left="720"/>
      <w:contextualSpacing/>
    </w:pPr>
  </w:style>
  <w:style w:type="paragraph" w:customStyle="1" w:styleId="Style3">
    <w:name w:val="Style3"/>
    <w:basedOn w:val="Normal"/>
    <w:next w:val="Normal"/>
    <w:rsid w:val="00F3317B"/>
    <w:pPr>
      <w:widowControl w:val="0"/>
      <w:autoSpaceDE w:val="0"/>
      <w:autoSpaceDN w:val="0"/>
      <w:adjustRightInd w:val="0"/>
      <w:spacing w:before="0" w:after="0" w:line="240" w:lineRule="auto"/>
      <w:jc w:val="left"/>
    </w:pPr>
    <w:rPr>
      <w:rFonts w:ascii="Optima" w:hAnsi="Optima" w:cs="Optim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74EB"/>
    <w:pPr>
      <w:spacing w:before="0" w:after="200" w:line="240" w:lineRule="auto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009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2009"/>
    <w:rPr>
      <w:rFonts w:ascii="Tahoma" w:eastAsia="Times New Roman" w:hAnsi="Tahoma" w:cs="Tahoma"/>
      <w:sz w:val="16"/>
      <w:szCs w:val="16"/>
    </w:rPr>
  </w:style>
  <w:style w:type="paragraph" w:customStyle="1" w:styleId="SP18237689">
    <w:name w:val="SP.18.237689"/>
    <w:basedOn w:val="Normal"/>
    <w:next w:val="Normal"/>
    <w:uiPriority w:val="99"/>
    <w:rsid w:val="008764F0"/>
    <w:pPr>
      <w:autoSpaceDE w:val="0"/>
      <w:autoSpaceDN w:val="0"/>
      <w:adjustRightInd w:val="0"/>
      <w:spacing w:before="0" w:after="0" w:line="240" w:lineRule="auto"/>
      <w:jc w:val="left"/>
    </w:pPr>
    <w:rPr>
      <w:rFonts w:eastAsia="Calibri"/>
      <w:sz w:val="24"/>
    </w:rPr>
  </w:style>
  <w:style w:type="character" w:customStyle="1" w:styleId="SC182724">
    <w:name w:val="SC.18.2724"/>
    <w:uiPriority w:val="99"/>
    <w:rsid w:val="008764F0"/>
    <w:rPr>
      <w:color w:val="000000"/>
      <w:sz w:val="20"/>
      <w:szCs w:val="20"/>
    </w:rPr>
  </w:style>
  <w:style w:type="paragraph" w:customStyle="1" w:styleId="SP11217206">
    <w:name w:val="SP.11.217206"/>
    <w:basedOn w:val="Normal"/>
    <w:next w:val="Normal"/>
    <w:uiPriority w:val="99"/>
    <w:rsid w:val="0076456A"/>
    <w:pPr>
      <w:autoSpaceDE w:val="0"/>
      <w:autoSpaceDN w:val="0"/>
      <w:adjustRightInd w:val="0"/>
      <w:spacing w:before="0" w:after="0" w:line="240" w:lineRule="auto"/>
      <w:jc w:val="left"/>
    </w:pPr>
    <w:rPr>
      <w:rFonts w:eastAsia="Calibri"/>
      <w:sz w:val="24"/>
    </w:rPr>
  </w:style>
  <w:style w:type="character" w:customStyle="1" w:styleId="SC112740">
    <w:name w:val="SC.11.2740"/>
    <w:uiPriority w:val="99"/>
    <w:rsid w:val="0076456A"/>
    <w:rPr>
      <w:color w:val="000000"/>
      <w:sz w:val="20"/>
      <w:szCs w:val="20"/>
    </w:rPr>
  </w:style>
  <w:style w:type="paragraph" w:customStyle="1" w:styleId="Style49">
    <w:name w:val="Style49"/>
    <w:basedOn w:val="Normal"/>
    <w:next w:val="Normal"/>
    <w:rsid w:val="007B6D96"/>
    <w:pPr>
      <w:widowControl w:val="0"/>
      <w:autoSpaceDE w:val="0"/>
      <w:autoSpaceDN w:val="0"/>
      <w:adjustRightInd w:val="0"/>
      <w:spacing w:before="0" w:after="0" w:line="240" w:lineRule="auto"/>
      <w:jc w:val="left"/>
    </w:pPr>
    <w:rPr>
      <w:rFonts w:ascii="Optima-Bold" w:hAnsi="Optima-Bold" w:cs="Optima-Bold"/>
      <w:sz w:val="11"/>
      <w:szCs w:val="11"/>
    </w:rPr>
  </w:style>
  <w:style w:type="character" w:customStyle="1" w:styleId="hcp3">
    <w:name w:val="hcp3"/>
    <w:rsid w:val="00401B3A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401B3A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menu">
    <w:name w:val="menu"/>
    <w:rsid w:val="00401B3A"/>
  </w:style>
  <w:style w:type="character" w:customStyle="1" w:styleId="fmmenuseparator">
    <w:name w:val="fm_menuseparator"/>
    <w:rsid w:val="00401B3A"/>
  </w:style>
  <w:style w:type="character" w:customStyle="1" w:styleId="fmcrossreference">
    <w:name w:val="fm_crossreference"/>
    <w:rsid w:val="00401B3A"/>
  </w:style>
  <w:style w:type="character" w:styleId="Strong">
    <w:name w:val="Strong"/>
    <w:uiPriority w:val="22"/>
    <w:qFormat/>
    <w:rsid w:val="00814E62"/>
    <w:rPr>
      <w:b/>
      <w:bCs/>
    </w:rPr>
  </w:style>
  <w:style w:type="character" w:customStyle="1" w:styleId="apple-converted-space">
    <w:name w:val="apple-converted-space"/>
    <w:rsid w:val="00814E62"/>
  </w:style>
  <w:style w:type="paragraph" w:customStyle="1" w:styleId="volissue">
    <w:name w:val="volissue"/>
    <w:basedOn w:val="Normal"/>
    <w:rsid w:val="002A17B4"/>
    <w:pPr>
      <w:spacing w:before="100" w:beforeAutospacing="1" w:after="100" w:afterAutospacing="1" w:line="240" w:lineRule="auto"/>
      <w:jc w:val="left"/>
    </w:pPr>
    <w:rPr>
      <w:sz w:val="24"/>
      <w:lang w:val="el-GR" w:eastAsia="el-GR"/>
    </w:rPr>
  </w:style>
  <w:style w:type="table" w:styleId="TableGrid">
    <w:name w:val="Table Grid"/>
    <w:basedOn w:val="TableNormal"/>
    <w:uiPriority w:val="59"/>
    <w:rsid w:val="003E485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rticle-author-info">
    <w:name w:val="article-author-info"/>
    <w:basedOn w:val="DefaultParagraphFont"/>
    <w:rsid w:val="003A1D34"/>
  </w:style>
  <w:style w:type="character" w:styleId="CommentReference">
    <w:name w:val="annotation reference"/>
    <w:basedOn w:val="DefaultParagraphFont"/>
    <w:uiPriority w:val="99"/>
    <w:semiHidden/>
    <w:unhideWhenUsed/>
    <w:rsid w:val="00DA5C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C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C98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C98"/>
    <w:rPr>
      <w:rFonts w:ascii="Times New Roman" w:eastAsia="Times New Roman" w:hAnsi="Times New Roman"/>
      <w:b/>
      <w:bCs/>
      <w:lang w:val="en-US" w:eastAsia="en-US"/>
    </w:rPr>
  </w:style>
  <w:style w:type="paragraph" w:customStyle="1" w:styleId="ecxmsonormal">
    <w:name w:val="ecxmsonormal"/>
    <w:basedOn w:val="Normal"/>
    <w:rsid w:val="00FD31BB"/>
    <w:pPr>
      <w:spacing w:before="100" w:beforeAutospacing="1" w:after="100" w:afterAutospacing="1" w:line="240" w:lineRule="auto"/>
      <w:jc w:val="left"/>
    </w:pPr>
    <w:rPr>
      <w:sz w:val="24"/>
      <w:lang w:val="en-GB" w:eastAsia="en-GB"/>
    </w:rPr>
  </w:style>
  <w:style w:type="paragraph" w:customStyle="1" w:styleId="ecxmsolistparagraph">
    <w:name w:val="ecxmsolistparagraph"/>
    <w:basedOn w:val="Normal"/>
    <w:rsid w:val="00FD31BB"/>
    <w:pPr>
      <w:spacing w:before="100" w:beforeAutospacing="1" w:after="100" w:afterAutospacing="1" w:line="240" w:lineRule="auto"/>
      <w:jc w:val="left"/>
    </w:pPr>
    <w:rPr>
      <w:sz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5262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D5D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0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www.intelligen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EEB9D-B29D-49BE-996F-CACCC827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3090</Words>
  <Characters>17617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20666</CharactersWithSpaces>
  <SharedDoc>false</SharedDoc>
  <HLinks>
    <vt:vector size="72" baseType="variant">
      <vt:variant>
        <vt:i4>1376346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http://en.wikipedia.org/wiki/Soy</vt:lpwstr>
      </vt:variant>
      <vt:variant>
        <vt:lpwstr/>
      </vt:variant>
      <vt:variant>
        <vt:i4>8257582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http://en.wikipedia.org/wiki/Maize</vt:lpwstr>
      </vt:variant>
      <vt:variant>
        <vt:lpwstr/>
      </vt:variant>
      <vt:variant>
        <vt:i4>1048667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http://en.wikipedia.org/wiki/Chicken</vt:lpwstr>
      </vt:variant>
      <vt:variant>
        <vt:lpwstr/>
      </vt:variant>
      <vt:variant>
        <vt:i4>524380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http://en.wikipedia.org/wiki/Pig</vt:lpwstr>
      </vt:variant>
      <vt:variant>
        <vt:lpwstr/>
      </vt:variant>
      <vt:variant>
        <vt:i4>5046328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http://en.wikipedia.org/wiki/Aspartic_acid</vt:lpwstr>
      </vt:variant>
      <vt:variant>
        <vt:lpwstr/>
      </vt:variant>
      <vt:variant>
        <vt:i4>786525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http://en.wikipedia.org/wiki/Antibody</vt:lpwstr>
      </vt:variant>
      <vt:variant>
        <vt:lpwstr/>
      </vt:variant>
      <vt:variant>
        <vt:i4>1966151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http://en.wikipedia.org/wiki/Enzymes</vt:lpwstr>
      </vt:variant>
      <vt:variant>
        <vt:lpwstr/>
      </vt:variant>
      <vt:variant>
        <vt:i4>983129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http://en.wikipedia.org/wiki/Hormones</vt:lpwstr>
      </vt:variant>
      <vt:variant>
        <vt:lpwstr/>
      </vt:variant>
      <vt:variant>
        <vt:i4>720986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http://en.wikipedia.org/wiki/Protein</vt:lpwstr>
      </vt:variant>
      <vt:variant>
        <vt:lpwstr/>
      </vt:variant>
      <vt:variant>
        <vt:i4>852054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http://en.wikipedia.org/wiki/Essential_amino_acid</vt:lpwstr>
      </vt:variant>
      <vt:variant>
        <vt:lpwstr/>
      </vt:variant>
      <vt:variant>
        <vt:i4>3670064</vt:i4>
      </vt:variant>
      <vt:variant>
        <vt:i4>0</vt:i4>
      </vt:variant>
      <vt:variant>
        <vt:i4>0</vt:i4>
      </vt:variant>
      <vt:variant>
        <vt:i4>5</vt:i4>
      </vt:variant>
      <vt:variant>
        <vt:lpwstr>http://www.intelligen.com/</vt:lpwstr>
      </vt:variant>
      <vt:variant>
        <vt:lpwstr/>
      </vt:variant>
      <vt:variant>
        <vt:i4>4128773</vt:i4>
      </vt:variant>
      <vt:variant>
        <vt:i4>38773</vt:i4>
      </vt:variant>
      <vt:variant>
        <vt:i4>1037</vt:i4>
      </vt:variant>
      <vt:variant>
        <vt:i4>1</vt:i4>
      </vt:variant>
      <vt:variant>
        <vt:lpwstr>cid:image002.png@01CE15D3.91E85BD0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O.  Jimenez</dc:creator>
  <cp:lastModifiedBy>dpetrides</cp:lastModifiedBy>
  <cp:revision>93</cp:revision>
  <dcterms:created xsi:type="dcterms:W3CDTF">2016-05-17T15:20:00Z</dcterms:created>
  <dcterms:modified xsi:type="dcterms:W3CDTF">2016-05-21T22:55:00Z</dcterms:modified>
</cp:coreProperties>
</file>