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530" w:rsidRPr="00633CEF" w:rsidRDefault="00FA7530" w:rsidP="00FA7530">
      <w:pPr>
        <w:jc w:val="center"/>
        <w:rPr>
          <w:rFonts w:ascii="Tahoma" w:hAnsi="Tahoma"/>
          <w:b/>
          <w:bCs/>
          <w:sz w:val="22"/>
          <w:szCs w:val="22"/>
        </w:rPr>
      </w:pPr>
      <w:r w:rsidRPr="00633CEF">
        <w:rPr>
          <w:rFonts w:ascii="Tahoma" w:hAnsi="Tahoma"/>
          <w:b/>
          <w:bCs/>
          <w:sz w:val="22"/>
          <w:szCs w:val="22"/>
        </w:rPr>
        <w:t>The Global Crisis and Philippine Tourism:</w:t>
      </w:r>
    </w:p>
    <w:p w:rsidR="00FA7530" w:rsidRPr="00633CEF" w:rsidRDefault="00FA7530" w:rsidP="00FA7530">
      <w:pPr>
        <w:jc w:val="center"/>
        <w:rPr>
          <w:rFonts w:ascii="Tahoma" w:hAnsi="Tahoma"/>
          <w:b/>
          <w:bCs/>
          <w:sz w:val="22"/>
          <w:szCs w:val="22"/>
        </w:rPr>
      </w:pPr>
      <w:r w:rsidRPr="00633CEF">
        <w:rPr>
          <w:rFonts w:ascii="Tahoma" w:hAnsi="Tahoma"/>
          <w:b/>
          <w:bCs/>
          <w:sz w:val="22"/>
          <w:szCs w:val="22"/>
        </w:rPr>
        <w:t>Impact and Policy Responses</w:t>
      </w:r>
    </w:p>
    <w:p w:rsidR="00680937" w:rsidRPr="00633CEF" w:rsidRDefault="00680937" w:rsidP="00680937">
      <w:pPr>
        <w:jc w:val="center"/>
        <w:rPr>
          <w:rFonts w:ascii="Tahoma" w:hAnsi="Tahoma" w:cs="Arial"/>
          <w:sz w:val="22"/>
          <w:szCs w:val="22"/>
        </w:rPr>
      </w:pPr>
      <w:r w:rsidRPr="00633CEF">
        <w:rPr>
          <w:rFonts w:ascii="Tahoma" w:hAnsi="Tahoma" w:cs="Arial"/>
          <w:b/>
          <w:bCs/>
          <w:sz w:val="22"/>
          <w:szCs w:val="22"/>
        </w:rPr>
        <w:t>Executive Summary</w:t>
      </w:r>
    </w:p>
    <w:p w:rsidR="009267F6" w:rsidRPr="00633CEF" w:rsidRDefault="009267F6" w:rsidP="0003169B">
      <w:pPr>
        <w:jc w:val="center"/>
        <w:rPr>
          <w:rFonts w:ascii="Tahoma" w:hAnsi="Tahoma" w:cs="Arial"/>
          <w:b/>
          <w:bCs/>
          <w:sz w:val="22"/>
          <w:szCs w:val="22"/>
        </w:rPr>
      </w:pPr>
    </w:p>
    <w:p w:rsidR="009267F6" w:rsidRPr="00633CEF" w:rsidRDefault="009267F6" w:rsidP="0003169B">
      <w:pPr>
        <w:jc w:val="center"/>
        <w:rPr>
          <w:rFonts w:ascii="Tahoma" w:hAnsi="Tahoma" w:cs="Arial"/>
          <w:iCs/>
          <w:sz w:val="18"/>
          <w:szCs w:val="18"/>
          <w:lang w:val="pt-BR"/>
        </w:rPr>
      </w:pPr>
      <w:r w:rsidRPr="00633CEF">
        <w:rPr>
          <w:rFonts w:ascii="Tahoma" w:hAnsi="Tahoma" w:cs="Arial"/>
          <w:iCs/>
          <w:sz w:val="18"/>
          <w:szCs w:val="18"/>
          <w:lang w:val="pt-BR"/>
        </w:rPr>
        <w:t>Maria Cherry Lyn S. Rodolfo</w:t>
      </w:r>
    </w:p>
    <w:p w:rsidR="00680937" w:rsidRPr="00CA252E" w:rsidRDefault="00680937" w:rsidP="0003169B">
      <w:pPr>
        <w:jc w:val="center"/>
        <w:rPr>
          <w:rFonts w:ascii="Tahoma" w:hAnsi="Tahoma" w:cs="Arial"/>
          <w:iCs/>
          <w:sz w:val="18"/>
          <w:szCs w:val="18"/>
        </w:rPr>
      </w:pPr>
      <w:r w:rsidRPr="00CA252E">
        <w:rPr>
          <w:rFonts w:ascii="Tahoma" w:hAnsi="Tahoma" w:cs="Arial"/>
          <w:iCs/>
          <w:sz w:val="18"/>
          <w:szCs w:val="18"/>
        </w:rPr>
        <w:t>Center for Research and Communication</w:t>
      </w:r>
    </w:p>
    <w:p w:rsidR="009267F6" w:rsidRPr="00CA252E" w:rsidRDefault="009267F6" w:rsidP="0003169B">
      <w:pPr>
        <w:jc w:val="center"/>
        <w:rPr>
          <w:rFonts w:ascii="Tahoma" w:hAnsi="Tahoma" w:cs="Arial"/>
          <w:b/>
          <w:bCs/>
          <w:sz w:val="22"/>
          <w:szCs w:val="22"/>
        </w:rPr>
      </w:pPr>
    </w:p>
    <w:p w:rsidR="00FA4E94" w:rsidRPr="00633CEF" w:rsidRDefault="00FB1E8A" w:rsidP="002E5335">
      <w:pPr>
        <w:ind w:left="360"/>
        <w:jc w:val="both"/>
        <w:rPr>
          <w:rFonts w:ascii="Tahoma" w:hAnsi="Tahoma" w:cs="Arial"/>
          <w:sz w:val="22"/>
          <w:szCs w:val="22"/>
        </w:rPr>
      </w:pPr>
      <w:r w:rsidRPr="00633CEF">
        <w:rPr>
          <w:rFonts w:ascii="Tahoma" w:hAnsi="Tahoma" w:cs="Arial"/>
          <w:sz w:val="22"/>
          <w:szCs w:val="22"/>
        </w:rPr>
        <w:t xml:space="preserve">Given the natural, cultural and human resource endowments of the country, tourism has been identified as a sunrise and globally competitive industry by the national government. </w:t>
      </w:r>
      <w:r w:rsidR="00192213" w:rsidRPr="00633CEF">
        <w:rPr>
          <w:rFonts w:ascii="Tahoma" w:hAnsi="Tahoma" w:cs="Arial"/>
          <w:sz w:val="22"/>
          <w:szCs w:val="22"/>
        </w:rPr>
        <w:t xml:space="preserve">An agglomeration of service-oriented industries, </w:t>
      </w:r>
      <w:r w:rsidR="0086385B" w:rsidRPr="00633CEF">
        <w:rPr>
          <w:rFonts w:ascii="Tahoma" w:hAnsi="Tahoma" w:cs="Arial"/>
          <w:sz w:val="22"/>
          <w:szCs w:val="22"/>
        </w:rPr>
        <w:t xml:space="preserve">tourism is a major contributor to economic growth and development. </w:t>
      </w:r>
      <w:r w:rsidR="00531B3B" w:rsidRPr="00633CEF">
        <w:rPr>
          <w:rFonts w:ascii="Tahoma" w:hAnsi="Tahoma" w:cs="Arial"/>
          <w:sz w:val="22"/>
          <w:szCs w:val="22"/>
        </w:rPr>
        <w:t>The Philippine tourism industry</w:t>
      </w:r>
      <w:r w:rsidR="0086385B" w:rsidRPr="00633CEF">
        <w:rPr>
          <w:rFonts w:ascii="Tahoma" w:hAnsi="Tahoma" w:cs="Arial"/>
          <w:sz w:val="22"/>
          <w:szCs w:val="22"/>
        </w:rPr>
        <w:t xml:space="preserve"> </w:t>
      </w:r>
      <w:r w:rsidR="00192213" w:rsidRPr="00633CEF">
        <w:rPr>
          <w:rFonts w:ascii="Tahoma" w:hAnsi="Tahoma" w:cs="Arial"/>
          <w:sz w:val="22"/>
          <w:szCs w:val="22"/>
        </w:rPr>
        <w:t>rank</w:t>
      </w:r>
      <w:r w:rsidR="0086385B" w:rsidRPr="00633CEF">
        <w:rPr>
          <w:rFonts w:ascii="Tahoma" w:hAnsi="Tahoma" w:cs="Arial"/>
          <w:sz w:val="22"/>
          <w:szCs w:val="22"/>
        </w:rPr>
        <w:t>ed</w:t>
      </w:r>
      <w:r w:rsidR="00B51B00" w:rsidRPr="00633CEF">
        <w:rPr>
          <w:rFonts w:ascii="Tahoma" w:hAnsi="Tahoma" w:cs="Arial"/>
          <w:sz w:val="22"/>
          <w:szCs w:val="22"/>
        </w:rPr>
        <w:t xml:space="preserve"> </w:t>
      </w:r>
      <w:r w:rsidR="00192213" w:rsidRPr="00633CEF">
        <w:rPr>
          <w:rFonts w:ascii="Tahoma" w:hAnsi="Tahoma" w:cs="Arial"/>
          <w:sz w:val="22"/>
          <w:szCs w:val="22"/>
        </w:rPr>
        <w:t xml:space="preserve">second to electronics and semiconductors </w:t>
      </w:r>
      <w:r w:rsidR="005B16CA" w:rsidRPr="00633CEF">
        <w:rPr>
          <w:rFonts w:ascii="Tahoma" w:hAnsi="Tahoma" w:cs="Arial"/>
          <w:sz w:val="22"/>
          <w:szCs w:val="22"/>
        </w:rPr>
        <w:t xml:space="preserve">in </w:t>
      </w:r>
      <w:r w:rsidR="0086385B" w:rsidRPr="00633CEF">
        <w:rPr>
          <w:rFonts w:ascii="Tahoma" w:hAnsi="Tahoma" w:cs="Arial"/>
          <w:sz w:val="22"/>
          <w:szCs w:val="22"/>
        </w:rPr>
        <w:t xml:space="preserve">export revenue generation. </w:t>
      </w:r>
      <w:r w:rsidR="00BD0E8F" w:rsidRPr="00633CEF">
        <w:rPr>
          <w:rFonts w:ascii="Tahoma" w:hAnsi="Tahoma" w:cs="Arial"/>
          <w:sz w:val="22"/>
          <w:szCs w:val="22"/>
        </w:rPr>
        <w:t>According to the World Travel and Tourism Council,</w:t>
      </w:r>
      <w:r w:rsidR="0086385B" w:rsidRPr="00633CEF">
        <w:rPr>
          <w:rFonts w:ascii="Tahoma" w:hAnsi="Tahoma" w:cs="Arial"/>
          <w:sz w:val="22"/>
          <w:szCs w:val="22"/>
        </w:rPr>
        <w:t xml:space="preserve"> </w:t>
      </w:r>
      <w:r w:rsidR="00BD0E8F" w:rsidRPr="00633CEF">
        <w:rPr>
          <w:rFonts w:ascii="Tahoma" w:hAnsi="Tahoma" w:cs="Arial"/>
          <w:sz w:val="22"/>
          <w:szCs w:val="22"/>
        </w:rPr>
        <w:t xml:space="preserve">Philippine tourism </w:t>
      </w:r>
      <w:r w:rsidR="00DD7786" w:rsidRPr="00633CEF">
        <w:rPr>
          <w:rFonts w:ascii="Tahoma" w:hAnsi="Tahoma" w:cs="Arial"/>
          <w:sz w:val="22"/>
          <w:szCs w:val="22"/>
        </w:rPr>
        <w:t>contribute</w:t>
      </w:r>
      <w:r w:rsidR="00697E4E" w:rsidRPr="00633CEF">
        <w:rPr>
          <w:rFonts w:ascii="Tahoma" w:hAnsi="Tahoma" w:cs="Arial"/>
          <w:sz w:val="22"/>
          <w:szCs w:val="22"/>
        </w:rPr>
        <w:t>d</w:t>
      </w:r>
      <w:r w:rsidR="00DD7786" w:rsidRPr="00633CEF">
        <w:rPr>
          <w:rFonts w:ascii="Tahoma" w:hAnsi="Tahoma" w:cs="Arial"/>
          <w:sz w:val="22"/>
          <w:szCs w:val="22"/>
        </w:rPr>
        <w:t xml:space="preserve"> </w:t>
      </w:r>
      <w:r w:rsidR="000A208B" w:rsidRPr="00633CEF">
        <w:rPr>
          <w:rFonts w:ascii="Tahoma" w:hAnsi="Tahoma" w:cs="Arial"/>
          <w:sz w:val="22"/>
          <w:szCs w:val="22"/>
        </w:rPr>
        <w:t xml:space="preserve">9.1 </w:t>
      </w:r>
      <w:r w:rsidR="00192213" w:rsidRPr="00633CEF">
        <w:rPr>
          <w:rFonts w:ascii="Tahoma" w:hAnsi="Tahoma" w:cs="Arial"/>
          <w:sz w:val="22"/>
          <w:szCs w:val="22"/>
        </w:rPr>
        <w:t xml:space="preserve">percent to the gross domestic product </w:t>
      </w:r>
      <w:r w:rsidR="00DD7786" w:rsidRPr="00633CEF">
        <w:rPr>
          <w:rFonts w:ascii="Tahoma" w:hAnsi="Tahoma" w:cs="Arial"/>
          <w:sz w:val="22"/>
          <w:szCs w:val="22"/>
        </w:rPr>
        <w:t xml:space="preserve">and </w:t>
      </w:r>
      <w:r w:rsidR="00192213" w:rsidRPr="00633CEF">
        <w:rPr>
          <w:rFonts w:ascii="Tahoma" w:hAnsi="Tahoma" w:cs="Arial"/>
          <w:sz w:val="22"/>
          <w:szCs w:val="22"/>
        </w:rPr>
        <w:t>generated 3 million jobs directly and indirectly (</w:t>
      </w:r>
      <w:r w:rsidR="000A208B" w:rsidRPr="00633CEF">
        <w:rPr>
          <w:rFonts w:ascii="Tahoma" w:hAnsi="Tahoma" w:cs="Arial"/>
          <w:sz w:val="22"/>
          <w:szCs w:val="22"/>
        </w:rPr>
        <w:t>10.6</w:t>
      </w:r>
      <w:r w:rsidR="00531B3B" w:rsidRPr="00633CEF">
        <w:rPr>
          <w:rFonts w:ascii="Tahoma" w:hAnsi="Tahoma" w:cs="Arial"/>
          <w:sz w:val="22"/>
          <w:szCs w:val="22"/>
        </w:rPr>
        <w:t>%</w:t>
      </w:r>
      <w:r w:rsidR="00192213" w:rsidRPr="00633CEF">
        <w:rPr>
          <w:rFonts w:ascii="Tahoma" w:hAnsi="Tahoma" w:cs="Arial"/>
          <w:sz w:val="22"/>
          <w:szCs w:val="22"/>
        </w:rPr>
        <w:t xml:space="preserve"> of national employment)</w:t>
      </w:r>
      <w:r w:rsidR="00DD7786" w:rsidRPr="00633CEF">
        <w:rPr>
          <w:rFonts w:ascii="Tahoma" w:hAnsi="Tahoma" w:cs="Arial"/>
          <w:sz w:val="22"/>
          <w:szCs w:val="22"/>
        </w:rPr>
        <w:t xml:space="preserve"> in 2008</w:t>
      </w:r>
      <w:r w:rsidR="00192213" w:rsidRPr="00633CEF">
        <w:rPr>
          <w:rFonts w:ascii="Tahoma" w:hAnsi="Tahoma" w:cs="Arial"/>
          <w:sz w:val="22"/>
          <w:szCs w:val="22"/>
        </w:rPr>
        <w:t xml:space="preserve">. </w:t>
      </w:r>
      <w:r w:rsidR="00FA4E94" w:rsidRPr="00633CEF">
        <w:rPr>
          <w:rFonts w:ascii="Tahoma" w:hAnsi="Tahoma" w:cs="Arial"/>
          <w:sz w:val="22"/>
          <w:szCs w:val="22"/>
        </w:rPr>
        <w:t xml:space="preserve"> </w:t>
      </w:r>
    </w:p>
    <w:p w:rsidR="00FA4E94" w:rsidRPr="00633CEF" w:rsidRDefault="00FA4E94" w:rsidP="002E5335">
      <w:pPr>
        <w:ind w:left="360"/>
        <w:jc w:val="both"/>
        <w:rPr>
          <w:rFonts w:ascii="Tahoma" w:hAnsi="Tahoma" w:cs="Arial"/>
          <w:sz w:val="22"/>
          <w:szCs w:val="22"/>
        </w:rPr>
      </w:pPr>
    </w:p>
    <w:p w:rsidR="00AA6678" w:rsidRPr="00633CEF" w:rsidRDefault="00FA4E94" w:rsidP="002E5335">
      <w:pPr>
        <w:ind w:left="360"/>
        <w:jc w:val="both"/>
        <w:rPr>
          <w:rFonts w:ascii="Tahoma" w:hAnsi="Tahoma" w:cs="Arial"/>
          <w:sz w:val="22"/>
          <w:szCs w:val="22"/>
        </w:rPr>
      </w:pPr>
      <w:r w:rsidRPr="00633CEF">
        <w:rPr>
          <w:rFonts w:ascii="Tahoma" w:hAnsi="Tahoma" w:cs="Arial"/>
          <w:sz w:val="22"/>
          <w:szCs w:val="22"/>
        </w:rPr>
        <w:t xml:space="preserve">Worldwide, tourism’s power to reduce poverty is threatened by the current crisis. In 2008, global tourism’s growth slowed </w:t>
      </w:r>
      <w:r w:rsidR="005D7F66" w:rsidRPr="00633CEF">
        <w:rPr>
          <w:rFonts w:ascii="Tahoma" w:hAnsi="Tahoma" w:cs="Arial"/>
          <w:sz w:val="22"/>
          <w:szCs w:val="22"/>
        </w:rPr>
        <w:t>down</w:t>
      </w:r>
      <w:r w:rsidRPr="00633CEF">
        <w:rPr>
          <w:rFonts w:ascii="Tahoma" w:hAnsi="Tahoma" w:cs="Arial"/>
          <w:sz w:val="22"/>
          <w:szCs w:val="22"/>
        </w:rPr>
        <w:t xml:space="preserve"> to 1.5</w:t>
      </w:r>
      <w:r w:rsidR="00531B3B" w:rsidRPr="00633CEF">
        <w:rPr>
          <w:rFonts w:ascii="Tahoma" w:hAnsi="Tahoma" w:cs="Arial"/>
          <w:sz w:val="22"/>
          <w:szCs w:val="22"/>
        </w:rPr>
        <w:t>%</w:t>
      </w:r>
      <w:r w:rsidR="005D7F66" w:rsidRPr="00633CEF">
        <w:rPr>
          <w:rFonts w:ascii="Tahoma" w:hAnsi="Tahoma" w:cs="Arial"/>
          <w:sz w:val="22"/>
          <w:szCs w:val="22"/>
        </w:rPr>
        <w:t xml:space="preserve">. For 2009, the World </w:t>
      </w:r>
      <w:r w:rsidR="00E425C1" w:rsidRPr="00633CEF">
        <w:rPr>
          <w:rFonts w:ascii="Tahoma" w:hAnsi="Tahoma" w:cs="Arial"/>
          <w:sz w:val="22"/>
          <w:szCs w:val="22"/>
        </w:rPr>
        <w:t xml:space="preserve">Tourism Organization </w:t>
      </w:r>
      <w:r w:rsidR="00531B3B" w:rsidRPr="00633CEF">
        <w:rPr>
          <w:rFonts w:ascii="Tahoma" w:hAnsi="Tahoma" w:cs="Arial"/>
          <w:sz w:val="22"/>
          <w:szCs w:val="22"/>
        </w:rPr>
        <w:t xml:space="preserve">(WTO) </w:t>
      </w:r>
      <w:r w:rsidR="005D7F66" w:rsidRPr="00633CEF">
        <w:rPr>
          <w:rFonts w:ascii="Tahoma" w:hAnsi="Tahoma" w:cs="Arial"/>
          <w:sz w:val="22"/>
          <w:szCs w:val="22"/>
        </w:rPr>
        <w:t xml:space="preserve">projected that </w:t>
      </w:r>
      <w:r w:rsidR="00D944D0" w:rsidRPr="00633CEF">
        <w:rPr>
          <w:rFonts w:ascii="Tahoma" w:hAnsi="Tahoma" w:cs="Arial"/>
          <w:sz w:val="22"/>
          <w:szCs w:val="22"/>
        </w:rPr>
        <w:t xml:space="preserve">growth will range from -2% to 0%. </w:t>
      </w:r>
      <w:r w:rsidR="00531B3B" w:rsidRPr="00633CEF">
        <w:rPr>
          <w:rFonts w:ascii="Tahoma" w:hAnsi="Tahoma" w:cs="Arial"/>
          <w:sz w:val="22"/>
          <w:szCs w:val="22"/>
        </w:rPr>
        <w:t>How has the crisis affected Philippine tourism?</w:t>
      </w:r>
      <w:r w:rsidR="006C0A7D" w:rsidRPr="00633CEF">
        <w:rPr>
          <w:rFonts w:ascii="Tahoma" w:hAnsi="Tahoma" w:cs="Arial"/>
          <w:sz w:val="22"/>
          <w:szCs w:val="22"/>
        </w:rPr>
        <w:t xml:space="preserve"> Is the industry vulnerable to the crisis</w:t>
      </w:r>
      <w:r w:rsidR="006A6779" w:rsidRPr="00633CEF">
        <w:rPr>
          <w:rFonts w:ascii="Tahoma" w:hAnsi="Tahoma" w:cs="Arial"/>
          <w:sz w:val="22"/>
          <w:szCs w:val="22"/>
        </w:rPr>
        <w:t xml:space="preserve"> due to the contraction in demand</w:t>
      </w:r>
      <w:r w:rsidR="002B2065" w:rsidRPr="00633CEF">
        <w:rPr>
          <w:rFonts w:ascii="Tahoma" w:hAnsi="Tahoma" w:cs="Arial"/>
          <w:sz w:val="22"/>
          <w:szCs w:val="22"/>
        </w:rPr>
        <w:t xml:space="preserve">? </w:t>
      </w:r>
      <w:r w:rsidR="00531B3B" w:rsidRPr="00633CEF">
        <w:rPr>
          <w:rFonts w:ascii="Tahoma" w:hAnsi="Tahoma" w:cs="Arial"/>
          <w:sz w:val="22"/>
          <w:szCs w:val="22"/>
        </w:rPr>
        <w:t>Or i</w:t>
      </w:r>
      <w:r w:rsidR="002B2065" w:rsidRPr="00633CEF">
        <w:rPr>
          <w:rFonts w:ascii="Tahoma" w:hAnsi="Tahoma" w:cs="Arial"/>
          <w:sz w:val="22"/>
          <w:szCs w:val="22"/>
        </w:rPr>
        <w:t>s it in a better state to absorb the impact of the global</w:t>
      </w:r>
      <w:r w:rsidR="00531B3B" w:rsidRPr="00633CEF">
        <w:rPr>
          <w:rFonts w:ascii="Tahoma" w:hAnsi="Tahoma" w:cs="Arial"/>
          <w:sz w:val="22"/>
          <w:szCs w:val="22"/>
        </w:rPr>
        <w:t xml:space="preserve"> economic crunch</w:t>
      </w:r>
      <w:r w:rsidR="002B2065" w:rsidRPr="00633CEF">
        <w:rPr>
          <w:rFonts w:ascii="Tahoma" w:hAnsi="Tahoma" w:cs="Arial"/>
          <w:sz w:val="22"/>
          <w:szCs w:val="22"/>
        </w:rPr>
        <w:t xml:space="preserve">? </w:t>
      </w:r>
    </w:p>
    <w:p w:rsidR="00D93C35" w:rsidRPr="00633CEF" w:rsidRDefault="00D93C35" w:rsidP="002E5335">
      <w:pPr>
        <w:ind w:left="360"/>
        <w:jc w:val="both"/>
        <w:rPr>
          <w:rFonts w:ascii="Tahoma" w:hAnsi="Tahoma" w:cs="Arial"/>
          <w:sz w:val="22"/>
          <w:szCs w:val="22"/>
        </w:rPr>
      </w:pPr>
    </w:p>
    <w:p w:rsidR="0003169B" w:rsidRPr="00633CEF" w:rsidRDefault="0020129C" w:rsidP="00D93C35">
      <w:pPr>
        <w:ind w:left="360"/>
        <w:jc w:val="both"/>
        <w:rPr>
          <w:rFonts w:ascii="Tahoma" w:hAnsi="Tahoma" w:cs="Arial"/>
          <w:b/>
          <w:bCs/>
          <w:sz w:val="22"/>
          <w:szCs w:val="22"/>
        </w:rPr>
      </w:pPr>
      <w:r w:rsidRPr="00633CEF">
        <w:rPr>
          <w:rFonts w:ascii="Tahoma" w:hAnsi="Tahoma" w:cs="Arial"/>
          <w:sz w:val="22"/>
          <w:szCs w:val="22"/>
        </w:rPr>
        <w:t xml:space="preserve"> </w:t>
      </w:r>
      <w:r w:rsidR="00D93C35" w:rsidRPr="00633CEF">
        <w:rPr>
          <w:rFonts w:ascii="Tahoma" w:hAnsi="Tahoma" w:cs="Arial"/>
          <w:sz w:val="22"/>
          <w:szCs w:val="22"/>
        </w:rPr>
        <w:t>I.</w:t>
      </w:r>
      <w:r w:rsidR="00D93C35" w:rsidRPr="00633CEF">
        <w:rPr>
          <w:rFonts w:ascii="Tahoma" w:hAnsi="Tahoma" w:cs="Arial"/>
          <w:sz w:val="22"/>
          <w:szCs w:val="22"/>
        </w:rPr>
        <w:tab/>
      </w:r>
      <w:r w:rsidR="0003169B" w:rsidRPr="00633CEF">
        <w:rPr>
          <w:rFonts w:ascii="Tahoma" w:hAnsi="Tahoma" w:cs="Arial"/>
          <w:b/>
          <w:bCs/>
          <w:sz w:val="22"/>
          <w:szCs w:val="22"/>
        </w:rPr>
        <w:t xml:space="preserve">Impact of the </w:t>
      </w:r>
      <w:r w:rsidR="00D561F0" w:rsidRPr="00633CEF">
        <w:rPr>
          <w:rFonts w:ascii="Tahoma" w:hAnsi="Tahoma" w:cs="Arial"/>
          <w:b/>
          <w:bCs/>
          <w:sz w:val="22"/>
          <w:szCs w:val="22"/>
        </w:rPr>
        <w:t xml:space="preserve">Global </w:t>
      </w:r>
      <w:r w:rsidR="0003169B" w:rsidRPr="00633CEF">
        <w:rPr>
          <w:rFonts w:ascii="Tahoma" w:hAnsi="Tahoma" w:cs="Arial"/>
          <w:b/>
          <w:bCs/>
          <w:sz w:val="22"/>
          <w:szCs w:val="22"/>
        </w:rPr>
        <w:t>Crisis on Philippine Tourism</w:t>
      </w:r>
    </w:p>
    <w:p w:rsidR="0003169B" w:rsidRPr="00633CEF" w:rsidRDefault="0003169B" w:rsidP="0003169B">
      <w:pPr>
        <w:ind w:left="360"/>
        <w:jc w:val="both"/>
        <w:rPr>
          <w:rFonts w:ascii="Tahoma" w:hAnsi="Tahoma" w:cs="Arial"/>
          <w:sz w:val="22"/>
          <w:szCs w:val="22"/>
        </w:rPr>
      </w:pPr>
    </w:p>
    <w:p w:rsidR="00573B9A" w:rsidRPr="00633CEF" w:rsidRDefault="00573B9A" w:rsidP="0003169B">
      <w:pPr>
        <w:ind w:left="360"/>
        <w:jc w:val="both"/>
        <w:rPr>
          <w:rFonts w:ascii="Tahoma" w:hAnsi="Tahoma" w:cs="Arial"/>
          <w:b/>
          <w:bCs/>
          <w:sz w:val="22"/>
          <w:szCs w:val="22"/>
        </w:rPr>
      </w:pPr>
      <w:r w:rsidRPr="00633CEF">
        <w:rPr>
          <w:rFonts w:ascii="Tahoma" w:hAnsi="Tahoma" w:cs="Arial"/>
          <w:sz w:val="22"/>
          <w:szCs w:val="22"/>
        </w:rPr>
        <w:tab/>
      </w:r>
      <w:r w:rsidRPr="00633CEF">
        <w:rPr>
          <w:rFonts w:ascii="Tahoma" w:hAnsi="Tahoma" w:cs="Arial"/>
          <w:b/>
          <w:bCs/>
          <w:sz w:val="22"/>
          <w:szCs w:val="22"/>
        </w:rPr>
        <w:t>Negative Impacts</w:t>
      </w:r>
    </w:p>
    <w:p w:rsidR="00573B9A" w:rsidRPr="00633CEF" w:rsidRDefault="00573B9A" w:rsidP="0003169B">
      <w:pPr>
        <w:ind w:left="360"/>
        <w:jc w:val="both"/>
        <w:rPr>
          <w:rFonts w:ascii="Tahoma" w:hAnsi="Tahoma" w:cs="Arial"/>
          <w:sz w:val="22"/>
          <w:szCs w:val="22"/>
        </w:rPr>
      </w:pPr>
    </w:p>
    <w:p w:rsidR="00531B3B" w:rsidRPr="00633CEF" w:rsidRDefault="006D5190" w:rsidP="00C743C7">
      <w:pPr>
        <w:numPr>
          <w:ilvl w:val="0"/>
          <w:numId w:val="13"/>
        </w:numPr>
        <w:jc w:val="both"/>
        <w:rPr>
          <w:rFonts w:ascii="Tahoma" w:hAnsi="Tahoma" w:cs="Arial"/>
          <w:sz w:val="22"/>
          <w:szCs w:val="22"/>
        </w:rPr>
      </w:pPr>
      <w:r w:rsidRPr="00633CEF">
        <w:rPr>
          <w:rFonts w:ascii="Tahoma" w:hAnsi="Tahoma" w:cs="Arial"/>
          <w:sz w:val="22"/>
          <w:szCs w:val="22"/>
        </w:rPr>
        <w:t xml:space="preserve">The volume of international arrivals (3.145 million) grew by only 1.5 percent in 2008 after posting </w:t>
      </w:r>
      <w:r w:rsidR="007856DC" w:rsidRPr="00633CEF">
        <w:rPr>
          <w:rFonts w:ascii="Tahoma" w:hAnsi="Tahoma" w:cs="Arial"/>
          <w:sz w:val="22"/>
          <w:szCs w:val="22"/>
        </w:rPr>
        <w:t xml:space="preserve">relatively high growth </w:t>
      </w:r>
      <w:r w:rsidR="00E54F19">
        <w:rPr>
          <w:rFonts w:ascii="Tahoma" w:hAnsi="Tahoma" w:cs="Arial"/>
          <w:sz w:val="22"/>
          <w:szCs w:val="22"/>
        </w:rPr>
        <w:t xml:space="preserve">from </w:t>
      </w:r>
      <w:r w:rsidRPr="00633CEF">
        <w:rPr>
          <w:rFonts w:ascii="Tahoma" w:hAnsi="Tahoma" w:cs="Arial"/>
          <w:sz w:val="22"/>
          <w:szCs w:val="22"/>
        </w:rPr>
        <w:t>2005 to 2007.</w:t>
      </w:r>
      <w:r w:rsidR="00120502" w:rsidRPr="00633CEF">
        <w:rPr>
          <w:rFonts w:ascii="Tahoma" w:hAnsi="Tahoma" w:cs="Arial"/>
          <w:sz w:val="22"/>
          <w:szCs w:val="22"/>
        </w:rPr>
        <w:t xml:space="preserve"> </w:t>
      </w:r>
      <w:r w:rsidR="0087607B" w:rsidRPr="00633CEF">
        <w:rPr>
          <w:rFonts w:ascii="Tahoma" w:hAnsi="Tahoma" w:cs="Arial"/>
          <w:sz w:val="22"/>
          <w:szCs w:val="22"/>
        </w:rPr>
        <w:t xml:space="preserve">Receipts </w:t>
      </w:r>
      <w:r w:rsidR="00D76D36" w:rsidRPr="00633CEF">
        <w:rPr>
          <w:rFonts w:ascii="Tahoma" w:hAnsi="Tahoma" w:cs="Arial"/>
          <w:sz w:val="22"/>
          <w:szCs w:val="22"/>
        </w:rPr>
        <w:t>dipped to US$4.4</w:t>
      </w:r>
      <w:r w:rsidR="00531B3B" w:rsidRPr="00633CEF">
        <w:rPr>
          <w:rFonts w:ascii="Tahoma" w:hAnsi="Tahoma" w:cs="Arial"/>
          <w:sz w:val="22"/>
          <w:szCs w:val="22"/>
        </w:rPr>
        <w:t xml:space="preserve"> billion (bn) in 2008, </w:t>
      </w:r>
      <w:r w:rsidR="00D76D36" w:rsidRPr="00633CEF">
        <w:rPr>
          <w:rFonts w:ascii="Tahoma" w:hAnsi="Tahoma" w:cs="Arial"/>
          <w:sz w:val="22"/>
          <w:szCs w:val="22"/>
        </w:rPr>
        <w:t>11.1</w:t>
      </w:r>
      <w:r w:rsidR="00531B3B" w:rsidRPr="00633CEF">
        <w:rPr>
          <w:rFonts w:ascii="Tahoma" w:hAnsi="Tahoma" w:cs="Arial"/>
          <w:sz w:val="22"/>
          <w:szCs w:val="22"/>
        </w:rPr>
        <w:t xml:space="preserve">% </w:t>
      </w:r>
      <w:r w:rsidR="00D76D36" w:rsidRPr="00633CEF">
        <w:rPr>
          <w:rFonts w:ascii="Tahoma" w:hAnsi="Tahoma" w:cs="Arial"/>
          <w:sz w:val="22"/>
          <w:szCs w:val="22"/>
        </w:rPr>
        <w:t>lower than the earnings in 2007</w:t>
      </w:r>
      <w:r w:rsidR="0087607B" w:rsidRPr="00633CEF">
        <w:rPr>
          <w:rFonts w:ascii="Tahoma" w:hAnsi="Tahoma" w:cs="Arial"/>
          <w:sz w:val="22"/>
          <w:szCs w:val="22"/>
        </w:rPr>
        <w:t xml:space="preserve">.  </w:t>
      </w:r>
      <w:r w:rsidR="00531B3B" w:rsidRPr="00633CEF">
        <w:rPr>
          <w:rFonts w:ascii="Tahoma" w:hAnsi="Tahoma" w:cs="Arial"/>
          <w:sz w:val="22"/>
          <w:szCs w:val="22"/>
        </w:rPr>
        <w:t xml:space="preserve"> </w:t>
      </w:r>
    </w:p>
    <w:p w:rsidR="00531B3B" w:rsidRPr="00633CEF" w:rsidRDefault="00531B3B" w:rsidP="00531B3B">
      <w:pPr>
        <w:ind w:left="360"/>
        <w:jc w:val="both"/>
        <w:rPr>
          <w:rFonts w:ascii="Tahoma" w:hAnsi="Tahoma" w:cs="Arial"/>
          <w:sz w:val="22"/>
          <w:szCs w:val="22"/>
        </w:rPr>
      </w:pPr>
    </w:p>
    <w:p w:rsidR="008E511D" w:rsidRPr="00633CEF" w:rsidRDefault="00120502" w:rsidP="00531B3B">
      <w:pPr>
        <w:ind w:left="720"/>
        <w:jc w:val="both"/>
        <w:rPr>
          <w:rFonts w:ascii="Tahoma" w:hAnsi="Tahoma" w:cs="Arial"/>
          <w:sz w:val="22"/>
          <w:szCs w:val="22"/>
        </w:rPr>
      </w:pPr>
      <w:r w:rsidRPr="00633CEF">
        <w:rPr>
          <w:rFonts w:ascii="Tahoma" w:hAnsi="Tahoma" w:cs="Arial"/>
          <w:sz w:val="22"/>
          <w:szCs w:val="22"/>
        </w:rPr>
        <w:t xml:space="preserve">The slower growth in 2008 was due to the significant decline in arrivals from </w:t>
      </w:r>
      <w:smartTag w:uri="urn:schemas-microsoft-com:office:smarttags" w:element="country-region">
        <w:smartTag w:uri="urn:schemas-microsoft-com:office:smarttags" w:element="place">
          <w:r w:rsidRPr="00633CEF">
            <w:rPr>
              <w:rFonts w:ascii="Tahoma" w:hAnsi="Tahoma" w:cs="Arial"/>
              <w:sz w:val="22"/>
              <w:szCs w:val="22"/>
            </w:rPr>
            <w:t>Korea</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Japan</w:t>
          </w:r>
        </w:smartTag>
      </w:smartTag>
      <w:r w:rsidRPr="00633CEF">
        <w:rPr>
          <w:rFonts w:ascii="Tahoma" w:hAnsi="Tahoma" w:cs="Arial"/>
          <w:sz w:val="22"/>
          <w:szCs w:val="22"/>
        </w:rPr>
        <w:t xml:space="preserve"> and the </w:t>
      </w:r>
      <w:smartTag w:uri="urn:schemas-microsoft-com:office:smarttags" w:element="country-region">
        <w:smartTag w:uri="urn:schemas-microsoft-com:office:smarttags" w:element="place">
          <w:r w:rsidRPr="00633CEF">
            <w:rPr>
              <w:rFonts w:ascii="Tahoma" w:hAnsi="Tahoma" w:cs="Arial"/>
              <w:sz w:val="22"/>
              <w:szCs w:val="22"/>
            </w:rPr>
            <w:t>US</w:t>
          </w:r>
        </w:smartTag>
      </w:smartTag>
      <w:r w:rsidRPr="00633CEF">
        <w:rPr>
          <w:rFonts w:ascii="Tahoma" w:hAnsi="Tahoma" w:cs="Arial"/>
          <w:sz w:val="22"/>
          <w:szCs w:val="22"/>
        </w:rPr>
        <w:t xml:space="preserve"> during the 4</w:t>
      </w:r>
      <w:r w:rsidRPr="00633CEF">
        <w:rPr>
          <w:rFonts w:ascii="Tahoma" w:hAnsi="Tahoma" w:cs="Arial"/>
          <w:sz w:val="22"/>
          <w:szCs w:val="22"/>
          <w:vertAlign w:val="superscript"/>
        </w:rPr>
        <w:t>th</w:t>
      </w:r>
      <w:r w:rsidRPr="00633CEF">
        <w:rPr>
          <w:rFonts w:ascii="Tahoma" w:hAnsi="Tahoma" w:cs="Arial"/>
          <w:sz w:val="22"/>
          <w:szCs w:val="22"/>
        </w:rPr>
        <w:t xml:space="preserve"> quarter </w:t>
      </w:r>
      <w:r w:rsidR="00074171" w:rsidRPr="00633CEF">
        <w:rPr>
          <w:rFonts w:ascii="Tahoma" w:hAnsi="Tahoma" w:cs="Arial"/>
          <w:sz w:val="22"/>
          <w:szCs w:val="22"/>
        </w:rPr>
        <w:t xml:space="preserve">of </w:t>
      </w:r>
      <w:r w:rsidRPr="00633CEF">
        <w:rPr>
          <w:rFonts w:ascii="Tahoma" w:hAnsi="Tahoma" w:cs="Arial"/>
          <w:sz w:val="22"/>
          <w:szCs w:val="22"/>
        </w:rPr>
        <w:t xml:space="preserve">the year. </w:t>
      </w:r>
      <w:r w:rsidR="00E576B8" w:rsidRPr="00633CEF">
        <w:rPr>
          <w:rFonts w:ascii="Tahoma" w:hAnsi="Tahoma" w:cs="Arial"/>
          <w:sz w:val="22"/>
          <w:szCs w:val="22"/>
        </w:rPr>
        <w:t xml:space="preserve">The traditional tourism generating powerhouses of </w:t>
      </w:r>
      <w:smartTag w:uri="urn:schemas-microsoft-com:office:smarttags" w:element="country-region">
        <w:smartTag w:uri="urn:schemas-microsoft-com:office:smarttags" w:element="place">
          <w:r w:rsidR="00E576B8" w:rsidRPr="00633CEF">
            <w:rPr>
              <w:rFonts w:ascii="Tahoma" w:hAnsi="Tahoma" w:cs="Arial"/>
              <w:sz w:val="22"/>
              <w:szCs w:val="22"/>
            </w:rPr>
            <w:t>Japan</w:t>
          </w:r>
        </w:smartTag>
      </w:smartTag>
      <w:r w:rsidR="00E576B8" w:rsidRPr="00633CEF">
        <w:rPr>
          <w:rFonts w:ascii="Tahoma" w:hAnsi="Tahoma" w:cs="Arial"/>
          <w:sz w:val="22"/>
          <w:szCs w:val="22"/>
        </w:rPr>
        <w:t xml:space="preserve"> and </w:t>
      </w:r>
      <w:smartTag w:uri="urn:schemas-microsoft-com:office:smarttags" w:element="country-region">
        <w:smartTag w:uri="urn:schemas-microsoft-com:office:smarttags" w:element="place">
          <w:r w:rsidR="00E576B8" w:rsidRPr="00633CEF">
            <w:rPr>
              <w:rFonts w:ascii="Tahoma" w:hAnsi="Tahoma" w:cs="Arial"/>
              <w:sz w:val="22"/>
              <w:szCs w:val="22"/>
            </w:rPr>
            <w:t>South Korea</w:t>
          </w:r>
        </w:smartTag>
      </w:smartTag>
      <w:r w:rsidR="00E576B8" w:rsidRPr="00633CEF">
        <w:rPr>
          <w:rFonts w:ascii="Tahoma" w:hAnsi="Tahoma" w:cs="Arial"/>
          <w:sz w:val="22"/>
          <w:szCs w:val="22"/>
        </w:rPr>
        <w:t xml:space="preserve"> are facing painful economic problems.</w:t>
      </w:r>
      <w:r w:rsidR="00E576B8" w:rsidRPr="00633CEF">
        <w:rPr>
          <w:rStyle w:val="FootnoteReference"/>
          <w:rFonts w:ascii="Tahoma" w:hAnsi="Tahoma" w:cs="Arial"/>
          <w:sz w:val="22"/>
          <w:szCs w:val="22"/>
        </w:rPr>
        <w:footnoteReference w:id="2"/>
      </w:r>
      <w:r w:rsidR="00E576B8" w:rsidRPr="00633CEF">
        <w:rPr>
          <w:rFonts w:ascii="Tahoma" w:hAnsi="Tahoma" w:cs="Arial"/>
          <w:sz w:val="22"/>
          <w:szCs w:val="22"/>
        </w:rPr>
        <w:t xml:space="preserve">  Data for the first quarter of 2009 are not yet available at the time the report (and this summary) was prepared.  </w:t>
      </w:r>
      <w:r w:rsidR="00295FA3" w:rsidRPr="00633CEF">
        <w:rPr>
          <w:rFonts w:ascii="Tahoma" w:hAnsi="Tahoma" w:cs="Arial"/>
          <w:sz w:val="22"/>
          <w:szCs w:val="22"/>
        </w:rPr>
        <w:t>Assuming all else constant, the contraction in outbound travel of our main volume-generating</w:t>
      </w:r>
      <w:r w:rsidR="008A4123" w:rsidRPr="00633CEF">
        <w:rPr>
          <w:rFonts w:ascii="Tahoma" w:hAnsi="Tahoma" w:cs="Arial"/>
          <w:sz w:val="22"/>
          <w:szCs w:val="22"/>
        </w:rPr>
        <w:t xml:space="preserve"> market</w:t>
      </w:r>
      <w:r w:rsidR="00E54F19">
        <w:rPr>
          <w:rFonts w:ascii="Tahoma" w:hAnsi="Tahoma" w:cs="Arial"/>
          <w:sz w:val="22"/>
          <w:szCs w:val="22"/>
        </w:rPr>
        <w:t>s</w:t>
      </w:r>
      <w:r w:rsidR="008A4123" w:rsidRPr="00633CEF">
        <w:rPr>
          <w:rFonts w:ascii="Tahoma" w:hAnsi="Tahoma" w:cs="Arial"/>
          <w:sz w:val="22"/>
          <w:szCs w:val="22"/>
        </w:rPr>
        <w:t xml:space="preserve"> will reduce our income potentials </w:t>
      </w:r>
      <w:r w:rsidR="00295FA3" w:rsidRPr="00633CEF">
        <w:rPr>
          <w:rFonts w:ascii="Tahoma" w:hAnsi="Tahoma" w:cs="Arial"/>
          <w:sz w:val="22"/>
          <w:szCs w:val="22"/>
        </w:rPr>
        <w:t xml:space="preserve">from international tourism. </w:t>
      </w:r>
      <w:r w:rsidR="008A4123" w:rsidRPr="00633CEF">
        <w:rPr>
          <w:rFonts w:ascii="Tahoma" w:hAnsi="Tahoma" w:cs="Arial"/>
          <w:sz w:val="22"/>
          <w:szCs w:val="22"/>
        </w:rPr>
        <w:t>The Department of Tourism projected that growth in arrivals will only range between 0% to 0.5% in 2009.</w:t>
      </w:r>
      <w:r w:rsidR="00E54F19">
        <w:rPr>
          <w:rStyle w:val="FootnoteReference"/>
          <w:rFonts w:ascii="Tahoma" w:hAnsi="Tahoma" w:cs="Arial"/>
          <w:sz w:val="22"/>
          <w:szCs w:val="22"/>
        </w:rPr>
        <w:footnoteReference w:id="3"/>
      </w:r>
      <w:r w:rsidR="008A4123" w:rsidRPr="00633CEF">
        <w:rPr>
          <w:rFonts w:ascii="Tahoma" w:hAnsi="Tahoma" w:cs="Arial"/>
          <w:sz w:val="22"/>
          <w:szCs w:val="22"/>
        </w:rPr>
        <w:t xml:space="preserve">  </w:t>
      </w:r>
    </w:p>
    <w:p w:rsidR="005B61E2" w:rsidRPr="00633CEF" w:rsidRDefault="005B61E2" w:rsidP="00531B3B">
      <w:pPr>
        <w:ind w:left="720"/>
        <w:jc w:val="both"/>
        <w:rPr>
          <w:rFonts w:ascii="Tahoma" w:hAnsi="Tahoma" w:cs="Arial"/>
          <w:sz w:val="22"/>
          <w:szCs w:val="22"/>
        </w:rPr>
      </w:pPr>
    </w:p>
    <w:p w:rsidR="005B61E2" w:rsidRPr="00633CEF" w:rsidRDefault="005B61E2" w:rsidP="005B61E2">
      <w:pPr>
        <w:ind w:left="360"/>
        <w:jc w:val="both"/>
        <w:rPr>
          <w:rFonts w:ascii="Tahoma" w:hAnsi="Tahoma" w:cs="Arial"/>
          <w:sz w:val="22"/>
          <w:szCs w:val="22"/>
        </w:rPr>
      </w:pPr>
      <w:r w:rsidRPr="00633CEF">
        <w:rPr>
          <w:rFonts w:ascii="Tahoma" w:hAnsi="Tahoma" w:cs="Arial"/>
          <w:sz w:val="22"/>
          <w:szCs w:val="22"/>
        </w:rPr>
        <w:br w:type="page"/>
      </w:r>
    </w:p>
    <w:p w:rsidR="005B61E2" w:rsidRPr="00BF15D1" w:rsidRDefault="005B61E2" w:rsidP="005B61E2">
      <w:pPr>
        <w:ind w:left="360"/>
        <w:jc w:val="both"/>
        <w:rPr>
          <w:rFonts w:ascii="Tahoma" w:hAnsi="Tahoma" w:cs="Arial"/>
          <w:b/>
          <w:bCs/>
          <w:sz w:val="18"/>
          <w:szCs w:val="18"/>
        </w:rPr>
      </w:pPr>
      <w:r w:rsidRPr="00BF15D1">
        <w:rPr>
          <w:rFonts w:ascii="Tahoma" w:hAnsi="Tahoma" w:cs="Arial"/>
          <w:b/>
          <w:bCs/>
          <w:sz w:val="18"/>
          <w:szCs w:val="18"/>
        </w:rPr>
        <w:t xml:space="preserve">Top 12 Tourism Markets of the </w:t>
      </w:r>
      <w:smartTag w:uri="urn:schemas-microsoft-com:office:smarttags" w:element="country-region">
        <w:smartTag w:uri="urn:schemas-microsoft-com:office:smarttags" w:element="place">
          <w:r w:rsidRPr="00BF15D1">
            <w:rPr>
              <w:rFonts w:ascii="Tahoma" w:hAnsi="Tahoma" w:cs="Arial"/>
              <w:b/>
              <w:bCs/>
              <w:sz w:val="18"/>
              <w:szCs w:val="18"/>
            </w:rPr>
            <w:t>Philippines</w:t>
          </w:r>
        </w:smartTag>
      </w:smartTag>
      <w:r w:rsidRPr="00BF15D1">
        <w:rPr>
          <w:rFonts w:ascii="Tahoma" w:hAnsi="Tahoma" w:cs="Arial"/>
          <w:b/>
          <w:bCs/>
          <w:sz w:val="18"/>
          <w:szCs w:val="18"/>
        </w:rPr>
        <w:t xml:space="preserve"> and their Economic Performance </w:t>
      </w:r>
    </w:p>
    <w:tbl>
      <w:tblPr>
        <w:tblW w:w="8327" w:type="dxa"/>
        <w:jc w:val="center"/>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6"/>
        <w:gridCol w:w="1198"/>
        <w:gridCol w:w="1260"/>
        <w:gridCol w:w="1080"/>
        <w:gridCol w:w="900"/>
        <w:gridCol w:w="838"/>
        <w:gridCol w:w="926"/>
        <w:gridCol w:w="779"/>
      </w:tblGrid>
      <w:tr w:rsidR="005B61E2" w:rsidRPr="00C03A93" w:rsidTr="00C03A93">
        <w:trPr>
          <w:trHeight w:val="242"/>
          <w:jc w:val="center"/>
        </w:trPr>
        <w:tc>
          <w:tcPr>
            <w:tcW w:w="1346" w:type="dxa"/>
          </w:tcPr>
          <w:p w:rsidR="005B61E2" w:rsidRPr="00C03A93" w:rsidRDefault="005B61E2" w:rsidP="00C03A93">
            <w:pPr>
              <w:jc w:val="both"/>
              <w:rPr>
                <w:rFonts w:ascii="Tahoma" w:hAnsi="Tahoma" w:cs="Arial"/>
                <w:b/>
                <w:bCs/>
                <w:sz w:val="18"/>
                <w:szCs w:val="18"/>
              </w:rPr>
            </w:pPr>
            <w:r w:rsidRPr="00C03A93">
              <w:rPr>
                <w:rFonts w:ascii="Tahoma" w:hAnsi="Tahoma" w:cs="Arial"/>
                <w:b/>
                <w:bCs/>
                <w:sz w:val="18"/>
                <w:szCs w:val="18"/>
              </w:rPr>
              <w:t>Country</w:t>
            </w:r>
          </w:p>
        </w:tc>
        <w:tc>
          <w:tcPr>
            <w:tcW w:w="3538" w:type="dxa"/>
            <w:gridSpan w:val="3"/>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Arrivals</w:t>
            </w:r>
          </w:p>
        </w:tc>
        <w:tc>
          <w:tcPr>
            <w:tcW w:w="3443" w:type="dxa"/>
            <w:gridSpan w:val="4"/>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GDP Growth</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p>
        </w:tc>
        <w:tc>
          <w:tcPr>
            <w:tcW w:w="1198"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2008</w:t>
            </w:r>
          </w:p>
        </w:tc>
        <w:tc>
          <w:tcPr>
            <w:tcW w:w="1260"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 Share to Total</w:t>
            </w:r>
          </w:p>
        </w:tc>
        <w:tc>
          <w:tcPr>
            <w:tcW w:w="1080"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Growth (%)</w:t>
            </w:r>
          </w:p>
        </w:tc>
        <w:tc>
          <w:tcPr>
            <w:tcW w:w="900"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2008</w:t>
            </w:r>
          </w:p>
        </w:tc>
        <w:tc>
          <w:tcPr>
            <w:tcW w:w="838"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2009f</w:t>
            </w:r>
          </w:p>
        </w:tc>
        <w:tc>
          <w:tcPr>
            <w:tcW w:w="926"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2010f</w:t>
            </w:r>
          </w:p>
        </w:tc>
        <w:tc>
          <w:tcPr>
            <w:tcW w:w="779" w:type="dxa"/>
          </w:tcPr>
          <w:p w:rsidR="005B61E2" w:rsidRPr="00C03A93" w:rsidRDefault="005B61E2" w:rsidP="00C03A93">
            <w:pPr>
              <w:jc w:val="center"/>
              <w:rPr>
                <w:rFonts w:ascii="Tahoma" w:hAnsi="Tahoma" w:cs="Arial"/>
                <w:b/>
                <w:bCs/>
                <w:sz w:val="18"/>
                <w:szCs w:val="18"/>
              </w:rPr>
            </w:pPr>
            <w:r w:rsidRPr="00C03A93">
              <w:rPr>
                <w:rFonts w:ascii="Tahoma" w:hAnsi="Tahoma" w:cs="Arial"/>
                <w:b/>
                <w:bCs/>
                <w:sz w:val="18"/>
                <w:szCs w:val="18"/>
              </w:rPr>
              <w:t>2011f</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Korea</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611,629</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19.48</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-6.38</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4.3</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-2.8</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0.1</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4.4</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USA</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578,246</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18.42</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-0.13</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1.4</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-2.0</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0.6</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1.5</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Japan</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359,306</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11.44</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-9.04</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0.7</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-3.8</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-0.1</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1.0</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China</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163,689</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5.21</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3.86</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9.8</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6.0</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7.2</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8.2</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Australia</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121,514</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3.87</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8.05</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2.1</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-1.2</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0.5</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1.2</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Taiwan</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118,782</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3.78</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5.86</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1.7</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-3.5</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1.1</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4.3</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place">
              <w:r w:rsidRPr="00C03A93">
                <w:rPr>
                  <w:rFonts w:ascii="Tahoma" w:hAnsi="Tahoma" w:cs="Arial"/>
                  <w:sz w:val="18"/>
                  <w:szCs w:val="18"/>
                </w:rPr>
                <w:t>Hong Kong</w:t>
              </w:r>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116,653</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3.72</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4.20</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2.8</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-4.7</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0.2</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3.1</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Canada</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102,381</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3.26</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12.13</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0.5</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-2.2</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0.7</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1.9</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Singapore</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100,177</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3.19</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6.56</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3.0</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-7.2</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1.8</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2.9</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United Kingdom</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87,422</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2.78</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9.73</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0.7</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-3.8</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-1.1</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0.7</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Malaysia</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69,676</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2.22</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6.06</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5.5</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-0.3</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2.8</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5.1</w:t>
            </w:r>
          </w:p>
        </w:tc>
      </w:tr>
      <w:tr w:rsidR="005B61E2" w:rsidRPr="00C03A93" w:rsidTr="00C03A93">
        <w:trPr>
          <w:jc w:val="center"/>
        </w:trPr>
        <w:tc>
          <w:tcPr>
            <w:tcW w:w="1346" w:type="dxa"/>
          </w:tcPr>
          <w:p w:rsidR="005B61E2" w:rsidRPr="00C03A93" w:rsidRDefault="005B61E2" w:rsidP="00C03A93">
            <w:pPr>
              <w:jc w:val="both"/>
              <w:rPr>
                <w:rFonts w:ascii="Tahoma" w:hAnsi="Tahoma" w:cs="Arial"/>
                <w:sz w:val="18"/>
                <w:szCs w:val="18"/>
              </w:rPr>
            </w:pPr>
            <w:smartTag w:uri="urn:schemas-microsoft-com:office:smarttags" w:element="country-region">
              <w:smartTag w:uri="urn:schemas-microsoft-com:office:smarttags" w:element="place">
                <w:r w:rsidRPr="00C03A93">
                  <w:rPr>
                    <w:rFonts w:ascii="Tahoma" w:hAnsi="Tahoma" w:cs="Arial"/>
                    <w:sz w:val="18"/>
                    <w:szCs w:val="18"/>
                  </w:rPr>
                  <w:t>Germany</w:t>
                </w:r>
              </w:smartTag>
            </w:smartTag>
          </w:p>
        </w:tc>
        <w:tc>
          <w:tcPr>
            <w:tcW w:w="119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55,303</w:t>
            </w:r>
          </w:p>
        </w:tc>
        <w:tc>
          <w:tcPr>
            <w:tcW w:w="126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1.76</w:t>
            </w:r>
          </w:p>
        </w:tc>
        <w:tc>
          <w:tcPr>
            <w:tcW w:w="108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-1.06</w:t>
            </w:r>
          </w:p>
        </w:tc>
        <w:tc>
          <w:tcPr>
            <w:tcW w:w="900"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1.3</w:t>
            </w:r>
          </w:p>
        </w:tc>
        <w:tc>
          <w:tcPr>
            <w:tcW w:w="838"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-5.3</w:t>
            </w:r>
          </w:p>
        </w:tc>
        <w:tc>
          <w:tcPr>
            <w:tcW w:w="926"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-0.8</w:t>
            </w:r>
          </w:p>
        </w:tc>
        <w:tc>
          <w:tcPr>
            <w:tcW w:w="779" w:type="dxa"/>
          </w:tcPr>
          <w:p w:rsidR="005B61E2" w:rsidRPr="00C03A93" w:rsidRDefault="005B61E2" w:rsidP="00C03A93">
            <w:pPr>
              <w:jc w:val="center"/>
              <w:rPr>
                <w:rFonts w:ascii="Tahoma" w:hAnsi="Tahoma" w:cs="Arial"/>
                <w:sz w:val="18"/>
                <w:szCs w:val="18"/>
              </w:rPr>
            </w:pPr>
            <w:r w:rsidRPr="00C03A93">
              <w:rPr>
                <w:rFonts w:ascii="Tahoma" w:hAnsi="Tahoma" w:cs="Arial"/>
                <w:sz w:val="18"/>
                <w:szCs w:val="18"/>
              </w:rPr>
              <w:t>1.3</w:t>
            </w:r>
          </w:p>
        </w:tc>
      </w:tr>
    </w:tbl>
    <w:p w:rsidR="005B61E2" w:rsidRPr="00BF15D1" w:rsidRDefault="00E54F19" w:rsidP="00966777">
      <w:pPr>
        <w:jc w:val="both"/>
        <w:rPr>
          <w:rFonts w:ascii="Tahoma" w:hAnsi="Tahoma" w:cs="Arial"/>
          <w:sz w:val="18"/>
          <w:szCs w:val="18"/>
        </w:rPr>
      </w:pPr>
      <w:r>
        <w:rPr>
          <w:rFonts w:ascii="Tahoma" w:hAnsi="Tahoma" w:cs="Arial"/>
          <w:sz w:val="18"/>
          <w:szCs w:val="18"/>
        </w:rPr>
        <w:t xml:space="preserve">     </w:t>
      </w:r>
      <w:r w:rsidR="005B61E2" w:rsidRPr="00BF15D1">
        <w:rPr>
          <w:rFonts w:ascii="Tahoma" w:hAnsi="Tahoma" w:cs="Arial"/>
          <w:sz w:val="18"/>
          <w:szCs w:val="18"/>
        </w:rPr>
        <w:t>Sources: Philippine’s Department of Tourism; Euromonitor International; Economist Intelligence Unit</w:t>
      </w:r>
    </w:p>
    <w:p w:rsidR="00531B3B" w:rsidRPr="00633CEF" w:rsidRDefault="00531B3B" w:rsidP="00531B3B">
      <w:pPr>
        <w:ind w:left="720"/>
        <w:jc w:val="both"/>
        <w:rPr>
          <w:rFonts w:ascii="Tahoma" w:hAnsi="Tahoma" w:cs="Arial"/>
          <w:sz w:val="22"/>
          <w:szCs w:val="22"/>
        </w:rPr>
      </w:pPr>
    </w:p>
    <w:p w:rsidR="00392415" w:rsidRPr="00633CEF" w:rsidRDefault="00392415" w:rsidP="003E3A51">
      <w:pPr>
        <w:numPr>
          <w:ilvl w:val="0"/>
          <w:numId w:val="13"/>
        </w:numPr>
        <w:jc w:val="both"/>
        <w:rPr>
          <w:rFonts w:ascii="Tahoma" w:hAnsi="Tahoma" w:cs="Arial"/>
          <w:color w:val="000000"/>
          <w:sz w:val="22"/>
          <w:szCs w:val="22"/>
        </w:rPr>
      </w:pPr>
      <w:r w:rsidRPr="00633CEF">
        <w:rPr>
          <w:rFonts w:ascii="Tahoma" w:hAnsi="Tahoma" w:cs="Arial"/>
          <w:sz w:val="22"/>
          <w:szCs w:val="22"/>
        </w:rPr>
        <w:t xml:space="preserve">Among the providers, the most vulnerable to the </w:t>
      </w:r>
      <w:r w:rsidR="00304494" w:rsidRPr="00633CEF">
        <w:rPr>
          <w:rFonts w:ascii="Tahoma" w:hAnsi="Tahoma" w:cs="Arial"/>
          <w:sz w:val="22"/>
          <w:szCs w:val="22"/>
        </w:rPr>
        <w:t xml:space="preserve">global tourism slowdown </w:t>
      </w:r>
      <w:r w:rsidRPr="00633CEF">
        <w:rPr>
          <w:rFonts w:ascii="Tahoma" w:hAnsi="Tahoma" w:cs="Arial"/>
          <w:sz w:val="22"/>
          <w:szCs w:val="22"/>
        </w:rPr>
        <w:t>is the international airline sector which carries 98</w:t>
      </w:r>
      <w:r w:rsidR="00EB1FD1" w:rsidRPr="00633CEF">
        <w:rPr>
          <w:rFonts w:ascii="Tahoma" w:hAnsi="Tahoma" w:cs="Arial"/>
          <w:sz w:val="22"/>
          <w:szCs w:val="22"/>
        </w:rPr>
        <w:t>%</w:t>
      </w:r>
      <w:r w:rsidRPr="00633CEF">
        <w:rPr>
          <w:rFonts w:ascii="Tahoma" w:hAnsi="Tahoma" w:cs="Arial"/>
          <w:sz w:val="22"/>
          <w:szCs w:val="22"/>
        </w:rPr>
        <w:t xml:space="preserve"> of </w:t>
      </w:r>
      <w:r w:rsidR="00EB1FD1" w:rsidRPr="00633CEF">
        <w:rPr>
          <w:rFonts w:ascii="Tahoma" w:hAnsi="Tahoma" w:cs="Arial"/>
          <w:sz w:val="22"/>
          <w:szCs w:val="22"/>
        </w:rPr>
        <w:t xml:space="preserve">international </w:t>
      </w:r>
      <w:r w:rsidRPr="00633CEF">
        <w:rPr>
          <w:rFonts w:ascii="Tahoma" w:hAnsi="Tahoma" w:cs="Arial"/>
          <w:sz w:val="22"/>
          <w:szCs w:val="22"/>
        </w:rPr>
        <w:t>arrivals</w:t>
      </w:r>
      <w:r w:rsidR="00304494" w:rsidRPr="00633CEF">
        <w:rPr>
          <w:rFonts w:ascii="Tahoma" w:hAnsi="Tahoma" w:cs="Arial"/>
          <w:sz w:val="22"/>
          <w:szCs w:val="22"/>
        </w:rPr>
        <w:t xml:space="preserve"> to the </w:t>
      </w:r>
      <w:smartTag w:uri="urn:schemas-microsoft-com:office:smarttags" w:element="country-region">
        <w:smartTag w:uri="urn:schemas-microsoft-com:office:smarttags" w:element="place">
          <w:r w:rsidR="00304494" w:rsidRPr="00633CEF">
            <w:rPr>
              <w:rFonts w:ascii="Tahoma" w:hAnsi="Tahoma" w:cs="Arial"/>
              <w:sz w:val="22"/>
              <w:szCs w:val="22"/>
            </w:rPr>
            <w:t>Philippines</w:t>
          </w:r>
        </w:smartTag>
      </w:smartTag>
      <w:r w:rsidRPr="00633CEF">
        <w:rPr>
          <w:rFonts w:ascii="Tahoma" w:hAnsi="Tahoma" w:cs="Arial"/>
          <w:sz w:val="22"/>
          <w:szCs w:val="22"/>
        </w:rPr>
        <w:t xml:space="preserve">.  About half of international inbound passengers are tourists and the rest are returning Philippine residents (e.g. tourists and Overseas Filipino Workers). </w:t>
      </w:r>
      <w:r w:rsidR="00D7072B" w:rsidRPr="00633CEF">
        <w:rPr>
          <w:rFonts w:ascii="Tahoma" w:hAnsi="Tahoma" w:cs="Arial"/>
          <w:sz w:val="22"/>
          <w:szCs w:val="22"/>
        </w:rPr>
        <w:t xml:space="preserve">In March 2009, the </w:t>
      </w:r>
      <w:r w:rsidRPr="00633CEF">
        <w:rPr>
          <w:rFonts w:ascii="Tahoma" w:hAnsi="Tahoma" w:cs="Arial"/>
          <w:sz w:val="22"/>
          <w:szCs w:val="22"/>
        </w:rPr>
        <w:t xml:space="preserve">International Air Transport Association (IATA) revised (downward) its forecasts for passenger and cargo services and airline revenues for the global airline industry. </w:t>
      </w:r>
      <w:r w:rsidRPr="00633CEF">
        <w:rPr>
          <w:rFonts w:ascii="Tahoma" w:hAnsi="Tahoma" w:cs="Arial"/>
          <w:color w:val="000000"/>
          <w:sz w:val="22"/>
          <w:szCs w:val="22"/>
        </w:rPr>
        <w:t xml:space="preserve">Cargo traffic is expected to fall 13%, passenger traffic by 5.7% and airline revenues to decline by 12% or $63 billion.  </w:t>
      </w:r>
      <w:r w:rsidR="00D7072B" w:rsidRPr="00633CEF">
        <w:rPr>
          <w:rFonts w:ascii="Tahoma" w:hAnsi="Tahoma" w:cs="Arial"/>
          <w:color w:val="000000"/>
          <w:sz w:val="22"/>
          <w:szCs w:val="22"/>
        </w:rPr>
        <w:t xml:space="preserve"> </w:t>
      </w:r>
    </w:p>
    <w:p w:rsidR="00392415" w:rsidRPr="00633CEF" w:rsidRDefault="00392415" w:rsidP="00392415">
      <w:pPr>
        <w:ind w:left="360"/>
        <w:jc w:val="both"/>
        <w:rPr>
          <w:rFonts w:ascii="Tahoma" w:hAnsi="Tahoma" w:cs="Arial"/>
          <w:color w:val="000000"/>
          <w:sz w:val="22"/>
          <w:szCs w:val="22"/>
        </w:rPr>
      </w:pPr>
    </w:p>
    <w:p w:rsidR="00AF5CCA" w:rsidRPr="00633CEF" w:rsidRDefault="007012F2" w:rsidP="002543C0">
      <w:pPr>
        <w:ind w:left="720"/>
        <w:jc w:val="both"/>
        <w:rPr>
          <w:rFonts w:ascii="Tahoma" w:hAnsi="Tahoma" w:cs="Arial"/>
          <w:sz w:val="22"/>
          <w:szCs w:val="22"/>
        </w:rPr>
      </w:pPr>
      <w:r w:rsidRPr="00633CEF">
        <w:rPr>
          <w:rFonts w:ascii="Tahoma" w:hAnsi="Tahoma" w:cs="Arial"/>
          <w:color w:val="000000"/>
          <w:sz w:val="22"/>
          <w:szCs w:val="22"/>
        </w:rPr>
        <w:t xml:space="preserve">In the </w:t>
      </w:r>
      <w:smartTag w:uri="urn:schemas-microsoft-com:office:smarttags" w:element="country-region">
        <w:smartTag w:uri="urn:schemas-microsoft-com:office:smarttags" w:element="place">
          <w:r w:rsidRPr="00633CEF">
            <w:rPr>
              <w:rFonts w:ascii="Tahoma" w:hAnsi="Tahoma" w:cs="Arial"/>
              <w:color w:val="000000"/>
              <w:sz w:val="22"/>
              <w:szCs w:val="22"/>
            </w:rPr>
            <w:t>Philippines</w:t>
          </w:r>
        </w:smartTag>
      </w:smartTag>
      <w:r w:rsidRPr="00633CEF">
        <w:rPr>
          <w:rFonts w:ascii="Tahoma" w:hAnsi="Tahoma" w:cs="Arial"/>
          <w:color w:val="000000"/>
          <w:sz w:val="22"/>
          <w:szCs w:val="22"/>
        </w:rPr>
        <w:t>,</w:t>
      </w:r>
      <w:r w:rsidRPr="00633CEF">
        <w:rPr>
          <w:rFonts w:ascii="Tahoma" w:hAnsi="Tahoma" w:cs="Arial"/>
          <w:sz w:val="22"/>
          <w:szCs w:val="22"/>
        </w:rPr>
        <w:t xml:space="preserve"> these vulnerabilities have been evident in the reduction of flights (with the exemption of </w:t>
      </w:r>
      <w:smartTag w:uri="urn:schemas-microsoft-com:office:smarttags" w:element="place">
        <w:r w:rsidRPr="00633CEF">
          <w:rPr>
            <w:rFonts w:ascii="Tahoma" w:hAnsi="Tahoma" w:cs="Arial"/>
            <w:sz w:val="22"/>
            <w:szCs w:val="22"/>
          </w:rPr>
          <w:t>Middle East</w:t>
        </w:r>
      </w:smartTag>
      <w:r w:rsidRPr="00633CEF">
        <w:rPr>
          <w:rFonts w:ascii="Tahoma" w:hAnsi="Tahoma" w:cs="Arial"/>
          <w:sz w:val="22"/>
          <w:szCs w:val="22"/>
        </w:rPr>
        <w:t xml:space="preserve"> carriers), decline in passenger volumes and most importantly in falling yields.  For the period January to </w:t>
      </w:r>
      <w:r w:rsidR="00E54F19">
        <w:rPr>
          <w:rFonts w:ascii="Tahoma" w:hAnsi="Tahoma" w:cs="Arial"/>
          <w:sz w:val="22"/>
          <w:szCs w:val="22"/>
        </w:rPr>
        <w:t xml:space="preserve">March </w:t>
      </w:r>
      <w:r w:rsidRPr="00633CEF">
        <w:rPr>
          <w:rFonts w:ascii="Tahoma" w:hAnsi="Tahoma" w:cs="Arial"/>
          <w:sz w:val="22"/>
          <w:szCs w:val="22"/>
        </w:rPr>
        <w:t xml:space="preserve">2009, international flights in the NAIA increased by 8.4% but passenger volumes declined by 4.0%.  </w:t>
      </w:r>
      <w:r w:rsidR="00392415" w:rsidRPr="00633CEF">
        <w:rPr>
          <w:rFonts w:ascii="Tahoma" w:hAnsi="Tahoma" w:cs="Arial"/>
          <w:sz w:val="22"/>
          <w:szCs w:val="22"/>
        </w:rPr>
        <w:t>Terminal 1</w:t>
      </w:r>
      <w:r w:rsidRPr="00633CEF">
        <w:rPr>
          <w:rFonts w:ascii="Tahoma" w:hAnsi="Tahoma" w:cs="Arial"/>
          <w:sz w:val="22"/>
          <w:szCs w:val="22"/>
        </w:rPr>
        <w:t xml:space="preserve"> alone</w:t>
      </w:r>
      <w:r w:rsidR="00392415" w:rsidRPr="00633CEF">
        <w:rPr>
          <w:rFonts w:ascii="Tahoma" w:hAnsi="Tahoma" w:cs="Arial"/>
          <w:sz w:val="22"/>
          <w:szCs w:val="22"/>
        </w:rPr>
        <w:t>, where foreign airline operations are concentrated, suffered from a reduction of 20.9</w:t>
      </w:r>
      <w:r w:rsidR="00397393" w:rsidRPr="00633CEF">
        <w:rPr>
          <w:rFonts w:ascii="Tahoma" w:hAnsi="Tahoma" w:cs="Arial"/>
          <w:sz w:val="22"/>
          <w:szCs w:val="22"/>
        </w:rPr>
        <w:t>%</w:t>
      </w:r>
      <w:r w:rsidR="00392415" w:rsidRPr="00633CEF">
        <w:rPr>
          <w:rFonts w:ascii="Tahoma" w:hAnsi="Tahoma" w:cs="Arial"/>
          <w:sz w:val="22"/>
          <w:szCs w:val="22"/>
        </w:rPr>
        <w:t xml:space="preserve"> in flights and 17.4</w:t>
      </w:r>
      <w:r w:rsidR="00397393" w:rsidRPr="00633CEF">
        <w:rPr>
          <w:rFonts w:ascii="Tahoma" w:hAnsi="Tahoma" w:cs="Arial"/>
          <w:sz w:val="22"/>
          <w:szCs w:val="22"/>
        </w:rPr>
        <w:t>%</w:t>
      </w:r>
      <w:r w:rsidR="00392415" w:rsidRPr="00633CEF">
        <w:rPr>
          <w:rFonts w:ascii="Tahoma" w:hAnsi="Tahoma" w:cs="Arial"/>
          <w:sz w:val="22"/>
          <w:szCs w:val="22"/>
        </w:rPr>
        <w:t xml:space="preserve"> in passenger</w:t>
      </w:r>
      <w:r w:rsidR="00E54F19">
        <w:rPr>
          <w:rFonts w:ascii="Tahoma" w:hAnsi="Tahoma" w:cs="Arial"/>
          <w:sz w:val="22"/>
          <w:szCs w:val="22"/>
        </w:rPr>
        <w:t xml:space="preserve"> volume</w:t>
      </w:r>
      <w:r w:rsidR="00392415" w:rsidRPr="00633CEF">
        <w:rPr>
          <w:rFonts w:ascii="Tahoma" w:hAnsi="Tahoma" w:cs="Arial"/>
          <w:sz w:val="22"/>
          <w:szCs w:val="22"/>
        </w:rPr>
        <w:t xml:space="preserve">.  </w:t>
      </w:r>
      <w:r w:rsidR="00F3773B">
        <w:rPr>
          <w:rFonts w:ascii="Tahoma" w:hAnsi="Tahoma" w:cs="Arial"/>
          <w:sz w:val="22"/>
          <w:szCs w:val="22"/>
        </w:rPr>
        <w:t xml:space="preserve">  </w:t>
      </w:r>
      <w:r w:rsidR="00392415" w:rsidRPr="00633CEF">
        <w:rPr>
          <w:rFonts w:ascii="Tahoma" w:hAnsi="Tahoma" w:cs="Arial"/>
          <w:sz w:val="22"/>
          <w:szCs w:val="22"/>
        </w:rPr>
        <w:t xml:space="preserve">The Mactan-Cebu International Airport, the main port of entry for tourists </w:t>
      </w:r>
      <w:r w:rsidR="00F332AD" w:rsidRPr="00633CEF">
        <w:rPr>
          <w:rFonts w:ascii="Tahoma" w:hAnsi="Tahoma" w:cs="Arial"/>
          <w:sz w:val="22"/>
          <w:szCs w:val="22"/>
        </w:rPr>
        <w:t xml:space="preserve">to the Central Philippines Super Region, </w:t>
      </w:r>
      <w:r w:rsidR="00392415" w:rsidRPr="00633CEF">
        <w:rPr>
          <w:rFonts w:ascii="Tahoma" w:hAnsi="Tahoma" w:cs="Arial"/>
          <w:sz w:val="22"/>
          <w:szCs w:val="22"/>
        </w:rPr>
        <w:t xml:space="preserve">also registered </w:t>
      </w:r>
      <w:r w:rsidR="00F332AD" w:rsidRPr="00633CEF">
        <w:rPr>
          <w:rFonts w:ascii="Tahoma" w:hAnsi="Tahoma" w:cs="Arial"/>
          <w:sz w:val="22"/>
          <w:szCs w:val="22"/>
        </w:rPr>
        <w:t xml:space="preserve">a decline of </w:t>
      </w:r>
      <w:r w:rsidR="00392415" w:rsidRPr="00633CEF">
        <w:rPr>
          <w:rFonts w:ascii="Tahoma" w:hAnsi="Tahoma" w:cs="Arial"/>
          <w:sz w:val="22"/>
          <w:szCs w:val="22"/>
        </w:rPr>
        <w:t>5</w:t>
      </w:r>
      <w:r w:rsidR="00F332AD" w:rsidRPr="00633CEF">
        <w:rPr>
          <w:rFonts w:ascii="Tahoma" w:hAnsi="Tahoma" w:cs="Arial"/>
          <w:sz w:val="22"/>
          <w:szCs w:val="22"/>
        </w:rPr>
        <w:t xml:space="preserve">% </w:t>
      </w:r>
      <w:r w:rsidR="00392415" w:rsidRPr="00633CEF">
        <w:rPr>
          <w:rFonts w:ascii="Tahoma" w:hAnsi="Tahoma" w:cs="Arial"/>
          <w:sz w:val="22"/>
          <w:szCs w:val="22"/>
        </w:rPr>
        <w:t>in flights and 9</w:t>
      </w:r>
      <w:r w:rsidR="00F332AD" w:rsidRPr="00633CEF">
        <w:rPr>
          <w:rFonts w:ascii="Tahoma" w:hAnsi="Tahoma" w:cs="Arial"/>
          <w:sz w:val="22"/>
          <w:szCs w:val="22"/>
        </w:rPr>
        <w:t>%</w:t>
      </w:r>
      <w:r w:rsidR="00392415" w:rsidRPr="00633CEF">
        <w:rPr>
          <w:rFonts w:ascii="Tahoma" w:hAnsi="Tahoma" w:cs="Arial"/>
          <w:sz w:val="22"/>
          <w:szCs w:val="22"/>
        </w:rPr>
        <w:t xml:space="preserve"> in passenger volume</w:t>
      </w:r>
      <w:r w:rsidR="00F332AD" w:rsidRPr="00633CEF">
        <w:rPr>
          <w:rFonts w:ascii="Tahoma" w:hAnsi="Tahoma" w:cs="Arial"/>
          <w:sz w:val="22"/>
          <w:szCs w:val="22"/>
        </w:rPr>
        <w:t>.</w:t>
      </w:r>
      <w:r w:rsidR="00392415" w:rsidRPr="00633CEF">
        <w:rPr>
          <w:rFonts w:ascii="Tahoma" w:hAnsi="Tahoma" w:cs="Arial"/>
          <w:sz w:val="22"/>
          <w:szCs w:val="22"/>
        </w:rPr>
        <w:t xml:space="preserve"> </w:t>
      </w:r>
      <w:r w:rsidR="002543C0" w:rsidRPr="00633CEF">
        <w:rPr>
          <w:rFonts w:ascii="Tahoma" w:hAnsi="Tahoma" w:cs="Arial"/>
          <w:sz w:val="22"/>
          <w:szCs w:val="22"/>
        </w:rPr>
        <w:t xml:space="preserve">But the impact is heavily evident in the falling yields (35 to 50 percent) for </w:t>
      </w:r>
      <w:r w:rsidR="00F2448E">
        <w:rPr>
          <w:rFonts w:ascii="Tahoma" w:hAnsi="Tahoma" w:cs="Arial"/>
          <w:sz w:val="22"/>
          <w:szCs w:val="22"/>
        </w:rPr>
        <w:t xml:space="preserve">the </w:t>
      </w:r>
      <w:r w:rsidR="002543C0" w:rsidRPr="00633CEF">
        <w:rPr>
          <w:rFonts w:ascii="Tahoma" w:hAnsi="Tahoma" w:cs="Arial"/>
          <w:sz w:val="22"/>
          <w:szCs w:val="22"/>
        </w:rPr>
        <w:t xml:space="preserve">international carriers. </w:t>
      </w:r>
      <w:r w:rsidR="00FE079D">
        <w:rPr>
          <w:rFonts w:ascii="Tahoma" w:hAnsi="Tahoma" w:cs="Arial"/>
          <w:sz w:val="22"/>
          <w:szCs w:val="22"/>
        </w:rPr>
        <w:t xml:space="preserve"> The operations of the low cost carriers in the </w:t>
      </w:r>
      <w:smartTag w:uri="urn:schemas-microsoft-com:office:smarttags" w:element="place">
        <w:smartTag w:uri="urn:schemas-microsoft-com:office:smarttags" w:element="PlaceName">
          <w:r w:rsidR="00FE079D">
            <w:rPr>
              <w:rFonts w:ascii="Tahoma" w:hAnsi="Tahoma" w:cs="Arial"/>
              <w:sz w:val="22"/>
              <w:szCs w:val="22"/>
            </w:rPr>
            <w:t>Diosdado</w:t>
          </w:r>
        </w:smartTag>
        <w:r w:rsidR="00FE079D">
          <w:rPr>
            <w:rFonts w:ascii="Tahoma" w:hAnsi="Tahoma" w:cs="Arial"/>
            <w:sz w:val="22"/>
            <w:szCs w:val="22"/>
          </w:rPr>
          <w:t xml:space="preserve"> </w:t>
        </w:r>
        <w:smartTag w:uri="urn:schemas-microsoft-com:office:smarttags" w:element="PlaceName">
          <w:r w:rsidR="00FE079D">
            <w:rPr>
              <w:rFonts w:ascii="Tahoma" w:hAnsi="Tahoma" w:cs="Arial"/>
              <w:sz w:val="22"/>
              <w:szCs w:val="22"/>
            </w:rPr>
            <w:t>Macapagal</w:t>
          </w:r>
        </w:smartTag>
        <w:r w:rsidR="00FE079D">
          <w:rPr>
            <w:rFonts w:ascii="Tahoma" w:hAnsi="Tahoma" w:cs="Arial"/>
            <w:sz w:val="22"/>
            <w:szCs w:val="22"/>
          </w:rPr>
          <w:t xml:space="preserve"> </w:t>
        </w:r>
        <w:smartTag w:uri="urn:schemas-microsoft-com:office:smarttags" w:element="PlaceName">
          <w:r w:rsidR="00FE079D">
            <w:rPr>
              <w:rFonts w:ascii="Tahoma" w:hAnsi="Tahoma" w:cs="Arial"/>
              <w:sz w:val="22"/>
              <w:szCs w:val="22"/>
            </w:rPr>
            <w:t>International</w:t>
          </w:r>
        </w:smartTag>
        <w:r w:rsidR="00FE079D">
          <w:rPr>
            <w:rFonts w:ascii="Tahoma" w:hAnsi="Tahoma" w:cs="Arial"/>
            <w:sz w:val="22"/>
            <w:szCs w:val="22"/>
          </w:rPr>
          <w:t xml:space="preserve"> </w:t>
        </w:r>
        <w:smartTag w:uri="urn:schemas-microsoft-com:office:smarttags" w:element="PlaceType">
          <w:r w:rsidR="00FE079D">
            <w:rPr>
              <w:rFonts w:ascii="Tahoma" w:hAnsi="Tahoma" w:cs="Arial"/>
              <w:sz w:val="22"/>
              <w:szCs w:val="22"/>
            </w:rPr>
            <w:t>Airport</w:t>
          </w:r>
        </w:smartTag>
      </w:smartTag>
      <w:r w:rsidR="00FE079D">
        <w:rPr>
          <w:rFonts w:ascii="Tahoma" w:hAnsi="Tahoma" w:cs="Arial"/>
          <w:sz w:val="22"/>
          <w:szCs w:val="22"/>
        </w:rPr>
        <w:t xml:space="preserve"> </w:t>
      </w:r>
      <w:r w:rsidR="00201140">
        <w:rPr>
          <w:rFonts w:ascii="Tahoma" w:hAnsi="Tahoma" w:cs="Arial"/>
          <w:sz w:val="22"/>
          <w:szCs w:val="22"/>
        </w:rPr>
        <w:t xml:space="preserve">in </w:t>
      </w:r>
      <w:smartTag w:uri="urn:schemas-microsoft-com:office:smarttags" w:element="place">
        <w:r w:rsidR="00201140">
          <w:rPr>
            <w:rFonts w:ascii="Tahoma" w:hAnsi="Tahoma" w:cs="Arial"/>
            <w:sz w:val="22"/>
            <w:szCs w:val="22"/>
          </w:rPr>
          <w:t>Clark</w:t>
        </w:r>
      </w:smartTag>
      <w:r w:rsidR="00201140">
        <w:rPr>
          <w:rFonts w:ascii="Tahoma" w:hAnsi="Tahoma" w:cs="Arial"/>
          <w:sz w:val="22"/>
          <w:szCs w:val="22"/>
        </w:rPr>
        <w:t xml:space="preserve"> </w:t>
      </w:r>
      <w:r w:rsidR="00FE079D">
        <w:rPr>
          <w:rFonts w:ascii="Tahoma" w:hAnsi="Tahoma" w:cs="Arial"/>
          <w:sz w:val="22"/>
          <w:szCs w:val="22"/>
        </w:rPr>
        <w:t>were not as severely affected. The international flights and passenger volumes increased by 35.5% and 16.2%, respectively</w:t>
      </w:r>
      <w:r w:rsidR="006843CC">
        <w:rPr>
          <w:rFonts w:ascii="Tahoma" w:hAnsi="Tahoma" w:cs="Arial"/>
          <w:sz w:val="22"/>
          <w:szCs w:val="22"/>
        </w:rPr>
        <w:t>,</w:t>
      </w:r>
      <w:r w:rsidR="00FE079D">
        <w:rPr>
          <w:rFonts w:ascii="Tahoma" w:hAnsi="Tahoma" w:cs="Arial"/>
          <w:sz w:val="22"/>
          <w:szCs w:val="22"/>
        </w:rPr>
        <w:t xml:space="preserve"> during the first quarter. </w:t>
      </w:r>
    </w:p>
    <w:p w:rsidR="00AF5CCA" w:rsidRPr="00633CEF" w:rsidRDefault="00AF5CCA" w:rsidP="002543C0">
      <w:pPr>
        <w:ind w:left="720"/>
        <w:jc w:val="both"/>
        <w:rPr>
          <w:rFonts w:ascii="Tahoma" w:hAnsi="Tahoma" w:cs="Arial"/>
          <w:sz w:val="22"/>
          <w:szCs w:val="22"/>
        </w:rPr>
      </w:pPr>
    </w:p>
    <w:p w:rsidR="00AF5CCA" w:rsidRPr="00633CEF" w:rsidRDefault="00F3773B" w:rsidP="00AF5CCA">
      <w:pPr>
        <w:ind w:left="720"/>
        <w:jc w:val="both"/>
        <w:rPr>
          <w:rFonts w:ascii="Tahoma" w:hAnsi="Tahoma" w:cs="Arial"/>
          <w:sz w:val="22"/>
          <w:szCs w:val="22"/>
        </w:rPr>
      </w:pPr>
      <w:r>
        <w:rPr>
          <w:rFonts w:ascii="Tahoma" w:hAnsi="Tahoma" w:cs="Arial"/>
          <w:sz w:val="22"/>
          <w:szCs w:val="22"/>
        </w:rPr>
        <w:t>The</w:t>
      </w:r>
      <w:r w:rsidR="00AF5CCA" w:rsidRPr="00633CEF">
        <w:rPr>
          <w:rFonts w:ascii="Tahoma" w:hAnsi="Tahoma" w:cs="Arial"/>
          <w:sz w:val="22"/>
          <w:szCs w:val="22"/>
        </w:rPr>
        <w:t xml:space="preserve"> situation is a</w:t>
      </w:r>
      <w:r w:rsidR="0042716E">
        <w:rPr>
          <w:rFonts w:ascii="Tahoma" w:hAnsi="Tahoma" w:cs="Arial"/>
          <w:sz w:val="22"/>
          <w:szCs w:val="22"/>
        </w:rPr>
        <w:t>lso a</w:t>
      </w:r>
      <w:r w:rsidR="00AF5CCA" w:rsidRPr="00633CEF">
        <w:rPr>
          <w:rFonts w:ascii="Tahoma" w:hAnsi="Tahoma" w:cs="Arial"/>
          <w:sz w:val="22"/>
          <w:szCs w:val="22"/>
        </w:rPr>
        <w:t xml:space="preserve"> bit different from the operations of domestic carriers. </w:t>
      </w:r>
      <w:r w:rsidR="00DF46C7" w:rsidRPr="00633CEF">
        <w:rPr>
          <w:rFonts w:ascii="Tahoma" w:hAnsi="Tahoma" w:cs="Arial"/>
          <w:sz w:val="22"/>
          <w:szCs w:val="22"/>
        </w:rPr>
        <w:t xml:space="preserve">The growth in flights and passenger volume in </w:t>
      </w:r>
      <w:r w:rsidR="00AF5CCA" w:rsidRPr="00633CEF">
        <w:rPr>
          <w:rFonts w:ascii="Tahoma" w:hAnsi="Tahoma" w:cs="Arial"/>
          <w:sz w:val="22"/>
          <w:szCs w:val="22"/>
        </w:rPr>
        <w:t>2008</w:t>
      </w:r>
      <w:r w:rsidR="00DF46C7" w:rsidRPr="00633CEF">
        <w:rPr>
          <w:rFonts w:ascii="Tahoma" w:hAnsi="Tahoma" w:cs="Arial"/>
          <w:sz w:val="22"/>
          <w:szCs w:val="22"/>
        </w:rPr>
        <w:t xml:space="preserve"> was sustained in the </w:t>
      </w:r>
      <w:r w:rsidR="00AE16BE">
        <w:rPr>
          <w:rFonts w:ascii="Tahoma" w:hAnsi="Tahoma" w:cs="Arial"/>
          <w:sz w:val="22"/>
          <w:szCs w:val="22"/>
        </w:rPr>
        <w:t xml:space="preserve">first quarter </w:t>
      </w:r>
      <w:r w:rsidR="00DF46C7" w:rsidRPr="00633CEF">
        <w:rPr>
          <w:rFonts w:ascii="Tahoma" w:hAnsi="Tahoma" w:cs="Arial"/>
          <w:sz w:val="22"/>
          <w:szCs w:val="22"/>
        </w:rPr>
        <w:t>of 2009</w:t>
      </w:r>
      <w:r w:rsidR="00AF5CCA" w:rsidRPr="00633CEF">
        <w:rPr>
          <w:rFonts w:ascii="Tahoma" w:hAnsi="Tahoma" w:cs="Arial"/>
          <w:sz w:val="22"/>
          <w:szCs w:val="22"/>
        </w:rPr>
        <w:t xml:space="preserve">.  </w:t>
      </w:r>
      <w:r w:rsidR="00DF46C7" w:rsidRPr="00633CEF">
        <w:rPr>
          <w:rFonts w:ascii="Tahoma" w:hAnsi="Tahoma" w:cs="Arial"/>
          <w:sz w:val="22"/>
          <w:szCs w:val="22"/>
        </w:rPr>
        <w:t xml:space="preserve">Flights </w:t>
      </w:r>
      <w:r w:rsidR="00AF5CCA" w:rsidRPr="00633CEF">
        <w:rPr>
          <w:rFonts w:ascii="Tahoma" w:hAnsi="Tahoma" w:cs="Arial"/>
          <w:sz w:val="22"/>
          <w:szCs w:val="22"/>
        </w:rPr>
        <w:t>increased by 1</w:t>
      </w:r>
      <w:r w:rsidR="00AE16BE">
        <w:rPr>
          <w:rFonts w:ascii="Tahoma" w:hAnsi="Tahoma" w:cs="Arial"/>
          <w:sz w:val="22"/>
          <w:szCs w:val="22"/>
        </w:rPr>
        <w:t>7</w:t>
      </w:r>
      <w:r w:rsidR="00AF5CCA" w:rsidRPr="00633CEF">
        <w:rPr>
          <w:rFonts w:ascii="Tahoma" w:hAnsi="Tahoma" w:cs="Arial"/>
          <w:sz w:val="22"/>
          <w:szCs w:val="22"/>
        </w:rPr>
        <w:t>.</w:t>
      </w:r>
      <w:r w:rsidR="00AE16BE">
        <w:rPr>
          <w:rFonts w:ascii="Tahoma" w:hAnsi="Tahoma" w:cs="Arial"/>
          <w:sz w:val="22"/>
          <w:szCs w:val="22"/>
        </w:rPr>
        <w:t>3</w:t>
      </w:r>
      <w:r w:rsidR="00AF5CCA" w:rsidRPr="00633CEF">
        <w:rPr>
          <w:rFonts w:ascii="Tahoma" w:hAnsi="Tahoma" w:cs="Arial"/>
          <w:sz w:val="22"/>
          <w:szCs w:val="22"/>
        </w:rPr>
        <w:t xml:space="preserve">% while passenger volume jumped by </w:t>
      </w:r>
      <w:r w:rsidR="00AE16BE">
        <w:rPr>
          <w:rFonts w:ascii="Tahoma" w:hAnsi="Tahoma" w:cs="Arial"/>
          <w:sz w:val="22"/>
          <w:szCs w:val="22"/>
        </w:rPr>
        <w:t>15.4</w:t>
      </w:r>
      <w:r w:rsidR="00AF5CCA" w:rsidRPr="00633CEF">
        <w:rPr>
          <w:rFonts w:ascii="Tahoma" w:hAnsi="Tahoma" w:cs="Arial"/>
          <w:sz w:val="22"/>
          <w:szCs w:val="22"/>
        </w:rPr>
        <w:t>%</w:t>
      </w:r>
      <w:r w:rsidR="00DF46C7" w:rsidRPr="00633CEF">
        <w:rPr>
          <w:rFonts w:ascii="Tahoma" w:hAnsi="Tahoma" w:cs="Arial"/>
          <w:sz w:val="22"/>
          <w:szCs w:val="22"/>
        </w:rPr>
        <w:t xml:space="preserve"> </w:t>
      </w:r>
      <w:r w:rsidR="00AF5CCA" w:rsidRPr="00633CEF">
        <w:rPr>
          <w:rFonts w:ascii="Tahoma" w:hAnsi="Tahoma" w:cs="Arial"/>
          <w:sz w:val="22"/>
          <w:szCs w:val="22"/>
        </w:rPr>
        <w:t>(compared to its year-ago level)</w:t>
      </w:r>
      <w:r w:rsidR="00097E41">
        <w:rPr>
          <w:rFonts w:ascii="Tahoma" w:hAnsi="Tahoma" w:cs="Arial"/>
          <w:sz w:val="22"/>
          <w:szCs w:val="22"/>
        </w:rPr>
        <w:t xml:space="preserve"> in NAIA</w:t>
      </w:r>
      <w:r w:rsidR="00AF5CCA" w:rsidRPr="00633CEF">
        <w:rPr>
          <w:rFonts w:ascii="Tahoma" w:hAnsi="Tahoma" w:cs="Arial"/>
          <w:sz w:val="22"/>
          <w:szCs w:val="22"/>
        </w:rPr>
        <w:t xml:space="preserve">.  </w:t>
      </w:r>
    </w:p>
    <w:p w:rsidR="007978A6" w:rsidRPr="00633CEF" w:rsidRDefault="007978A6" w:rsidP="002543C0">
      <w:pPr>
        <w:ind w:left="720"/>
        <w:jc w:val="both"/>
        <w:rPr>
          <w:rFonts w:ascii="Tahoma" w:hAnsi="Tahoma" w:cs="Arial"/>
          <w:sz w:val="22"/>
          <w:szCs w:val="22"/>
        </w:rPr>
      </w:pPr>
    </w:p>
    <w:p w:rsidR="00726898" w:rsidRPr="00633CEF" w:rsidRDefault="00726898" w:rsidP="00AF5CCA">
      <w:pPr>
        <w:ind w:left="720"/>
        <w:jc w:val="both"/>
        <w:rPr>
          <w:rFonts w:ascii="Tahoma" w:hAnsi="Tahoma" w:cs="Arial"/>
          <w:sz w:val="22"/>
          <w:szCs w:val="22"/>
        </w:rPr>
      </w:pPr>
      <w:r w:rsidRPr="00633CEF">
        <w:rPr>
          <w:rFonts w:ascii="Tahoma" w:hAnsi="Tahoma" w:cs="Arial"/>
          <w:sz w:val="22"/>
          <w:szCs w:val="22"/>
        </w:rPr>
        <w:t>Overall, t</w:t>
      </w:r>
      <w:r w:rsidR="00AF5CCA" w:rsidRPr="00633CEF">
        <w:rPr>
          <w:rFonts w:ascii="Tahoma" w:hAnsi="Tahoma" w:cs="Arial"/>
          <w:sz w:val="22"/>
          <w:szCs w:val="22"/>
        </w:rPr>
        <w:t>he gross value-added of the sector slowed down in 2008</w:t>
      </w:r>
      <w:r w:rsidRPr="00633CEF">
        <w:rPr>
          <w:rFonts w:ascii="Tahoma" w:hAnsi="Tahoma" w:cs="Arial"/>
          <w:sz w:val="22"/>
          <w:szCs w:val="22"/>
        </w:rPr>
        <w:t>, a result of the heavy profit-squeezing in the industry, as evidenced by the significant drops in  yields</w:t>
      </w:r>
      <w:r w:rsidR="00AF5CCA" w:rsidRPr="00633CEF">
        <w:rPr>
          <w:rFonts w:ascii="Tahoma" w:hAnsi="Tahoma" w:cs="Arial"/>
          <w:sz w:val="22"/>
          <w:szCs w:val="22"/>
        </w:rPr>
        <w:t xml:space="preserve">. </w:t>
      </w:r>
    </w:p>
    <w:p w:rsidR="00AF5CCA" w:rsidRPr="00633CEF" w:rsidRDefault="00AF5CCA" w:rsidP="002543C0">
      <w:pPr>
        <w:ind w:left="720"/>
        <w:jc w:val="both"/>
        <w:rPr>
          <w:rFonts w:ascii="Tahoma" w:hAnsi="Tahoma" w:cs="Arial"/>
          <w:sz w:val="22"/>
          <w:szCs w:val="22"/>
        </w:rPr>
      </w:pPr>
    </w:p>
    <w:p w:rsidR="00E25033" w:rsidRPr="00633CEF" w:rsidRDefault="009338CF" w:rsidP="00E25033">
      <w:pPr>
        <w:numPr>
          <w:ilvl w:val="0"/>
          <w:numId w:val="13"/>
        </w:numPr>
        <w:jc w:val="both"/>
        <w:rPr>
          <w:rFonts w:ascii="Tahoma" w:hAnsi="Tahoma" w:cs="Arial"/>
          <w:sz w:val="22"/>
          <w:szCs w:val="22"/>
        </w:rPr>
      </w:pPr>
      <w:r w:rsidRPr="00633CEF">
        <w:rPr>
          <w:rFonts w:ascii="Tahoma" w:hAnsi="Tahoma" w:cs="Arial"/>
          <w:sz w:val="22"/>
          <w:szCs w:val="22"/>
        </w:rPr>
        <w:t>The occupancy rates of hotels in Metro Manila</w:t>
      </w:r>
      <w:r w:rsidR="006F6BF0" w:rsidRPr="00633CEF">
        <w:rPr>
          <w:rFonts w:ascii="Tahoma" w:hAnsi="Tahoma" w:cs="Arial"/>
          <w:sz w:val="22"/>
          <w:szCs w:val="22"/>
        </w:rPr>
        <w:t xml:space="preserve"> already declined by 3.3% during the period of January to November 2008. </w:t>
      </w:r>
      <w:r w:rsidRPr="00633CEF">
        <w:rPr>
          <w:rFonts w:ascii="Tahoma" w:hAnsi="Tahoma" w:cs="Arial"/>
          <w:sz w:val="22"/>
          <w:szCs w:val="22"/>
        </w:rPr>
        <w:t xml:space="preserve">For January 2009, the </w:t>
      </w:r>
      <w:r w:rsidR="002C2AF3" w:rsidRPr="00633CEF">
        <w:rPr>
          <w:rFonts w:ascii="Tahoma" w:hAnsi="Tahoma" w:cs="Arial"/>
          <w:sz w:val="22"/>
          <w:szCs w:val="22"/>
        </w:rPr>
        <w:t xml:space="preserve">occupancy rate reached only </w:t>
      </w:r>
      <w:r w:rsidR="000F222F">
        <w:rPr>
          <w:rFonts w:ascii="Tahoma" w:hAnsi="Tahoma" w:cs="Arial"/>
          <w:sz w:val="22"/>
          <w:szCs w:val="22"/>
        </w:rPr>
        <w:t>64.2</w:t>
      </w:r>
      <w:r w:rsidR="00DF46C7" w:rsidRPr="00633CEF">
        <w:rPr>
          <w:rFonts w:ascii="Tahoma" w:hAnsi="Tahoma" w:cs="Arial"/>
          <w:sz w:val="22"/>
          <w:szCs w:val="22"/>
        </w:rPr>
        <w:t>%</w:t>
      </w:r>
      <w:r w:rsidR="002C2AF3" w:rsidRPr="00633CEF">
        <w:rPr>
          <w:rFonts w:ascii="Tahoma" w:hAnsi="Tahoma" w:cs="Arial"/>
          <w:sz w:val="22"/>
          <w:szCs w:val="22"/>
        </w:rPr>
        <w:t xml:space="preserve">.  </w:t>
      </w:r>
      <w:bookmarkStart w:id="0" w:name="OLE_LINK1"/>
      <w:r w:rsidR="009B31AA">
        <w:rPr>
          <w:rFonts w:ascii="Tahoma" w:hAnsi="Tahoma" w:cs="Arial"/>
          <w:sz w:val="22"/>
          <w:szCs w:val="22"/>
        </w:rPr>
        <w:t xml:space="preserve">Hardest hit were the bay area, </w:t>
      </w:r>
      <w:r w:rsidR="002C2AF3" w:rsidRPr="00633CEF">
        <w:rPr>
          <w:rFonts w:ascii="Tahoma" w:hAnsi="Tahoma" w:cs="Arial"/>
          <w:sz w:val="22"/>
          <w:szCs w:val="22"/>
        </w:rPr>
        <w:t xml:space="preserve">Makati/Mandaluyong/Pasig </w:t>
      </w:r>
      <w:r w:rsidR="009B31AA">
        <w:rPr>
          <w:rFonts w:ascii="Tahoma" w:hAnsi="Tahoma" w:cs="Arial"/>
          <w:sz w:val="22"/>
          <w:szCs w:val="22"/>
        </w:rPr>
        <w:lastRenderedPageBreak/>
        <w:t xml:space="preserve">and Alabang </w:t>
      </w:r>
      <w:r w:rsidR="002C2AF3" w:rsidRPr="00633CEF">
        <w:rPr>
          <w:rFonts w:ascii="Tahoma" w:hAnsi="Tahoma" w:cs="Arial"/>
          <w:sz w:val="22"/>
          <w:szCs w:val="22"/>
        </w:rPr>
        <w:t>hotels.</w:t>
      </w:r>
      <w:r w:rsidR="00AC25AF" w:rsidRPr="00633CEF">
        <w:rPr>
          <w:rFonts w:ascii="Tahoma" w:hAnsi="Tahoma" w:cs="Arial"/>
          <w:sz w:val="22"/>
          <w:szCs w:val="22"/>
        </w:rPr>
        <w:t xml:space="preserve">  Category-wise, the de luxe and first class hotels registered the most significant </w:t>
      </w:r>
      <w:r w:rsidR="00C62E78" w:rsidRPr="00633CEF">
        <w:rPr>
          <w:rFonts w:ascii="Tahoma" w:hAnsi="Tahoma" w:cs="Arial"/>
          <w:sz w:val="22"/>
          <w:szCs w:val="22"/>
        </w:rPr>
        <w:t>drop in occupancy</w:t>
      </w:r>
      <w:bookmarkEnd w:id="0"/>
      <w:r w:rsidR="00C62E78" w:rsidRPr="00633CEF">
        <w:rPr>
          <w:rFonts w:ascii="Tahoma" w:hAnsi="Tahoma" w:cs="Arial"/>
          <w:sz w:val="22"/>
          <w:szCs w:val="22"/>
        </w:rPr>
        <w:t>.  The share of foreign guests varies – 30% to 50% - among hotels.</w:t>
      </w:r>
      <w:r w:rsidR="00CE3A64" w:rsidRPr="00633CEF">
        <w:rPr>
          <w:rFonts w:ascii="Tahoma" w:hAnsi="Tahoma" w:cs="Arial"/>
          <w:sz w:val="22"/>
          <w:szCs w:val="22"/>
        </w:rPr>
        <w:t xml:space="preserve"> </w:t>
      </w:r>
      <w:r w:rsidR="005E29E8">
        <w:rPr>
          <w:rFonts w:ascii="Tahoma" w:hAnsi="Tahoma" w:cs="Arial"/>
          <w:sz w:val="22"/>
          <w:szCs w:val="22"/>
        </w:rPr>
        <w:t xml:space="preserve">The </w:t>
      </w:r>
      <w:r w:rsidR="00CE3A64" w:rsidRPr="00633CEF">
        <w:rPr>
          <w:rFonts w:ascii="Tahoma" w:hAnsi="Tahoma" w:cs="Arial"/>
          <w:sz w:val="22"/>
          <w:szCs w:val="22"/>
        </w:rPr>
        <w:t xml:space="preserve">gross value-added </w:t>
      </w:r>
      <w:r w:rsidR="00A664CA" w:rsidRPr="00633CEF">
        <w:rPr>
          <w:rFonts w:ascii="Tahoma" w:hAnsi="Tahoma" w:cs="Arial"/>
          <w:sz w:val="22"/>
          <w:szCs w:val="22"/>
        </w:rPr>
        <w:t xml:space="preserve">of </w:t>
      </w:r>
      <w:r w:rsidR="00CE3A64" w:rsidRPr="00633CEF">
        <w:rPr>
          <w:rFonts w:ascii="Tahoma" w:hAnsi="Tahoma" w:cs="Arial"/>
          <w:sz w:val="22"/>
          <w:szCs w:val="22"/>
        </w:rPr>
        <w:t xml:space="preserve">the hotel and restaurant sector </w:t>
      </w:r>
      <w:r w:rsidR="005E29E8">
        <w:rPr>
          <w:rFonts w:ascii="Tahoma" w:hAnsi="Tahoma" w:cs="Arial"/>
          <w:sz w:val="22"/>
          <w:szCs w:val="22"/>
        </w:rPr>
        <w:t xml:space="preserve">also slowed down </w:t>
      </w:r>
      <w:r w:rsidR="00CE3A64" w:rsidRPr="00633CEF">
        <w:rPr>
          <w:rFonts w:ascii="Tahoma" w:hAnsi="Tahoma" w:cs="Arial"/>
          <w:sz w:val="22"/>
          <w:szCs w:val="22"/>
        </w:rPr>
        <w:t xml:space="preserve">in 2008.  </w:t>
      </w:r>
      <w:r w:rsidR="00292E57">
        <w:rPr>
          <w:rFonts w:ascii="Tahoma" w:hAnsi="Tahoma" w:cs="Arial"/>
          <w:sz w:val="22"/>
          <w:szCs w:val="22"/>
        </w:rPr>
        <w:t>Mi</w:t>
      </w:r>
      <w:r w:rsidR="00E25033">
        <w:rPr>
          <w:rFonts w:ascii="Tahoma" w:hAnsi="Tahoma" w:cs="Arial"/>
          <w:sz w:val="22"/>
          <w:szCs w:val="22"/>
        </w:rPr>
        <w:t xml:space="preserve">nimal displacement </w:t>
      </w:r>
      <w:r w:rsidR="00292E57">
        <w:rPr>
          <w:rFonts w:ascii="Tahoma" w:hAnsi="Tahoma" w:cs="Arial"/>
          <w:sz w:val="22"/>
          <w:szCs w:val="22"/>
        </w:rPr>
        <w:t>of tourism workers has been noted</w:t>
      </w:r>
      <w:r w:rsidR="00E25033">
        <w:rPr>
          <w:rFonts w:ascii="Tahoma" w:hAnsi="Tahoma" w:cs="Arial"/>
          <w:sz w:val="22"/>
          <w:szCs w:val="22"/>
        </w:rPr>
        <w:t xml:space="preserve">.  Based on the data from DOLE, only 147 workers (at least 60% from the lodging and restaurant sector) have been displaced from October 2008 to April 2009.  </w:t>
      </w:r>
    </w:p>
    <w:p w:rsidR="00CB744B" w:rsidRPr="00633CEF" w:rsidRDefault="00CB744B" w:rsidP="00CB744B">
      <w:pPr>
        <w:ind w:left="360"/>
        <w:jc w:val="both"/>
        <w:rPr>
          <w:rFonts w:ascii="Tahoma" w:hAnsi="Tahoma" w:cs="Arial"/>
          <w:sz w:val="22"/>
          <w:szCs w:val="22"/>
          <w:highlight w:val="cyan"/>
        </w:rPr>
      </w:pPr>
    </w:p>
    <w:p w:rsidR="000B48F3" w:rsidRPr="00633CEF" w:rsidRDefault="00DF646B" w:rsidP="0039134F">
      <w:pPr>
        <w:numPr>
          <w:ilvl w:val="0"/>
          <w:numId w:val="13"/>
        </w:numPr>
        <w:jc w:val="both"/>
        <w:rPr>
          <w:rFonts w:ascii="Tahoma" w:hAnsi="Tahoma" w:cs="Arial"/>
          <w:sz w:val="22"/>
          <w:szCs w:val="22"/>
        </w:rPr>
      </w:pPr>
      <w:r w:rsidRPr="00633CEF">
        <w:rPr>
          <w:rFonts w:ascii="Tahoma" w:hAnsi="Tahoma" w:cs="Arial"/>
          <w:sz w:val="22"/>
          <w:szCs w:val="22"/>
        </w:rPr>
        <w:t xml:space="preserve">Those handling inbound tourists, especially from </w:t>
      </w:r>
      <w:smartTag w:uri="urn:schemas-microsoft-com:office:smarttags" w:element="country-region">
        <w:smartTag w:uri="urn:schemas-microsoft-com:office:smarttags" w:element="place">
          <w:r w:rsidRPr="00633CEF">
            <w:rPr>
              <w:rFonts w:ascii="Tahoma" w:hAnsi="Tahoma" w:cs="Arial"/>
              <w:sz w:val="22"/>
              <w:szCs w:val="22"/>
            </w:rPr>
            <w:t>Korea</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Japan</w:t>
          </w:r>
        </w:smartTag>
      </w:smartTag>
      <w:r w:rsidRPr="00633CEF">
        <w:rPr>
          <w:rFonts w:ascii="Tahoma" w:hAnsi="Tahoma" w:cs="Arial"/>
          <w:sz w:val="22"/>
          <w:szCs w:val="22"/>
        </w:rPr>
        <w:t xml:space="preserve">, and </w:t>
      </w:r>
      <w:smartTag w:uri="urn:schemas-microsoft-com:office:smarttags" w:element="country-region">
        <w:smartTag w:uri="urn:schemas-microsoft-com:office:smarttags" w:element="place">
          <w:r w:rsidRPr="00633CEF">
            <w:rPr>
              <w:rFonts w:ascii="Tahoma" w:hAnsi="Tahoma" w:cs="Arial"/>
              <w:sz w:val="22"/>
              <w:szCs w:val="22"/>
            </w:rPr>
            <w:t>China</w:t>
          </w:r>
        </w:smartTag>
      </w:smartTag>
      <w:r w:rsidRPr="00633CEF">
        <w:rPr>
          <w:rFonts w:ascii="Tahoma" w:hAnsi="Tahoma" w:cs="Arial"/>
          <w:sz w:val="22"/>
          <w:szCs w:val="22"/>
        </w:rPr>
        <w:t xml:space="preserve"> have experienced sharp reductions, as high as 35 </w:t>
      </w:r>
      <w:r w:rsidR="004767B5" w:rsidRPr="00633CEF">
        <w:rPr>
          <w:rFonts w:ascii="Tahoma" w:hAnsi="Tahoma" w:cs="Arial"/>
          <w:sz w:val="22"/>
          <w:szCs w:val="22"/>
        </w:rPr>
        <w:t>to 50%</w:t>
      </w:r>
      <w:r w:rsidRPr="00633CEF">
        <w:rPr>
          <w:rFonts w:ascii="Tahoma" w:hAnsi="Tahoma" w:cs="Arial"/>
          <w:sz w:val="22"/>
          <w:szCs w:val="22"/>
        </w:rPr>
        <w:t>, in their bookings</w:t>
      </w:r>
      <w:r w:rsidR="004767B5" w:rsidRPr="00633CEF">
        <w:rPr>
          <w:rFonts w:ascii="Tahoma" w:hAnsi="Tahoma" w:cs="Arial"/>
          <w:sz w:val="22"/>
          <w:szCs w:val="22"/>
        </w:rPr>
        <w:t>.</w:t>
      </w:r>
      <w:r w:rsidRPr="00633CEF">
        <w:rPr>
          <w:rFonts w:ascii="Tahoma" w:hAnsi="Tahoma" w:cs="Arial"/>
          <w:sz w:val="22"/>
          <w:szCs w:val="22"/>
        </w:rPr>
        <w:t xml:space="preserve"> </w:t>
      </w:r>
      <w:r w:rsidR="004767B5" w:rsidRPr="00633CEF">
        <w:rPr>
          <w:rFonts w:ascii="Tahoma" w:hAnsi="Tahoma" w:cs="Arial"/>
          <w:sz w:val="22"/>
          <w:szCs w:val="22"/>
        </w:rPr>
        <w:t xml:space="preserve"> </w:t>
      </w:r>
      <w:r w:rsidRPr="00633CEF">
        <w:rPr>
          <w:rFonts w:ascii="Tahoma" w:hAnsi="Tahoma" w:cs="Arial"/>
          <w:sz w:val="22"/>
          <w:szCs w:val="22"/>
        </w:rPr>
        <w:t xml:space="preserve">Airlines </w:t>
      </w:r>
      <w:r w:rsidR="00CF5A76" w:rsidRPr="00633CEF">
        <w:rPr>
          <w:rFonts w:ascii="Tahoma" w:hAnsi="Tahoma" w:cs="Arial"/>
          <w:sz w:val="22"/>
          <w:szCs w:val="22"/>
        </w:rPr>
        <w:t xml:space="preserve">have reduced their commission rates for these agencies, particularly in the business and first class seats. </w:t>
      </w:r>
      <w:r w:rsidR="006D4708" w:rsidRPr="00633CEF">
        <w:rPr>
          <w:rFonts w:ascii="Tahoma" w:hAnsi="Tahoma" w:cs="Arial"/>
          <w:sz w:val="22"/>
          <w:szCs w:val="22"/>
        </w:rPr>
        <w:t xml:space="preserve"> </w:t>
      </w:r>
      <w:r w:rsidR="00FE7A64" w:rsidRPr="00633CEF">
        <w:rPr>
          <w:rFonts w:ascii="Tahoma" w:hAnsi="Tahoma" w:cs="Arial"/>
          <w:sz w:val="22"/>
          <w:szCs w:val="22"/>
        </w:rPr>
        <w:t>Th</w:t>
      </w:r>
      <w:r w:rsidR="000B48F3" w:rsidRPr="00633CEF">
        <w:rPr>
          <w:rFonts w:ascii="Tahoma" w:hAnsi="Tahoma" w:cs="Arial"/>
          <w:sz w:val="22"/>
          <w:szCs w:val="22"/>
        </w:rPr>
        <w:t xml:space="preserve">e industry is very competitive and switching costs are lower, </w:t>
      </w:r>
      <w:r w:rsidR="00FE7A64" w:rsidRPr="00633CEF">
        <w:rPr>
          <w:rFonts w:ascii="Tahoma" w:hAnsi="Tahoma" w:cs="Arial"/>
          <w:sz w:val="22"/>
          <w:szCs w:val="22"/>
        </w:rPr>
        <w:t xml:space="preserve">forcing agencies to reduce their </w:t>
      </w:r>
      <w:r w:rsidR="000B48F3" w:rsidRPr="00633CEF">
        <w:rPr>
          <w:rFonts w:ascii="Tahoma" w:hAnsi="Tahoma" w:cs="Arial"/>
          <w:sz w:val="22"/>
          <w:szCs w:val="22"/>
        </w:rPr>
        <w:t xml:space="preserve">mark ups on economy class seats. </w:t>
      </w:r>
    </w:p>
    <w:p w:rsidR="0072632E" w:rsidRPr="00633CEF" w:rsidRDefault="0072632E" w:rsidP="0072632E">
      <w:pPr>
        <w:jc w:val="both"/>
        <w:rPr>
          <w:rFonts w:ascii="Tahoma" w:hAnsi="Tahoma" w:cs="Arial"/>
          <w:sz w:val="22"/>
          <w:szCs w:val="22"/>
        </w:rPr>
      </w:pPr>
    </w:p>
    <w:p w:rsidR="005957EA" w:rsidRPr="00633CEF" w:rsidRDefault="00350704" w:rsidP="0072632E">
      <w:pPr>
        <w:numPr>
          <w:ilvl w:val="0"/>
          <w:numId w:val="13"/>
        </w:numPr>
        <w:jc w:val="both"/>
        <w:rPr>
          <w:rFonts w:ascii="Tahoma" w:hAnsi="Tahoma" w:cs="Arial"/>
          <w:sz w:val="22"/>
          <w:szCs w:val="22"/>
        </w:rPr>
      </w:pPr>
      <w:r w:rsidRPr="00633CEF">
        <w:rPr>
          <w:rFonts w:ascii="Tahoma" w:hAnsi="Tahoma" w:cs="Arial"/>
          <w:sz w:val="22"/>
          <w:szCs w:val="22"/>
        </w:rPr>
        <w:t>The convention industry is one of the less vulnerable among all the tourism providers.  MICE foreign arrivals constitute only 1.16% of total foreign visitor arrivals (3,139,422 in 2008) to the country</w:t>
      </w:r>
      <w:r w:rsidR="00560215">
        <w:rPr>
          <w:rFonts w:ascii="Tahoma" w:hAnsi="Tahoma" w:cs="Arial"/>
          <w:sz w:val="22"/>
          <w:szCs w:val="22"/>
        </w:rPr>
        <w:t>.  A</w:t>
      </w:r>
      <w:r w:rsidRPr="00633CEF">
        <w:rPr>
          <w:rFonts w:ascii="Tahoma" w:hAnsi="Tahoma" w:cs="Arial"/>
          <w:sz w:val="22"/>
          <w:szCs w:val="22"/>
        </w:rPr>
        <w:t xml:space="preserve">ny decrease will have minimal impact on overall visitor traffic. </w:t>
      </w:r>
      <w:r w:rsidR="007A396B" w:rsidRPr="00633CEF">
        <w:rPr>
          <w:rFonts w:ascii="Tahoma" w:hAnsi="Tahoma" w:cs="Arial"/>
          <w:sz w:val="22"/>
          <w:szCs w:val="22"/>
        </w:rPr>
        <w:t xml:space="preserve">To date, the domestic market, especially association events continue to provide good source of business for this industry.  Contraction in corporate events </w:t>
      </w:r>
      <w:r w:rsidR="00612CCD" w:rsidRPr="00633CEF">
        <w:rPr>
          <w:rFonts w:ascii="Tahoma" w:hAnsi="Tahoma" w:cs="Arial"/>
          <w:sz w:val="22"/>
          <w:szCs w:val="22"/>
        </w:rPr>
        <w:t xml:space="preserve">and product launches </w:t>
      </w:r>
      <w:r w:rsidR="007A396B" w:rsidRPr="00633CEF">
        <w:rPr>
          <w:rFonts w:ascii="Tahoma" w:hAnsi="Tahoma" w:cs="Arial"/>
          <w:sz w:val="22"/>
          <w:szCs w:val="22"/>
        </w:rPr>
        <w:t xml:space="preserve">has been noted as </w:t>
      </w:r>
      <w:r w:rsidR="00612CCD" w:rsidRPr="00633CEF">
        <w:rPr>
          <w:rFonts w:ascii="Tahoma" w:hAnsi="Tahoma" w:cs="Arial"/>
          <w:sz w:val="22"/>
          <w:szCs w:val="22"/>
        </w:rPr>
        <w:t xml:space="preserve">local and foreign </w:t>
      </w:r>
      <w:r w:rsidR="007A396B" w:rsidRPr="00633CEF">
        <w:rPr>
          <w:rFonts w:ascii="Tahoma" w:hAnsi="Tahoma" w:cs="Arial"/>
          <w:sz w:val="22"/>
          <w:szCs w:val="22"/>
        </w:rPr>
        <w:t xml:space="preserve">companies implement cost-cutting measures. </w:t>
      </w:r>
      <w:r w:rsidR="00612CCD" w:rsidRPr="00633CEF">
        <w:rPr>
          <w:rFonts w:ascii="Tahoma" w:hAnsi="Tahoma" w:cs="Arial"/>
          <w:sz w:val="22"/>
          <w:szCs w:val="22"/>
        </w:rPr>
        <w:t xml:space="preserve">Some association conferences and trade exhibitions are being postponed.  </w:t>
      </w:r>
    </w:p>
    <w:p w:rsidR="00966777" w:rsidRPr="00633CEF" w:rsidRDefault="00966777" w:rsidP="00FB0FFC">
      <w:pPr>
        <w:jc w:val="both"/>
        <w:rPr>
          <w:rFonts w:ascii="Tahoma" w:hAnsi="Tahoma" w:cs="Arial"/>
          <w:sz w:val="22"/>
          <w:szCs w:val="22"/>
        </w:rPr>
      </w:pPr>
    </w:p>
    <w:p w:rsidR="00DB56DB" w:rsidRPr="00633CEF" w:rsidRDefault="006E4CDE" w:rsidP="00DB56DB">
      <w:pPr>
        <w:jc w:val="both"/>
        <w:rPr>
          <w:rFonts w:ascii="Tahoma" w:hAnsi="Tahoma" w:cs="Arial"/>
          <w:b/>
          <w:bCs/>
          <w:sz w:val="22"/>
          <w:szCs w:val="22"/>
        </w:rPr>
      </w:pPr>
      <w:r>
        <w:rPr>
          <w:rFonts w:ascii="Tahoma" w:hAnsi="Tahoma" w:cs="Arial"/>
          <w:b/>
          <w:bCs/>
          <w:sz w:val="22"/>
          <w:szCs w:val="22"/>
        </w:rPr>
        <w:t>Some positive notes</w:t>
      </w:r>
    </w:p>
    <w:p w:rsidR="00DB56DB" w:rsidRPr="00633CEF" w:rsidRDefault="00DB56DB" w:rsidP="00DB56DB">
      <w:pPr>
        <w:ind w:left="360"/>
        <w:jc w:val="both"/>
        <w:rPr>
          <w:rFonts w:ascii="Tahoma" w:hAnsi="Tahoma" w:cs="Arial"/>
          <w:sz w:val="22"/>
          <w:szCs w:val="22"/>
        </w:rPr>
      </w:pPr>
    </w:p>
    <w:p w:rsidR="0097038F" w:rsidRPr="00633CEF" w:rsidRDefault="0091016C" w:rsidP="0097038F">
      <w:pPr>
        <w:numPr>
          <w:ilvl w:val="0"/>
          <w:numId w:val="14"/>
        </w:numPr>
        <w:tabs>
          <w:tab w:val="clear" w:pos="1080"/>
          <w:tab w:val="num" w:pos="720"/>
        </w:tabs>
        <w:ind w:left="720"/>
        <w:jc w:val="both"/>
        <w:rPr>
          <w:rFonts w:ascii="Tahoma" w:hAnsi="Tahoma" w:cs="Arial"/>
          <w:sz w:val="22"/>
          <w:szCs w:val="22"/>
        </w:rPr>
      </w:pPr>
      <w:r w:rsidRPr="00633CEF">
        <w:rPr>
          <w:rFonts w:ascii="Tahoma" w:hAnsi="Tahoma" w:cs="Arial"/>
          <w:sz w:val="22"/>
          <w:szCs w:val="22"/>
        </w:rPr>
        <w:t xml:space="preserve">The current crisis has </w:t>
      </w:r>
      <w:r w:rsidR="00F802B7" w:rsidRPr="00633CEF">
        <w:rPr>
          <w:rFonts w:ascii="Tahoma" w:hAnsi="Tahoma" w:cs="Arial"/>
          <w:sz w:val="22"/>
          <w:szCs w:val="22"/>
        </w:rPr>
        <w:t xml:space="preserve">further </w:t>
      </w:r>
      <w:r w:rsidRPr="00633CEF">
        <w:rPr>
          <w:rFonts w:ascii="Tahoma" w:hAnsi="Tahoma" w:cs="Arial"/>
          <w:sz w:val="22"/>
          <w:szCs w:val="22"/>
        </w:rPr>
        <w:t>highlighted</w:t>
      </w:r>
      <w:r w:rsidR="00F802B7" w:rsidRPr="00633CEF">
        <w:rPr>
          <w:rFonts w:ascii="Tahoma" w:hAnsi="Tahoma" w:cs="Arial"/>
          <w:sz w:val="22"/>
          <w:szCs w:val="22"/>
        </w:rPr>
        <w:t xml:space="preserve"> that</w:t>
      </w:r>
      <w:r w:rsidR="0097038F" w:rsidRPr="00633CEF">
        <w:rPr>
          <w:rFonts w:ascii="Tahoma" w:hAnsi="Tahoma" w:cs="Arial"/>
          <w:sz w:val="22"/>
          <w:szCs w:val="22"/>
        </w:rPr>
        <w:t>:</w:t>
      </w:r>
    </w:p>
    <w:p w:rsidR="00F3410C" w:rsidRPr="00633CEF" w:rsidRDefault="0097038F" w:rsidP="00F3410C">
      <w:pPr>
        <w:numPr>
          <w:ilvl w:val="1"/>
          <w:numId w:val="14"/>
        </w:numPr>
        <w:jc w:val="both"/>
        <w:rPr>
          <w:rFonts w:ascii="Tahoma" w:hAnsi="Tahoma" w:cs="Arial"/>
          <w:sz w:val="22"/>
          <w:szCs w:val="22"/>
        </w:rPr>
      </w:pPr>
      <w:r w:rsidRPr="00633CEF">
        <w:rPr>
          <w:rFonts w:ascii="Tahoma" w:hAnsi="Tahoma" w:cs="Arial"/>
          <w:sz w:val="22"/>
          <w:szCs w:val="22"/>
        </w:rPr>
        <w:t xml:space="preserve">The </w:t>
      </w:r>
      <w:smartTag w:uri="urn:schemas-microsoft-com:office:smarttags" w:element="country-region">
        <w:smartTag w:uri="urn:schemas-microsoft-com:office:smarttags" w:element="place">
          <w:r w:rsidR="0091016C" w:rsidRPr="00633CEF">
            <w:rPr>
              <w:rFonts w:ascii="Tahoma" w:hAnsi="Tahoma" w:cs="Arial"/>
              <w:sz w:val="22"/>
              <w:szCs w:val="22"/>
            </w:rPr>
            <w:t>Philippines</w:t>
          </w:r>
        </w:smartTag>
      </w:smartTag>
      <w:r w:rsidR="0091016C" w:rsidRPr="00633CEF">
        <w:rPr>
          <w:rFonts w:ascii="Tahoma" w:hAnsi="Tahoma" w:cs="Arial"/>
          <w:sz w:val="22"/>
          <w:szCs w:val="22"/>
        </w:rPr>
        <w:t xml:space="preserve"> is still a </w:t>
      </w:r>
      <w:r w:rsidRPr="00633CEF">
        <w:rPr>
          <w:rFonts w:ascii="Tahoma" w:hAnsi="Tahoma" w:cs="Arial"/>
          <w:sz w:val="22"/>
          <w:szCs w:val="22"/>
        </w:rPr>
        <w:t xml:space="preserve">very </w:t>
      </w:r>
      <w:r w:rsidR="0091016C" w:rsidRPr="00633CEF">
        <w:rPr>
          <w:rFonts w:ascii="Tahoma" w:hAnsi="Tahoma" w:cs="Arial"/>
          <w:sz w:val="22"/>
          <w:szCs w:val="22"/>
        </w:rPr>
        <w:t xml:space="preserve">small player </w:t>
      </w:r>
      <w:r w:rsidRPr="00633CEF">
        <w:rPr>
          <w:rFonts w:ascii="Tahoma" w:hAnsi="Tahoma" w:cs="Arial"/>
          <w:sz w:val="22"/>
          <w:szCs w:val="22"/>
        </w:rPr>
        <w:t>in the global market</w:t>
      </w:r>
      <w:r w:rsidR="00146B9F" w:rsidRPr="00633CEF">
        <w:rPr>
          <w:rFonts w:ascii="Tahoma" w:hAnsi="Tahoma" w:cs="Arial"/>
          <w:sz w:val="22"/>
          <w:szCs w:val="22"/>
        </w:rPr>
        <w:t xml:space="preserve"> and relative to the potentials for revenue and job generation and in pursuing sustainability</w:t>
      </w:r>
      <w:r w:rsidRPr="00633CEF">
        <w:rPr>
          <w:rFonts w:ascii="Tahoma" w:hAnsi="Tahoma" w:cs="Arial"/>
          <w:sz w:val="22"/>
          <w:szCs w:val="22"/>
        </w:rPr>
        <w:t xml:space="preserve">. </w:t>
      </w:r>
    </w:p>
    <w:p w:rsidR="00C361EB" w:rsidRPr="00633CEF" w:rsidRDefault="0097038F" w:rsidP="00F3410C">
      <w:pPr>
        <w:numPr>
          <w:ilvl w:val="1"/>
          <w:numId w:val="14"/>
        </w:numPr>
        <w:jc w:val="both"/>
        <w:rPr>
          <w:rFonts w:ascii="Tahoma" w:hAnsi="Tahoma" w:cs="Arial"/>
          <w:sz w:val="22"/>
          <w:szCs w:val="22"/>
        </w:rPr>
      </w:pPr>
      <w:r w:rsidRPr="00633CEF">
        <w:rPr>
          <w:rFonts w:ascii="Tahoma" w:hAnsi="Tahoma" w:cs="Arial"/>
          <w:sz w:val="22"/>
          <w:szCs w:val="22"/>
        </w:rPr>
        <w:t xml:space="preserve">The </w:t>
      </w:r>
      <w:smartTag w:uri="urn:schemas-microsoft-com:office:smarttags" w:element="country-region">
        <w:smartTag w:uri="urn:schemas-microsoft-com:office:smarttags" w:element="place">
          <w:r w:rsidRPr="00633CEF">
            <w:rPr>
              <w:rFonts w:ascii="Tahoma" w:hAnsi="Tahoma" w:cs="Arial"/>
              <w:sz w:val="22"/>
              <w:szCs w:val="22"/>
            </w:rPr>
            <w:t>Philippines</w:t>
          </w:r>
        </w:smartTag>
      </w:smartTag>
      <w:r w:rsidRPr="00633CEF">
        <w:rPr>
          <w:rFonts w:ascii="Tahoma" w:hAnsi="Tahoma" w:cs="Arial"/>
          <w:sz w:val="22"/>
          <w:szCs w:val="22"/>
        </w:rPr>
        <w:t xml:space="preserve"> </w:t>
      </w:r>
      <w:r w:rsidR="0091016C" w:rsidRPr="00633CEF">
        <w:rPr>
          <w:rFonts w:ascii="Tahoma" w:hAnsi="Tahoma" w:cs="Arial"/>
          <w:sz w:val="22"/>
          <w:szCs w:val="22"/>
        </w:rPr>
        <w:t xml:space="preserve">will continue to be the same </w:t>
      </w:r>
      <w:r w:rsidR="00F3410C" w:rsidRPr="00633CEF">
        <w:rPr>
          <w:rFonts w:ascii="Tahoma" w:hAnsi="Tahoma" w:cs="Arial"/>
          <w:sz w:val="22"/>
          <w:szCs w:val="22"/>
        </w:rPr>
        <w:t xml:space="preserve">small player even </w:t>
      </w:r>
      <w:r w:rsidR="00D70046" w:rsidRPr="00633CEF">
        <w:rPr>
          <w:rFonts w:ascii="Tahoma" w:hAnsi="Tahoma" w:cs="Arial"/>
          <w:sz w:val="22"/>
          <w:szCs w:val="22"/>
        </w:rPr>
        <w:t xml:space="preserve">after the crisis </w:t>
      </w:r>
      <w:r w:rsidR="00F3410C" w:rsidRPr="00633CEF">
        <w:rPr>
          <w:rFonts w:ascii="Tahoma" w:hAnsi="Tahoma" w:cs="Arial"/>
          <w:sz w:val="22"/>
          <w:szCs w:val="22"/>
        </w:rPr>
        <w:t xml:space="preserve">in the absence of timely </w:t>
      </w:r>
      <w:r w:rsidR="00F802B7" w:rsidRPr="00633CEF">
        <w:rPr>
          <w:rFonts w:ascii="Tahoma" w:hAnsi="Tahoma" w:cs="Arial"/>
          <w:sz w:val="22"/>
          <w:szCs w:val="22"/>
        </w:rPr>
        <w:t xml:space="preserve">and relevant response actions to mitigate the negative impact </w:t>
      </w:r>
      <w:r w:rsidR="00F3410C" w:rsidRPr="00633CEF">
        <w:rPr>
          <w:rFonts w:ascii="Tahoma" w:hAnsi="Tahoma" w:cs="Arial"/>
          <w:sz w:val="22"/>
          <w:szCs w:val="22"/>
        </w:rPr>
        <w:t xml:space="preserve">and </w:t>
      </w:r>
      <w:r w:rsidR="00D70046" w:rsidRPr="00633CEF">
        <w:rPr>
          <w:rFonts w:ascii="Tahoma" w:hAnsi="Tahoma" w:cs="Arial"/>
          <w:sz w:val="22"/>
          <w:szCs w:val="22"/>
        </w:rPr>
        <w:t xml:space="preserve">strategic responses to </w:t>
      </w:r>
      <w:r w:rsidR="0091016C" w:rsidRPr="00633CEF">
        <w:rPr>
          <w:rFonts w:ascii="Tahoma" w:hAnsi="Tahoma" w:cs="Arial"/>
          <w:sz w:val="22"/>
          <w:szCs w:val="22"/>
        </w:rPr>
        <w:t xml:space="preserve">address the areas that have persistently </w:t>
      </w:r>
      <w:r w:rsidR="00E660D6" w:rsidRPr="00633CEF">
        <w:rPr>
          <w:rFonts w:ascii="Tahoma" w:hAnsi="Tahoma" w:cs="Arial"/>
          <w:sz w:val="22"/>
          <w:szCs w:val="22"/>
        </w:rPr>
        <w:t xml:space="preserve">contributed to the </w:t>
      </w:r>
      <w:r w:rsidR="006519C4" w:rsidRPr="00633CEF">
        <w:rPr>
          <w:rFonts w:ascii="Tahoma" w:hAnsi="Tahoma" w:cs="Arial"/>
          <w:sz w:val="22"/>
          <w:szCs w:val="22"/>
        </w:rPr>
        <w:t xml:space="preserve">low </w:t>
      </w:r>
      <w:r w:rsidR="00E660D6" w:rsidRPr="00633CEF">
        <w:rPr>
          <w:rFonts w:ascii="Tahoma" w:hAnsi="Tahoma" w:cs="Arial"/>
          <w:sz w:val="22"/>
          <w:szCs w:val="22"/>
        </w:rPr>
        <w:t>competitiveness</w:t>
      </w:r>
      <w:r w:rsidR="0035501C" w:rsidRPr="00633CEF">
        <w:rPr>
          <w:rFonts w:ascii="Tahoma" w:hAnsi="Tahoma" w:cs="Arial"/>
          <w:sz w:val="22"/>
          <w:szCs w:val="22"/>
        </w:rPr>
        <w:t xml:space="preserve"> in tourism</w:t>
      </w:r>
      <w:r w:rsidR="00E660D6" w:rsidRPr="00633CEF">
        <w:rPr>
          <w:rFonts w:ascii="Tahoma" w:hAnsi="Tahoma" w:cs="Arial"/>
          <w:sz w:val="22"/>
          <w:szCs w:val="22"/>
        </w:rPr>
        <w:t xml:space="preserve">. </w:t>
      </w:r>
    </w:p>
    <w:p w:rsidR="00C361EB" w:rsidRPr="00633CEF" w:rsidRDefault="00C361EB" w:rsidP="00C361EB">
      <w:pPr>
        <w:ind w:left="360"/>
        <w:jc w:val="both"/>
        <w:rPr>
          <w:rFonts w:ascii="Tahoma" w:hAnsi="Tahoma" w:cs="Arial"/>
          <w:sz w:val="22"/>
          <w:szCs w:val="22"/>
        </w:rPr>
      </w:pPr>
    </w:p>
    <w:p w:rsidR="00A72FF5" w:rsidRPr="00633CEF" w:rsidRDefault="00A72FF5" w:rsidP="00A72FF5">
      <w:pPr>
        <w:numPr>
          <w:ilvl w:val="0"/>
          <w:numId w:val="14"/>
        </w:numPr>
        <w:tabs>
          <w:tab w:val="clear" w:pos="1080"/>
          <w:tab w:val="num" w:pos="720"/>
        </w:tabs>
        <w:ind w:left="720"/>
        <w:jc w:val="both"/>
        <w:rPr>
          <w:rFonts w:ascii="Tahoma" w:hAnsi="Tahoma" w:cs="Arial"/>
          <w:sz w:val="22"/>
          <w:szCs w:val="22"/>
        </w:rPr>
      </w:pPr>
      <w:r w:rsidRPr="00633CEF">
        <w:rPr>
          <w:rFonts w:ascii="Tahoma" w:hAnsi="Tahoma" w:cs="Arial"/>
          <w:sz w:val="22"/>
          <w:szCs w:val="22"/>
        </w:rPr>
        <w:t xml:space="preserve">The crisis has opened up more opportunities to strengthen clustering of tourism products and destinations, to improve the supply and market chains, to move towards greater convergence of public and private sectors, and to mobilize communities of tourism providers. </w:t>
      </w:r>
      <w:r w:rsidR="00C25477">
        <w:rPr>
          <w:rFonts w:ascii="Tahoma" w:hAnsi="Tahoma" w:cs="Arial"/>
          <w:sz w:val="22"/>
          <w:szCs w:val="22"/>
        </w:rPr>
        <w:t xml:space="preserve">There are new, emerging and niche markets (i.e. </w:t>
      </w:r>
      <w:smartTag w:uri="urn:schemas-microsoft-com:office:smarttags" w:element="place">
        <w:smartTag w:uri="urn:schemas-microsoft-com:office:smarttags" w:element="City">
          <w:r w:rsidR="00C25477">
            <w:rPr>
              <w:rFonts w:ascii="Tahoma" w:hAnsi="Tahoma" w:cs="Arial"/>
              <w:sz w:val="22"/>
              <w:szCs w:val="22"/>
            </w:rPr>
            <w:t>Middle East</w:t>
          </w:r>
        </w:smartTag>
        <w:r w:rsidR="00C25477">
          <w:rPr>
            <w:rFonts w:ascii="Tahoma" w:hAnsi="Tahoma" w:cs="Arial"/>
            <w:sz w:val="22"/>
            <w:szCs w:val="22"/>
          </w:rPr>
          <w:t xml:space="preserve">, </w:t>
        </w:r>
        <w:smartTag w:uri="urn:schemas-microsoft-com:office:smarttags" w:element="country-region">
          <w:r w:rsidR="00C25477">
            <w:rPr>
              <w:rFonts w:ascii="Tahoma" w:hAnsi="Tahoma" w:cs="Arial"/>
              <w:sz w:val="22"/>
              <w:szCs w:val="22"/>
            </w:rPr>
            <w:t>China</w:t>
          </w:r>
        </w:smartTag>
      </w:smartTag>
      <w:r w:rsidR="00C25477">
        <w:rPr>
          <w:rFonts w:ascii="Tahoma" w:hAnsi="Tahoma" w:cs="Arial"/>
          <w:sz w:val="22"/>
          <w:szCs w:val="22"/>
        </w:rPr>
        <w:t xml:space="preserve">, </w:t>
      </w:r>
      <w:smartTag w:uri="urn:schemas-microsoft-com:office:smarttags" w:element="country-region">
        <w:smartTag w:uri="urn:schemas-microsoft-com:office:smarttags" w:element="place">
          <w:r w:rsidR="00C25477">
            <w:rPr>
              <w:rFonts w:ascii="Tahoma" w:hAnsi="Tahoma" w:cs="Arial"/>
              <w:sz w:val="22"/>
              <w:szCs w:val="22"/>
            </w:rPr>
            <w:t>India</w:t>
          </w:r>
        </w:smartTag>
      </w:smartTag>
      <w:r w:rsidR="00C25477">
        <w:rPr>
          <w:rFonts w:ascii="Tahoma" w:hAnsi="Tahoma" w:cs="Arial"/>
          <w:sz w:val="22"/>
          <w:szCs w:val="22"/>
        </w:rPr>
        <w:t xml:space="preserve">, </w:t>
      </w:r>
      <w:smartTag w:uri="urn:schemas-microsoft-com:office:smarttags" w:element="country-region">
        <w:smartTag w:uri="urn:schemas-microsoft-com:office:smarttags" w:element="place">
          <w:r w:rsidR="00C25477">
            <w:rPr>
              <w:rFonts w:ascii="Tahoma" w:hAnsi="Tahoma" w:cs="Arial"/>
              <w:sz w:val="22"/>
              <w:szCs w:val="22"/>
            </w:rPr>
            <w:t>Russia</w:t>
          </w:r>
        </w:smartTag>
      </w:smartTag>
      <w:r w:rsidR="00C25477">
        <w:rPr>
          <w:rFonts w:ascii="Tahoma" w:hAnsi="Tahoma" w:cs="Arial"/>
          <w:sz w:val="22"/>
          <w:szCs w:val="22"/>
        </w:rPr>
        <w:t xml:space="preserve">, </w:t>
      </w:r>
      <w:smartTag w:uri="urn:schemas-microsoft-com:office:smarttags" w:element="place">
        <w:r w:rsidR="00C25477">
          <w:rPr>
            <w:rFonts w:ascii="Tahoma" w:hAnsi="Tahoma" w:cs="Arial"/>
            <w:sz w:val="22"/>
            <w:szCs w:val="22"/>
          </w:rPr>
          <w:t>Europe</w:t>
        </w:r>
      </w:smartTag>
      <w:r w:rsidR="00C25477">
        <w:rPr>
          <w:rFonts w:ascii="Tahoma" w:hAnsi="Tahoma" w:cs="Arial"/>
          <w:sz w:val="22"/>
          <w:szCs w:val="22"/>
        </w:rPr>
        <w:t xml:space="preserve">) </w:t>
      </w:r>
      <w:r w:rsidR="0084514A">
        <w:rPr>
          <w:rFonts w:ascii="Tahoma" w:hAnsi="Tahoma" w:cs="Arial"/>
          <w:sz w:val="22"/>
          <w:szCs w:val="22"/>
        </w:rPr>
        <w:t>generating opportunities for destinations to survive the crisis.</w:t>
      </w:r>
      <w:r w:rsidR="00783673">
        <w:rPr>
          <w:rFonts w:ascii="Tahoma" w:hAnsi="Tahoma" w:cs="Arial"/>
          <w:sz w:val="22"/>
          <w:szCs w:val="22"/>
        </w:rPr>
        <w:t xml:space="preserve">  </w:t>
      </w:r>
    </w:p>
    <w:p w:rsidR="00B8255A" w:rsidRDefault="00B8255A" w:rsidP="00B8255A">
      <w:pPr>
        <w:ind w:left="360"/>
        <w:jc w:val="both"/>
        <w:rPr>
          <w:rFonts w:ascii="Tahoma" w:hAnsi="Tahoma" w:cs="Arial"/>
          <w:sz w:val="22"/>
          <w:szCs w:val="22"/>
        </w:rPr>
      </w:pPr>
    </w:p>
    <w:p w:rsidR="00B47863" w:rsidRPr="00633CEF" w:rsidRDefault="00B47863" w:rsidP="00B47863">
      <w:pPr>
        <w:ind w:left="720"/>
        <w:jc w:val="both"/>
        <w:rPr>
          <w:rFonts w:ascii="Tahoma" w:hAnsi="Tahoma" w:cs="Arial"/>
          <w:sz w:val="22"/>
          <w:szCs w:val="22"/>
        </w:rPr>
      </w:pPr>
      <w:r w:rsidRPr="00633CEF">
        <w:rPr>
          <w:rFonts w:ascii="Tahoma" w:hAnsi="Tahoma" w:cs="Arial"/>
          <w:sz w:val="22"/>
          <w:szCs w:val="22"/>
        </w:rPr>
        <w:t xml:space="preserve">The </w:t>
      </w:r>
      <w:smartTag w:uri="urn:schemas-microsoft-com:office:smarttags" w:element="country-region">
        <w:smartTag w:uri="urn:schemas-microsoft-com:office:smarttags" w:element="place">
          <w:r w:rsidRPr="00633CEF">
            <w:rPr>
              <w:rFonts w:ascii="Tahoma" w:hAnsi="Tahoma" w:cs="Arial"/>
              <w:sz w:val="22"/>
              <w:szCs w:val="22"/>
            </w:rPr>
            <w:t>Philippines</w:t>
          </w:r>
        </w:smartTag>
      </w:smartTag>
      <w:r w:rsidRPr="00633CEF">
        <w:rPr>
          <w:rFonts w:ascii="Tahoma" w:hAnsi="Tahoma" w:cs="Arial"/>
          <w:sz w:val="22"/>
          <w:szCs w:val="22"/>
        </w:rPr>
        <w:t xml:space="preserve"> experienced a series of crises in the past that slowed down the international arrivals, largely due to our own domestic problems.  The household-based survey by the NSO and the DOT revealed that during the first six months of 2005, a total of 24 million Filipinos traveled and about 50 percent spent at least one night in the destination. If we were to use the regional travellers data reported by the Regional Tourism and/or local government unit offices (based on accommodation survey), the </w:t>
      </w:r>
      <w:r w:rsidRPr="00633CEF">
        <w:rPr>
          <w:rFonts w:ascii="Tahoma" w:hAnsi="Tahoma" w:cs="Arial"/>
          <w:i/>
          <w:iCs/>
          <w:sz w:val="22"/>
          <w:szCs w:val="22"/>
        </w:rPr>
        <w:t xml:space="preserve">relative </w:t>
      </w:r>
      <w:r w:rsidRPr="00633CEF">
        <w:rPr>
          <w:rFonts w:ascii="Tahoma" w:hAnsi="Tahoma" w:cs="Arial"/>
          <w:sz w:val="22"/>
          <w:szCs w:val="22"/>
        </w:rPr>
        <w:t>share of domestic tourists in the various destinations can be as high as 95%.</w:t>
      </w:r>
      <w:r w:rsidRPr="00633CEF">
        <w:rPr>
          <w:rStyle w:val="FootnoteReference"/>
          <w:rFonts w:ascii="Tahoma" w:hAnsi="Tahoma" w:cs="Arial"/>
          <w:sz w:val="22"/>
          <w:szCs w:val="22"/>
        </w:rPr>
        <w:footnoteReference w:id="4"/>
      </w:r>
      <w:r w:rsidRPr="00633CEF">
        <w:rPr>
          <w:rFonts w:ascii="Tahoma" w:hAnsi="Tahoma" w:cs="Arial"/>
          <w:sz w:val="22"/>
          <w:szCs w:val="22"/>
        </w:rPr>
        <w:t xml:space="preserve"> </w:t>
      </w:r>
    </w:p>
    <w:p w:rsidR="00B47863" w:rsidRPr="00633CEF" w:rsidRDefault="00B47863" w:rsidP="00B8255A">
      <w:pPr>
        <w:ind w:left="360"/>
        <w:jc w:val="both"/>
        <w:rPr>
          <w:rFonts w:ascii="Tahoma" w:hAnsi="Tahoma" w:cs="Arial"/>
          <w:sz w:val="22"/>
          <w:szCs w:val="22"/>
        </w:rPr>
      </w:pPr>
    </w:p>
    <w:p w:rsidR="00B8255A" w:rsidRDefault="00B8255A" w:rsidP="00B8255A">
      <w:pPr>
        <w:numPr>
          <w:ilvl w:val="0"/>
          <w:numId w:val="14"/>
        </w:numPr>
        <w:tabs>
          <w:tab w:val="clear" w:pos="1080"/>
          <w:tab w:val="num" w:pos="720"/>
        </w:tabs>
        <w:ind w:left="720"/>
        <w:jc w:val="both"/>
        <w:rPr>
          <w:rFonts w:ascii="Tahoma" w:hAnsi="Tahoma" w:cs="Arial"/>
          <w:sz w:val="22"/>
          <w:szCs w:val="22"/>
        </w:rPr>
      </w:pPr>
      <w:r w:rsidRPr="00633CEF">
        <w:rPr>
          <w:rFonts w:ascii="Tahoma" w:hAnsi="Tahoma" w:cs="Arial"/>
          <w:sz w:val="22"/>
          <w:szCs w:val="22"/>
        </w:rPr>
        <w:lastRenderedPageBreak/>
        <w:t xml:space="preserve">The </w:t>
      </w:r>
      <w:r w:rsidR="00F639B4" w:rsidRPr="00633CEF">
        <w:rPr>
          <w:rFonts w:ascii="Tahoma" w:hAnsi="Tahoma" w:cs="Arial"/>
          <w:sz w:val="22"/>
          <w:szCs w:val="22"/>
        </w:rPr>
        <w:t xml:space="preserve">crisis has highlighted the vital role that domestic tourism plays amidst the vulnerability of international tourism to external shocks. The </w:t>
      </w:r>
      <w:smartTag w:uri="urn:schemas-microsoft-com:office:smarttags" w:element="country-region">
        <w:smartTag w:uri="urn:schemas-microsoft-com:office:smarttags" w:element="place">
          <w:r w:rsidRPr="00633CEF">
            <w:rPr>
              <w:rFonts w:ascii="Tahoma" w:hAnsi="Tahoma" w:cs="Arial"/>
              <w:sz w:val="22"/>
              <w:szCs w:val="22"/>
            </w:rPr>
            <w:t>Philippines</w:t>
          </w:r>
        </w:smartTag>
      </w:smartTag>
      <w:r w:rsidRPr="00633CEF">
        <w:rPr>
          <w:rFonts w:ascii="Tahoma" w:hAnsi="Tahoma" w:cs="Arial"/>
          <w:sz w:val="22"/>
          <w:szCs w:val="22"/>
        </w:rPr>
        <w:t xml:space="preserve"> has greater potentials of surviving the crisis because of the dependency of most providers on the local market. The local tour operators have produced more competitive packages to a number of destinations in the country, contributing to the stimulation of domestic travel, development of more destinations and generation of income sources to local communities, especially those from impoverished areas. </w:t>
      </w:r>
    </w:p>
    <w:p w:rsidR="00B47863" w:rsidRDefault="00B47863" w:rsidP="00B47863">
      <w:pPr>
        <w:jc w:val="both"/>
        <w:rPr>
          <w:rFonts w:ascii="Tahoma" w:hAnsi="Tahoma" w:cs="Arial"/>
          <w:sz w:val="22"/>
          <w:szCs w:val="22"/>
        </w:rPr>
      </w:pPr>
    </w:p>
    <w:p w:rsidR="00B47863" w:rsidRPr="00220E80" w:rsidRDefault="00B47863" w:rsidP="00B47863">
      <w:pPr>
        <w:numPr>
          <w:ilvl w:val="0"/>
          <w:numId w:val="14"/>
        </w:numPr>
        <w:tabs>
          <w:tab w:val="clear" w:pos="1080"/>
          <w:tab w:val="num" w:pos="720"/>
        </w:tabs>
        <w:ind w:left="720"/>
        <w:jc w:val="both"/>
        <w:rPr>
          <w:rFonts w:ascii="Tahoma" w:hAnsi="Tahoma" w:cs="Arial"/>
          <w:sz w:val="22"/>
          <w:szCs w:val="22"/>
        </w:rPr>
      </w:pPr>
      <w:r w:rsidRPr="00220E80">
        <w:rPr>
          <w:rFonts w:ascii="Tahoma" w:hAnsi="Tahoma" w:cs="Arial"/>
          <w:sz w:val="22"/>
          <w:szCs w:val="22"/>
        </w:rPr>
        <w:t xml:space="preserve">The crisis highlighted the growing investor confidence level in tourism and the enabling efforts of the government to address the lack of competitiveness due to poor room infrastructure. </w:t>
      </w:r>
      <w:r w:rsidR="00C8198A" w:rsidRPr="00220E80">
        <w:rPr>
          <w:rFonts w:ascii="Tahoma" w:hAnsi="Tahoma"/>
          <w:sz w:val="22"/>
          <w:szCs w:val="22"/>
        </w:rPr>
        <w:t xml:space="preserve">From 2005 to 2008, the DOT endorsed PhP 146 billion (bn) worth of cumulative private investments.  Total investments per year reached PhP 36 bn or 1,616 times larger than those generated during the period 2001 to 2004.  </w:t>
      </w:r>
      <w:r w:rsidR="00220E80" w:rsidRPr="00220E80">
        <w:rPr>
          <w:rFonts w:ascii="Tahoma" w:hAnsi="Tahoma"/>
          <w:sz w:val="22"/>
          <w:szCs w:val="22"/>
        </w:rPr>
        <w:t xml:space="preserve">These investments were placed largely in tourism economic zones and the hotel industry. </w:t>
      </w:r>
      <w:r w:rsidRPr="00220E80">
        <w:rPr>
          <w:rFonts w:ascii="Tahoma" w:hAnsi="Tahoma" w:cs="Arial"/>
          <w:sz w:val="22"/>
          <w:szCs w:val="22"/>
        </w:rPr>
        <w:t>There are programs to expand the capacity for conventions by the industry.  The SM group is pursuing to build mini SMX Convention Centers</w:t>
      </w:r>
      <w:r w:rsidR="00220E80">
        <w:rPr>
          <w:rFonts w:ascii="Tahoma" w:hAnsi="Tahoma" w:cs="Arial"/>
          <w:sz w:val="22"/>
          <w:szCs w:val="22"/>
        </w:rPr>
        <w:t>.</w:t>
      </w:r>
      <w:r w:rsidRPr="00220E80">
        <w:rPr>
          <w:rFonts w:ascii="Tahoma" w:hAnsi="Tahoma" w:cs="Arial"/>
          <w:sz w:val="22"/>
          <w:szCs w:val="22"/>
        </w:rPr>
        <w:t xml:space="preserve"> </w:t>
      </w:r>
      <w:r w:rsidR="005066B1">
        <w:rPr>
          <w:rFonts w:ascii="Tahoma" w:hAnsi="Tahoma" w:cs="Arial"/>
          <w:sz w:val="22"/>
          <w:szCs w:val="22"/>
        </w:rPr>
        <w:t xml:space="preserve">At the local destinations, local investments by SMEs continue to thrive amidst the crisis. </w:t>
      </w:r>
    </w:p>
    <w:p w:rsidR="00CD5C3B" w:rsidRPr="00633CEF" w:rsidRDefault="00CD5C3B" w:rsidP="00CD5C3B">
      <w:pPr>
        <w:jc w:val="both"/>
        <w:rPr>
          <w:rFonts w:ascii="Tahoma" w:hAnsi="Tahoma" w:cs="Arial"/>
          <w:sz w:val="22"/>
          <w:szCs w:val="22"/>
        </w:rPr>
      </w:pPr>
    </w:p>
    <w:p w:rsidR="004E1365" w:rsidRPr="00633CEF" w:rsidRDefault="004E1365" w:rsidP="004E1365">
      <w:pPr>
        <w:ind w:firstLine="360"/>
        <w:jc w:val="both"/>
        <w:rPr>
          <w:rFonts w:ascii="Tahoma" w:hAnsi="Tahoma" w:cs="Arial"/>
          <w:b/>
          <w:bCs/>
          <w:sz w:val="22"/>
          <w:szCs w:val="22"/>
        </w:rPr>
      </w:pPr>
      <w:r w:rsidRPr="00633CEF">
        <w:rPr>
          <w:rFonts w:ascii="Tahoma" w:hAnsi="Tahoma" w:cs="Arial"/>
          <w:b/>
          <w:bCs/>
          <w:sz w:val="22"/>
          <w:szCs w:val="22"/>
        </w:rPr>
        <w:t>II.  Policy Responses</w:t>
      </w:r>
      <w:r w:rsidR="00D52232" w:rsidRPr="00633CEF">
        <w:rPr>
          <w:rFonts w:ascii="Tahoma" w:hAnsi="Tahoma" w:cs="Arial"/>
          <w:b/>
          <w:bCs/>
          <w:sz w:val="22"/>
          <w:szCs w:val="22"/>
        </w:rPr>
        <w:t>: Immediate and Actionable Measures</w:t>
      </w:r>
    </w:p>
    <w:p w:rsidR="004E1365" w:rsidRPr="00633CEF" w:rsidRDefault="004E1365" w:rsidP="004E1365">
      <w:pPr>
        <w:ind w:left="360"/>
        <w:jc w:val="both"/>
        <w:rPr>
          <w:rFonts w:ascii="Tahoma" w:hAnsi="Tahoma" w:cs="Arial"/>
          <w:bCs/>
          <w:sz w:val="22"/>
          <w:szCs w:val="22"/>
        </w:rPr>
      </w:pPr>
    </w:p>
    <w:p w:rsidR="002D2F26" w:rsidRPr="00633CEF" w:rsidRDefault="00C26950" w:rsidP="004E1365">
      <w:pPr>
        <w:ind w:left="360"/>
        <w:jc w:val="both"/>
        <w:rPr>
          <w:rFonts w:ascii="Tahoma" w:hAnsi="Tahoma" w:cs="Arial"/>
          <w:bCs/>
          <w:sz w:val="22"/>
          <w:szCs w:val="22"/>
        </w:rPr>
      </w:pPr>
      <w:r w:rsidRPr="00633CEF">
        <w:rPr>
          <w:rFonts w:ascii="Tahoma" w:hAnsi="Tahoma" w:cs="Arial"/>
          <w:bCs/>
          <w:sz w:val="22"/>
          <w:szCs w:val="22"/>
        </w:rPr>
        <w:t xml:space="preserve">The most immediate policy response relates to enabling the survival of the industry in the next two years. </w:t>
      </w:r>
      <w:r w:rsidR="002E333C" w:rsidRPr="00633CEF">
        <w:rPr>
          <w:rFonts w:ascii="Tahoma" w:hAnsi="Tahoma" w:cs="Arial"/>
          <w:bCs/>
          <w:sz w:val="22"/>
          <w:szCs w:val="22"/>
        </w:rPr>
        <w:t xml:space="preserve"> The proposed immediate and actionable measures include:</w:t>
      </w:r>
    </w:p>
    <w:p w:rsidR="00BF15D1" w:rsidRPr="00633CEF" w:rsidRDefault="00BF15D1" w:rsidP="004E1365">
      <w:pPr>
        <w:ind w:left="360"/>
        <w:jc w:val="both"/>
        <w:rPr>
          <w:rFonts w:ascii="Tahoma" w:hAnsi="Tahoma" w:cs="Arial"/>
          <w:bCs/>
          <w:sz w:val="22"/>
          <w:szCs w:val="22"/>
        </w:rPr>
      </w:pPr>
    </w:p>
    <w:p w:rsidR="004E1365" w:rsidRPr="00633CEF" w:rsidRDefault="002E333C" w:rsidP="004E1365">
      <w:pPr>
        <w:ind w:left="360"/>
        <w:jc w:val="both"/>
        <w:rPr>
          <w:rFonts w:ascii="Tahoma" w:hAnsi="Tahoma" w:cs="Arial"/>
          <w:b/>
          <w:sz w:val="22"/>
          <w:szCs w:val="22"/>
        </w:rPr>
      </w:pPr>
      <w:r w:rsidRPr="00633CEF">
        <w:rPr>
          <w:rFonts w:ascii="Tahoma" w:hAnsi="Tahoma" w:cs="Arial"/>
          <w:b/>
          <w:sz w:val="22"/>
          <w:szCs w:val="22"/>
        </w:rPr>
        <w:t>1.</w:t>
      </w:r>
      <w:r w:rsidRPr="00633CEF">
        <w:rPr>
          <w:rFonts w:ascii="Tahoma" w:hAnsi="Tahoma" w:cs="Arial"/>
          <w:b/>
          <w:sz w:val="22"/>
          <w:szCs w:val="22"/>
        </w:rPr>
        <w:tab/>
      </w:r>
      <w:r w:rsidR="00595EDF" w:rsidRPr="00633CEF">
        <w:rPr>
          <w:rFonts w:ascii="Tahoma" w:hAnsi="Tahoma" w:cs="Arial"/>
          <w:b/>
          <w:sz w:val="22"/>
          <w:szCs w:val="22"/>
        </w:rPr>
        <w:t>Stimulat</w:t>
      </w:r>
      <w:r w:rsidR="00C675DB">
        <w:rPr>
          <w:rFonts w:ascii="Tahoma" w:hAnsi="Tahoma" w:cs="Arial"/>
          <w:b/>
          <w:sz w:val="22"/>
          <w:szCs w:val="22"/>
        </w:rPr>
        <w:t>e</w:t>
      </w:r>
      <w:r w:rsidR="00595EDF" w:rsidRPr="00633CEF">
        <w:rPr>
          <w:rFonts w:ascii="Tahoma" w:hAnsi="Tahoma" w:cs="Arial"/>
          <w:b/>
          <w:sz w:val="22"/>
          <w:szCs w:val="22"/>
        </w:rPr>
        <w:t xml:space="preserve"> international demand for Philippine tourism</w:t>
      </w:r>
    </w:p>
    <w:p w:rsidR="004E1365" w:rsidRPr="00633CEF" w:rsidRDefault="004E1365" w:rsidP="004E1365">
      <w:pPr>
        <w:jc w:val="both"/>
        <w:rPr>
          <w:rFonts w:ascii="Tahoma" w:hAnsi="Tahoma" w:cs="Arial"/>
          <w:bCs/>
          <w:sz w:val="22"/>
          <w:szCs w:val="22"/>
        </w:rPr>
      </w:pPr>
      <w:r w:rsidRPr="00633CEF">
        <w:rPr>
          <w:rFonts w:ascii="Tahoma" w:hAnsi="Tahoma" w:cs="Arial"/>
          <w:bCs/>
          <w:sz w:val="22"/>
          <w:szCs w:val="22"/>
        </w:rPr>
        <w:t xml:space="preserve">      </w:t>
      </w:r>
    </w:p>
    <w:p w:rsidR="004E1365" w:rsidRPr="00633CEF" w:rsidRDefault="004E1365" w:rsidP="00595EDF">
      <w:pPr>
        <w:ind w:left="360"/>
        <w:jc w:val="both"/>
        <w:rPr>
          <w:rFonts w:ascii="Tahoma" w:hAnsi="Tahoma" w:cs="Arial"/>
          <w:bCs/>
          <w:sz w:val="22"/>
          <w:szCs w:val="22"/>
        </w:rPr>
      </w:pPr>
      <w:r w:rsidRPr="00633CEF">
        <w:rPr>
          <w:rFonts w:ascii="Tahoma" w:hAnsi="Tahoma" w:cs="Arial"/>
          <w:bCs/>
          <w:sz w:val="22"/>
          <w:szCs w:val="22"/>
        </w:rPr>
        <w:t xml:space="preserve">At the start of the year, the DOT already announced a “stimulus package” aimed at stimulating travel from the </w:t>
      </w:r>
      <w:smartTag w:uri="urn:schemas-microsoft-com:office:smarttags" w:element="country-region">
        <w:smartTag w:uri="urn:schemas-microsoft-com:office:smarttags" w:element="place">
          <w:r w:rsidRPr="00633CEF">
            <w:rPr>
              <w:rFonts w:ascii="Tahoma" w:hAnsi="Tahoma" w:cs="Arial"/>
              <w:bCs/>
              <w:sz w:val="22"/>
              <w:szCs w:val="22"/>
            </w:rPr>
            <w:t>US</w:t>
          </w:r>
        </w:smartTag>
      </w:smartTag>
      <w:r w:rsidRPr="00633CEF">
        <w:rPr>
          <w:rFonts w:ascii="Tahoma" w:hAnsi="Tahoma" w:cs="Arial"/>
          <w:bCs/>
          <w:sz w:val="22"/>
          <w:szCs w:val="22"/>
        </w:rPr>
        <w:t xml:space="preserve">, </w:t>
      </w:r>
      <w:smartTag w:uri="urn:schemas-microsoft-com:office:smarttags" w:element="country-region">
        <w:smartTag w:uri="urn:schemas-microsoft-com:office:smarttags" w:element="place">
          <w:r w:rsidRPr="00633CEF">
            <w:rPr>
              <w:rFonts w:ascii="Tahoma" w:hAnsi="Tahoma" w:cs="Arial"/>
              <w:bCs/>
              <w:sz w:val="22"/>
              <w:szCs w:val="22"/>
            </w:rPr>
            <w:t>Japan</w:t>
          </w:r>
        </w:smartTag>
      </w:smartTag>
      <w:r w:rsidRPr="00633CEF">
        <w:rPr>
          <w:rFonts w:ascii="Tahoma" w:hAnsi="Tahoma" w:cs="Arial"/>
          <w:bCs/>
          <w:sz w:val="22"/>
          <w:szCs w:val="22"/>
        </w:rPr>
        <w:t xml:space="preserve">, </w:t>
      </w:r>
      <w:smartTag w:uri="urn:schemas-microsoft-com:office:smarttags" w:element="country-region">
        <w:smartTag w:uri="urn:schemas-microsoft-com:office:smarttags" w:element="place">
          <w:r w:rsidRPr="00633CEF">
            <w:rPr>
              <w:rFonts w:ascii="Tahoma" w:hAnsi="Tahoma" w:cs="Arial"/>
              <w:bCs/>
              <w:sz w:val="22"/>
              <w:szCs w:val="22"/>
            </w:rPr>
            <w:t>Korea</w:t>
          </w:r>
        </w:smartTag>
      </w:smartTag>
      <w:r w:rsidRPr="00633CEF">
        <w:rPr>
          <w:rFonts w:ascii="Tahoma" w:hAnsi="Tahoma" w:cs="Arial"/>
          <w:bCs/>
          <w:sz w:val="22"/>
          <w:szCs w:val="22"/>
        </w:rPr>
        <w:t xml:space="preserve"> and </w:t>
      </w:r>
      <w:smartTag w:uri="urn:schemas-microsoft-com:office:smarttags" w:element="country-region">
        <w:smartTag w:uri="urn:schemas-microsoft-com:office:smarttags" w:element="place">
          <w:r w:rsidRPr="00633CEF">
            <w:rPr>
              <w:rFonts w:ascii="Tahoma" w:hAnsi="Tahoma" w:cs="Arial"/>
              <w:bCs/>
              <w:sz w:val="22"/>
              <w:szCs w:val="22"/>
            </w:rPr>
            <w:t>China</w:t>
          </w:r>
        </w:smartTag>
      </w:smartTag>
      <w:r w:rsidRPr="00633CEF">
        <w:rPr>
          <w:rFonts w:ascii="Tahoma" w:hAnsi="Tahoma" w:cs="Arial"/>
          <w:bCs/>
          <w:sz w:val="22"/>
          <w:szCs w:val="22"/>
        </w:rPr>
        <w:t xml:space="preserve">.  This stimulus package is more of a re-allocation of marketing funds rather than infusion of new funds in order to support the industry. There is already an ongoing promotional program of US$999 to bring in more residents from the </w:t>
      </w:r>
      <w:smartTag w:uri="urn:schemas-microsoft-com:office:smarttags" w:element="country-region">
        <w:smartTag w:uri="urn:schemas-microsoft-com:office:smarttags" w:element="place">
          <w:r w:rsidRPr="00633CEF">
            <w:rPr>
              <w:rFonts w:ascii="Tahoma" w:hAnsi="Tahoma" w:cs="Arial"/>
              <w:bCs/>
              <w:sz w:val="22"/>
              <w:szCs w:val="22"/>
            </w:rPr>
            <w:t>US</w:t>
          </w:r>
        </w:smartTag>
      </w:smartTag>
      <w:r w:rsidRPr="00633CEF">
        <w:rPr>
          <w:rFonts w:ascii="Tahoma" w:hAnsi="Tahoma" w:cs="Arial"/>
          <w:bCs/>
          <w:sz w:val="22"/>
          <w:szCs w:val="22"/>
        </w:rPr>
        <w:t>, particularly the Balikbayans.</w:t>
      </w:r>
      <w:r w:rsidRPr="00633CEF">
        <w:rPr>
          <w:rStyle w:val="FootnoteReference"/>
          <w:rFonts w:ascii="Tahoma" w:hAnsi="Tahoma" w:cs="Arial"/>
          <w:bCs/>
          <w:sz w:val="22"/>
          <w:szCs w:val="22"/>
        </w:rPr>
        <w:footnoteReference w:id="5"/>
      </w:r>
      <w:r w:rsidRPr="00633CEF">
        <w:rPr>
          <w:rFonts w:ascii="Tahoma" w:hAnsi="Tahoma" w:cs="Arial"/>
          <w:bCs/>
          <w:sz w:val="22"/>
          <w:szCs w:val="22"/>
        </w:rPr>
        <w:t xml:space="preserve">  The promo includes roundtrip international airfare via PAL, two (2) night hotel accommodation in any of the selected deluxe hotels, daily American breakfast and one-way transfer from the airport to hotel or vice versa and extension adventure tours to Palawan, Cebu, Bohol, Boracay and Cagayan de Oro are also offered at affordable costs. Similar stimulus promotional programs need to be launched soon in time for the summer vacation of the foreign markets.  Timing is very crucial given that our neighbors have already come up with detailed stimulus programs, ranging from promotions to discounts and rebates specifically for tourism operators.  </w:t>
      </w:r>
    </w:p>
    <w:p w:rsidR="004E1365" w:rsidRPr="00633CEF" w:rsidRDefault="004E1365" w:rsidP="004E1365">
      <w:pPr>
        <w:ind w:left="720"/>
        <w:jc w:val="both"/>
        <w:rPr>
          <w:rFonts w:ascii="Tahoma" w:hAnsi="Tahoma" w:cs="Arial"/>
          <w:bCs/>
          <w:sz w:val="22"/>
          <w:szCs w:val="22"/>
        </w:rPr>
      </w:pPr>
    </w:p>
    <w:p w:rsidR="004E1365" w:rsidRPr="00633CEF" w:rsidRDefault="004E1365" w:rsidP="00595EDF">
      <w:pPr>
        <w:ind w:left="360"/>
        <w:jc w:val="both"/>
        <w:rPr>
          <w:rFonts w:ascii="Tahoma" w:hAnsi="Tahoma" w:cs="Arial"/>
          <w:bCs/>
          <w:sz w:val="22"/>
          <w:szCs w:val="22"/>
        </w:rPr>
      </w:pPr>
      <w:r w:rsidRPr="00633CEF">
        <w:rPr>
          <w:rFonts w:ascii="Tahoma" w:hAnsi="Tahoma" w:cs="Arial"/>
          <w:bCs/>
          <w:sz w:val="22"/>
          <w:szCs w:val="22"/>
        </w:rPr>
        <w:t xml:space="preserve">There is scope for stronger partnership with the private sector and the local government units.  They can support the central DOT’s initiatives by offering competitive or cheaper rates for their products and services (in the case of the private sector).  In the case of the local government units, they can help mobilize their local communities to make the tourism experience truly worthwhile (in the case of the local government units) through more efficient transport management systems, clean and safe (and secure) tourist environment – ports, airports, bus terminals, tourist sites as </w:t>
      </w:r>
      <w:r w:rsidRPr="00633CEF">
        <w:rPr>
          <w:rFonts w:ascii="Tahoma" w:hAnsi="Tahoma" w:cs="Arial"/>
          <w:bCs/>
          <w:sz w:val="22"/>
          <w:szCs w:val="22"/>
        </w:rPr>
        <w:lastRenderedPageBreak/>
        <w:t xml:space="preserve">examples. Private stakeholders in some destinations have started to tap new markets (e.g. </w:t>
      </w:r>
      <w:smartTag w:uri="urn:schemas-microsoft-com:office:smarttags" w:element="country-region">
        <w:smartTag w:uri="urn:schemas-microsoft-com:office:smarttags" w:element="place">
          <w:r w:rsidRPr="00633CEF">
            <w:rPr>
              <w:rFonts w:ascii="Tahoma" w:hAnsi="Tahoma" w:cs="Arial"/>
              <w:bCs/>
              <w:sz w:val="22"/>
              <w:szCs w:val="22"/>
            </w:rPr>
            <w:t>India</w:t>
          </w:r>
        </w:smartTag>
      </w:smartTag>
      <w:r w:rsidRPr="00633CEF">
        <w:rPr>
          <w:rFonts w:ascii="Tahoma" w:hAnsi="Tahoma" w:cs="Arial"/>
          <w:bCs/>
          <w:sz w:val="22"/>
          <w:szCs w:val="22"/>
        </w:rPr>
        <w:t xml:space="preserve"> and </w:t>
      </w:r>
      <w:smartTag w:uri="urn:schemas-microsoft-com:office:smarttags" w:element="place">
        <w:r w:rsidRPr="00633CEF">
          <w:rPr>
            <w:rFonts w:ascii="Tahoma" w:hAnsi="Tahoma" w:cs="Arial"/>
            <w:bCs/>
            <w:sz w:val="22"/>
            <w:szCs w:val="22"/>
          </w:rPr>
          <w:t>Middle East</w:t>
        </w:r>
      </w:smartTag>
      <w:r w:rsidRPr="00633CEF">
        <w:rPr>
          <w:rFonts w:ascii="Tahoma" w:hAnsi="Tahoma" w:cs="Arial"/>
          <w:bCs/>
          <w:sz w:val="22"/>
          <w:szCs w:val="22"/>
        </w:rPr>
        <w:t xml:space="preserve">) as part of their diversification program (as in the case of </w:t>
      </w:r>
      <w:smartTag w:uri="urn:schemas-microsoft-com:office:smarttags" w:element="place">
        <w:r w:rsidRPr="00633CEF">
          <w:rPr>
            <w:rFonts w:ascii="Tahoma" w:hAnsi="Tahoma" w:cs="Arial"/>
            <w:bCs/>
            <w:sz w:val="22"/>
            <w:szCs w:val="22"/>
          </w:rPr>
          <w:t>Cebu</w:t>
        </w:r>
      </w:smartTag>
      <w:r w:rsidRPr="00633CEF">
        <w:rPr>
          <w:rFonts w:ascii="Tahoma" w:hAnsi="Tahoma" w:cs="Arial"/>
          <w:bCs/>
          <w:sz w:val="22"/>
          <w:szCs w:val="22"/>
        </w:rPr>
        <w:t xml:space="preserve">).  The local government units can help expand this program by supporting the initiatives of the private sector through the measures mentioned earlier. For these new markets, their good experience in the </w:t>
      </w:r>
      <w:smartTag w:uri="urn:schemas-microsoft-com:office:smarttags" w:element="country-region">
        <w:smartTag w:uri="urn:schemas-microsoft-com:office:smarttags" w:element="place">
          <w:r w:rsidRPr="00633CEF">
            <w:rPr>
              <w:rFonts w:ascii="Tahoma" w:hAnsi="Tahoma" w:cs="Arial"/>
              <w:bCs/>
              <w:sz w:val="22"/>
              <w:szCs w:val="22"/>
            </w:rPr>
            <w:t>Philippines</w:t>
          </w:r>
        </w:smartTag>
      </w:smartTag>
      <w:r w:rsidRPr="00633CEF">
        <w:rPr>
          <w:rFonts w:ascii="Tahoma" w:hAnsi="Tahoma" w:cs="Arial"/>
          <w:bCs/>
          <w:sz w:val="22"/>
          <w:szCs w:val="22"/>
        </w:rPr>
        <w:t xml:space="preserve"> will have a positive effect on the destination through word of mouth advertising.</w:t>
      </w:r>
    </w:p>
    <w:p w:rsidR="004E1365" w:rsidRPr="00633CEF" w:rsidRDefault="004E1365" w:rsidP="004E1365">
      <w:pPr>
        <w:ind w:left="720"/>
        <w:jc w:val="both"/>
        <w:rPr>
          <w:rFonts w:ascii="Tahoma" w:hAnsi="Tahoma" w:cs="Arial"/>
          <w:bCs/>
          <w:sz w:val="22"/>
          <w:szCs w:val="22"/>
        </w:rPr>
      </w:pPr>
    </w:p>
    <w:p w:rsidR="00847D7B" w:rsidRPr="00633CEF" w:rsidRDefault="004E1365" w:rsidP="00595EDF">
      <w:pPr>
        <w:ind w:left="360"/>
        <w:jc w:val="both"/>
        <w:rPr>
          <w:rFonts w:ascii="Tahoma" w:hAnsi="Tahoma" w:cs="Arial"/>
          <w:bCs/>
          <w:sz w:val="22"/>
          <w:szCs w:val="22"/>
        </w:rPr>
      </w:pPr>
      <w:r w:rsidRPr="00633CEF">
        <w:rPr>
          <w:rFonts w:ascii="Tahoma" w:hAnsi="Tahoma" w:cs="Arial"/>
          <w:bCs/>
          <w:sz w:val="22"/>
          <w:szCs w:val="22"/>
        </w:rPr>
        <w:t xml:space="preserve">Such promotional activities are needed given that the country is competing with its neighbors that have poured in new resources to address the impact of the crisis.  </w:t>
      </w:r>
    </w:p>
    <w:p w:rsidR="00847D7B" w:rsidRPr="00633CEF" w:rsidRDefault="00847D7B" w:rsidP="00595EDF">
      <w:pPr>
        <w:ind w:left="360"/>
        <w:jc w:val="both"/>
        <w:rPr>
          <w:rFonts w:ascii="Tahoma" w:hAnsi="Tahoma" w:cs="Arial"/>
          <w:bCs/>
          <w:sz w:val="22"/>
          <w:szCs w:val="22"/>
        </w:rPr>
      </w:pPr>
    </w:p>
    <w:p w:rsidR="00847D7B" w:rsidRPr="00633CEF" w:rsidRDefault="004E1365" w:rsidP="00847D7B">
      <w:pPr>
        <w:numPr>
          <w:ilvl w:val="0"/>
          <w:numId w:val="18"/>
        </w:numPr>
        <w:jc w:val="both"/>
        <w:rPr>
          <w:rFonts w:ascii="Tahoma" w:hAnsi="Tahoma" w:cs="Arial"/>
          <w:bCs/>
          <w:sz w:val="22"/>
          <w:szCs w:val="22"/>
        </w:rPr>
      </w:pPr>
      <w:smartTag w:uri="urn:schemas-microsoft-com:office:smarttags" w:element="country-region">
        <w:smartTag w:uri="urn:schemas-microsoft-com:office:smarttags" w:element="place">
          <w:r w:rsidRPr="00633CEF">
            <w:rPr>
              <w:rFonts w:ascii="Tahoma" w:hAnsi="Tahoma" w:cs="Arial"/>
              <w:bCs/>
              <w:sz w:val="22"/>
              <w:szCs w:val="22"/>
            </w:rPr>
            <w:t>Vietnam</w:t>
          </w:r>
        </w:smartTag>
      </w:smartTag>
      <w:r w:rsidRPr="00633CEF">
        <w:rPr>
          <w:rFonts w:ascii="Tahoma" w:hAnsi="Tahoma" w:cs="Arial"/>
          <w:bCs/>
          <w:sz w:val="22"/>
          <w:szCs w:val="22"/>
        </w:rPr>
        <w:t xml:space="preserve"> launched its “Impressive Vietnam”campaign by offering 30-50 percent discounts on tours (by Vietnam Airlines) particularly to central and northern </w:t>
      </w:r>
      <w:smartTag w:uri="urn:schemas-microsoft-com:office:smarttags" w:element="country-region">
        <w:smartTag w:uri="urn:schemas-microsoft-com:office:smarttags" w:element="place">
          <w:r w:rsidRPr="00633CEF">
            <w:rPr>
              <w:rFonts w:ascii="Tahoma" w:hAnsi="Tahoma" w:cs="Arial"/>
              <w:bCs/>
              <w:sz w:val="22"/>
              <w:szCs w:val="22"/>
            </w:rPr>
            <w:t>Vietnam</w:t>
          </w:r>
        </w:smartTag>
      </w:smartTag>
      <w:r w:rsidRPr="00633CEF">
        <w:rPr>
          <w:rFonts w:ascii="Tahoma" w:hAnsi="Tahoma" w:cs="Arial"/>
          <w:bCs/>
          <w:sz w:val="22"/>
          <w:szCs w:val="22"/>
        </w:rPr>
        <w:t xml:space="preserve">. </w:t>
      </w:r>
      <w:r w:rsidRPr="00633CEF">
        <w:rPr>
          <w:rFonts w:ascii="Tahoma" w:hAnsi="Tahoma" w:cs="Arial"/>
          <w:sz w:val="22"/>
          <w:szCs w:val="22"/>
        </w:rPr>
        <w:t>Under the programme, there will be a 30-50 percent discount for hotel rooms as well as airfares for both international and domestic flights.</w:t>
      </w:r>
      <w:r w:rsidR="00847D7B" w:rsidRPr="00633CEF">
        <w:rPr>
          <w:rFonts w:ascii="Tahoma" w:hAnsi="Tahoma" w:cs="Arial"/>
          <w:sz w:val="22"/>
          <w:szCs w:val="22"/>
        </w:rPr>
        <w:t xml:space="preserve"> </w:t>
      </w:r>
      <w:r w:rsidRPr="00633CEF">
        <w:rPr>
          <w:rFonts w:ascii="Tahoma" w:hAnsi="Tahoma" w:cs="Arial"/>
          <w:bCs/>
          <w:sz w:val="22"/>
          <w:szCs w:val="22"/>
        </w:rPr>
        <w:t xml:space="preserve">Target markets by hotels specializing in conventions include </w:t>
      </w:r>
      <w:smartTag w:uri="urn:schemas-microsoft-com:office:smarttags" w:element="country-region">
        <w:smartTag w:uri="urn:schemas-microsoft-com:office:smarttags" w:element="place">
          <w:r w:rsidRPr="00633CEF">
            <w:rPr>
              <w:rFonts w:ascii="Tahoma" w:hAnsi="Tahoma" w:cs="Arial"/>
              <w:bCs/>
              <w:sz w:val="22"/>
              <w:szCs w:val="22"/>
            </w:rPr>
            <w:t>Australia</w:t>
          </w:r>
        </w:smartTag>
      </w:smartTag>
      <w:r w:rsidRPr="00633CEF">
        <w:rPr>
          <w:rFonts w:ascii="Tahoma" w:hAnsi="Tahoma" w:cs="Arial"/>
          <w:bCs/>
          <w:sz w:val="22"/>
          <w:szCs w:val="22"/>
        </w:rPr>
        <w:t xml:space="preserve">, </w:t>
      </w:r>
      <w:smartTag w:uri="urn:schemas-microsoft-com:office:smarttags" w:element="country-region">
        <w:smartTag w:uri="urn:schemas-microsoft-com:office:smarttags" w:element="place">
          <w:r w:rsidRPr="00633CEF">
            <w:rPr>
              <w:rFonts w:ascii="Tahoma" w:hAnsi="Tahoma" w:cs="Arial"/>
              <w:bCs/>
              <w:sz w:val="22"/>
              <w:szCs w:val="22"/>
            </w:rPr>
            <w:t>Korea</w:t>
          </w:r>
        </w:smartTag>
      </w:smartTag>
      <w:r w:rsidRPr="00633CEF">
        <w:rPr>
          <w:rFonts w:ascii="Tahoma" w:hAnsi="Tahoma" w:cs="Arial"/>
          <w:bCs/>
          <w:sz w:val="22"/>
          <w:szCs w:val="22"/>
        </w:rPr>
        <w:t xml:space="preserve">, </w:t>
      </w:r>
      <w:smartTag w:uri="urn:schemas-microsoft-com:office:smarttags" w:element="country-region">
        <w:smartTag w:uri="urn:schemas-microsoft-com:office:smarttags" w:element="place">
          <w:r w:rsidRPr="00633CEF">
            <w:rPr>
              <w:rFonts w:ascii="Tahoma" w:hAnsi="Tahoma" w:cs="Arial"/>
              <w:bCs/>
              <w:sz w:val="22"/>
              <w:szCs w:val="22"/>
            </w:rPr>
            <w:t>America</w:t>
          </w:r>
        </w:smartTag>
      </w:smartTag>
      <w:r w:rsidRPr="00633CEF">
        <w:rPr>
          <w:rFonts w:ascii="Tahoma" w:hAnsi="Tahoma" w:cs="Arial"/>
          <w:bCs/>
          <w:sz w:val="22"/>
          <w:szCs w:val="22"/>
        </w:rPr>
        <w:t xml:space="preserve">, and </w:t>
      </w:r>
      <w:smartTag w:uri="urn:schemas-microsoft-com:office:smarttags" w:element="place">
        <w:r w:rsidRPr="00633CEF">
          <w:rPr>
            <w:rFonts w:ascii="Tahoma" w:hAnsi="Tahoma" w:cs="Arial"/>
            <w:bCs/>
            <w:sz w:val="22"/>
            <w:szCs w:val="22"/>
          </w:rPr>
          <w:t>Europe</w:t>
        </w:r>
      </w:smartTag>
      <w:r w:rsidRPr="00633CEF">
        <w:rPr>
          <w:rFonts w:ascii="Tahoma" w:hAnsi="Tahoma" w:cs="Arial"/>
          <w:bCs/>
          <w:sz w:val="22"/>
          <w:szCs w:val="22"/>
        </w:rPr>
        <w:t xml:space="preserve">.  </w:t>
      </w:r>
    </w:p>
    <w:p w:rsidR="00847D7B" w:rsidRPr="00633CEF" w:rsidRDefault="004E1365" w:rsidP="00847D7B">
      <w:pPr>
        <w:numPr>
          <w:ilvl w:val="0"/>
          <w:numId w:val="18"/>
        </w:numPr>
        <w:jc w:val="both"/>
        <w:rPr>
          <w:rFonts w:ascii="Tahoma" w:hAnsi="Tahoma" w:cs="Arial"/>
          <w:bCs/>
          <w:sz w:val="22"/>
          <w:szCs w:val="22"/>
        </w:rPr>
      </w:pPr>
      <w:smartTag w:uri="urn:schemas-microsoft-com:office:smarttags" w:element="country-region">
        <w:smartTag w:uri="urn:schemas-microsoft-com:office:smarttags" w:element="place">
          <w:r w:rsidRPr="00633CEF">
            <w:rPr>
              <w:rFonts w:ascii="Tahoma" w:hAnsi="Tahoma" w:cs="Arial"/>
              <w:bCs/>
              <w:sz w:val="22"/>
              <w:szCs w:val="22"/>
            </w:rPr>
            <w:t>Cambodia</w:t>
          </w:r>
        </w:smartTag>
      </w:smartTag>
      <w:r w:rsidRPr="00633CEF">
        <w:rPr>
          <w:rFonts w:ascii="Tahoma" w:hAnsi="Tahoma" w:cs="Arial"/>
          <w:bCs/>
          <w:sz w:val="22"/>
          <w:szCs w:val="22"/>
        </w:rPr>
        <w:t xml:space="preserve"> has removed the US$20 visa fee for tourists</w:t>
      </w:r>
      <w:r w:rsidR="00847D7B" w:rsidRPr="00633CEF">
        <w:rPr>
          <w:rFonts w:ascii="Tahoma" w:hAnsi="Tahoma" w:cs="Arial"/>
          <w:bCs/>
          <w:sz w:val="22"/>
          <w:szCs w:val="22"/>
        </w:rPr>
        <w:t xml:space="preserve"> and is working on improving connectivity from </w:t>
      </w:r>
      <w:smartTag w:uri="urn:schemas-microsoft-com:office:smarttags" w:element="country-region">
        <w:smartTag w:uri="urn:schemas-microsoft-com:office:smarttags" w:element="place">
          <w:r w:rsidR="00847D7B" w:rsidRPr="00633CEF">
            <w:rPr>
              <w:rFonts w:ascii="Tahoma" w:hAnsi="Tahoma" w:cs="Arial"/>
              <w:bCs/>
              <w:sz w:val="22"/>
              <w:szCs w:val="22"/>
            </w:rPr>
            <w:t>Thailand</w:t>
          </w:r>
        </w:smartTag>
      </w:smartTag>
      <w:r w:rsidRPr="00633CEF">
        <w:rPr>
          <w:rFonts w:ascii="Tahoma" w:hAnsi="Tahoma" w:cs="Arial"/>
          <w:bCs/>
          <w:sz w:val="22"/>
          <w:szCs w:val="22"/>
        </w:rPr>
        <w:t>.</w:t>
      </w:r>
    </w:p>
    <w:p w:rsidR="00847D7B" w:rsidRPr="00633CEF" w:rsidRDefault="004E1365" w:rsidP="00847D7B">
      <w:pPr>
        <w:numPr>
          <w:ilvl w:val="0"/>
          <w:numId w:val="18"/>
        </w:numPr>
        <w:jc w:val="both"/>
        <w:rPr>
          <w:rFonts w:ascii="Tahoma" w:hAnsi="Tahoma" w:cs="Arial"/>
          <w:bCs/>
          <w:sz w:val="22"/>
          <w:szCs w:val="22"/>
        </w:rPr>
      </w:pPr>
      <w:r w:rsidRPr="00633CEF">
        <w:rPr>
          <w:rFonts w:ascii="Tahoma" w:hAnsi="Tahoma" w:cs="Arial"/>
          <w:bCs/>
          <w:sz w:val="22"/>
          <w:szCs w:val="22"/>
        </w:rPr>
        <w:t xml:space="preserve">Taiwan unveiled a plan to spend almost 900 million US dollars on a bid to attract more tourists to the island over the next four years; The draft plan allows for the government to pour 30 billion Taiwan dollars (887.5 million US) into various projects including updating popular sightseeing spots, promotion at home and abroad, renovating hotels and training tourism personnel. </w:t>
      </w:r>
    </w:p>
    <w:p w:rsidR="00847D7B" w:rsidRPr="00633CEF" w:rsidRDefault="004E1365" w:rsidP="00847D7B">
      <w:pPr>
        <w:numPr>
          <w:ilvl w:val="0"/>
          <w:numId w:val="18"/>
        </w:numPr>
        <w:jc w:val="both"/>
        <w:rPr>
          <w:rFonts w:ascii="Tahoma" w:hAnsi="Tahoma" w:cs="Arial"/>
          <w:bCs/>
          <w:sz w:val="22"/>
          <w:szCs w:val="22"/>
        </w:rPr>
      </w:pPr>
      <w:r w:rsidRPr="00633CEF">
        <w:rPr>
          <w:rFonts w:ascii="Tahoma" w:hAnsi="Tahoma" w:cs="Arial"/>
          <w:bCs/>
          <w:sz w:val="22"/>
          <w:szCs w:val="22"/>
        </w:rPr>
        <w:t>The Malaysian Tourism Ministry</w:t>
      </w:r>
      <w:r w:rsidR="002F3F4B">
        <w:rPr>
          <w:rFonts w:ascii="Tahoma" w:hAnsi="Tahoma" w:cs="Arial"/>
          <w:bCs/>
          <w:sz w:val="22"/>
          <w:szCs w:val="22"/>
        </w:rPr>
        <w:t xml:space="preserve"> a</w:t>
      </w:r>
      <w:r w:rsidRPr="00633CEF">
        <w:rPr>
          <w:rFonts w:ascii="Tahoma" w:hAnsi="Tahoma" w:cs="Arial"/>
          <w:bCs/>
          <w:sz w:val="22"/>
          <w:szCs w:val="22"/>
        </w:rPr>
        <w:t xml:space="preserve">located RM 200 million to be spent on infrastructural upgrade in tourist areas, diversifying tourism products, organising more international conferences and exhibitions in Malaysia and improving the homestay programme.  It has also partnered with its counterpart in </w:t>
      </w:r>
      <w:smartTag w:uri="urn:schemas-microsoft-com:office:smarttags" w:element="country-region">
        <w:smartTag w:uri="urn:schemas-microsoft-com:office:smarttags" w:element="place">
          <w:r w:rsidRPr="00633CEF">
            <w:rPr>
              <w:rFonts w:ascii="Tahoma" w:hAnsi="Tahoma" w:cs="Arial"/>
              <w:bCs/>
              <w:sz w:val="22"/>
              <w:szCs w:val="22"/>
            </w:rPr>
            <w:t>Indonesia</w:t>
          </w:r>
        </w:smartTag>
      </w:smartTag>
      <w:r w:rsidRPr="00633CEF">
        <w:rPr>
          <w:rFonts w:ascii="Tahoma" w:hAnsi="Tahoma" w:cs="Arial"/>
          <w:bCs/>
          <w:sz w:val="22"/>
          <w:szCs w:val="22"/>
        </w:rPr>
        <w:t xml:space="preserve"> to jointly promote </w:t>
      </w:r>
      <w:smartTag w:uri="urn:schemas-microsoft-com:office:smarttags" w:element="country-region">
        <w:smartTag w:uri="urn:schemas-microsoft-com:office:smarttags" w:element="place">
          <w:r w:rsidRPr="00633CEF">
            <w:rPr>
              <w:rFonts w:ascii="Tahoma" w:hAnsi="Tahoma" w:cs="Arial"/>
              <w:bCs/>
              <w:sz w:val="22"/>
              <w:szCs w:val="22"/>
            </w:rPr>
            <w:t>Malaysia</w:t>
          </w:r>
        </w:smartTag>
      </w:smartTag>
      <w:r w:rsidRPr="00633CEF">
        <w:rPr>
          <w:rFonts w:ascii="Tahoma" w:hAnsi="Tahoma" w:cs="Arial"/>
          <w:bCs/>
          <w:sz w:val="22"/>
          <w:szCs w:val="22"/>
        </w:rPr>
        <w:t xml:space="preserve"> and the </w:t>
      </w:r>
      <w:smartTag w:uri="urn:schemas-microsoft-com:office:smarttags" w:element="country-region">
        <w:smartTag w:uri="urn:schemas-microsoft-com:office:smarttags" w:element="place">
          <w:r w:rsidRPr="00633CEF">
            <w:rPr>
              <w:rFonts w:ascii="Tahoma" w:hAnsi="Tahoma" w:cs="Arial"/>
              <w:bCs/>
              <w:sz w:val="22"/>
              <w:szCs w:val="22"/>
            </w:rPr>
            <w:t>Indonesia</w:t>
          </w:r>
        </w:smartTag>
      </w:smartTag>
      <w:r w:rsidRPr="00633CEF">
        <w:rPr>
          <w:rFonts w:ascii="Tahoma" w:hAnsi="Tahoma" w:cs="Arial"/>
          <w:bCs/>
          <w:sz w:val="22"/>
          <w:szCs w:val="22"/>
        </w:rPr>
        <w:t xml:space="preserve"> as twin destinations.  </w:t>
      </w:r>
    </w:p>
    <w:p w:rsidR="004E1365" w:rsidRPr="00633CEF" w:rsidRDefault="004E1365" w:rsidP="00847D7B">
      <w:pPr>
        <w:numPr>
          <w:ilvl w:val="0"/>
          <w:numId w:val="18"/>
        </w:numPr>
        <w:jc w:val="both"/>
        <w:rPr>
          <w:rFonts w:ascii="Tahoma" w:hAnsi="Tahoma" w:cs="Arial"/>
          <w:bCs/>
          <w:sz w:val="22"/>
          <w:szCs w:val="22"/>
        </w:rPr>
      </w:pPr>
      <w:r w:rsidRPr="00633CEF">
        <w:rPr>
          <w:rFonts w:ascii="Tahoma" w:hAnsi="Tahoma" w:cs="Arial"/>
          <w:bCs/>
          <w:sz w:val="22"/>
          <w:szCs w:val="22"/>
        </w:rPr>
        <w:t xml:space="preserve">In </w:t>
      </w:r>
      <w:smartTag w:uri="urn:schemas-microsoft-com:office:smarttags" w:element="country-region">
        <w:smartTag w:uri="urn:schemas-microsoft-com:office:smarttags" w:element="place">
          <w:r w:rsidRPr="00633CEF">
            <w:rPr>
              <w:rFonts w:ascii="Tahoma" w:hAnsi="Tahoma" w:cs="Arial"/>
              <w:bCs/>
              <w:sz w:val="22"/>
              <w:szCs w:val="22"/>
            </w:rPr>
            <w:t>Thailand</w:t>
          </w:r>
        </w:smartTag>
      </w:smartTag>
      <w:r w:rsidRPr="00633CEF">
        <w:rPr>
          <w:rFonts w:ascii="Tahoma" w:hAnsi="Tahoma" w:cs="Arial"/>
          <w:bCs/>
          <w:sz w:val="22"/>
          <w:szCs w:val="22"/>
        </w:rPr>
        <w:t>, the government has granted visa exemptions for a period of three months to tourists and waived visa fees for all tourists.</w:t>
      </w:r>
    </w:p>
    <w:p w:rsidR="004E1365" w:rsidRPr="00633CEF" w:rsidRDefault="004E1365" w:rsidP="004E1365">
      <w:pPr>
        <w:ind w:left="720"/>
        <w:jc w:val="both"/>
        <w:rPr>
          <w:rFonts w:ascii="Tahoma" w:hAnsi="Tahoma" w:cs="Arial"/>
          <w:bCs/>
          <w:sz w:val="22"/>
          <w:szCs w:val="22"/>
        </w:rPr>
      </w:pPr>
    </w:p>
    <w:p w:rsidR="004E1365" w:rsidRPr="00633CEF" w:rsidRDefault="004E1365" w:rsidP="00595EDF">
      <w:pPr>
        <w:ind w:left="360"/>
        <w:jc w:val="both"/>
        <w:rPr>
          <w:rFonts w:ascii="Tahoma" w:hAnsi="Tahoma" w:cs="Arial"/>
          <w:bCs/>
          <w:sz w:val="22"/>
          <w:szCs w:val="22"/>
        </w:rPr>
      </w:pPr>
      <w:r w:rsidRPr="00633CEF">
        <w:rPr>
          <w:rFonts w:ascii="Tahoma" w:hAnsi="Tahoma" w:cs="Arial"/>
          <w:bCs/>
          <w:sz w:val="22"/>
          <w:szCs w:val="22"/>
        </w:rPr>
        <w:t xml:space="preserve">According to the PCVC, tour operators and hotel/resort establishments would want to see more buyers brought into the country in the form of familiarization trips to be able to introduce new packages and conduct business appointments.  Both DOT and PCVC has plans to increase these multinationals this year by expanding the Travel Mart Exchange (TRAMEX) in </w:t>
      </w:r>
      <w:smartTag w:uri="urn:schemas-microsoft-com:office:smarttags" w:element="place">
        <w:r w:rsidRPr="00633CEF">
          <w:rPr>
            <w:rFonts w:ascii="Tahoma" w:hAnsi="Tahoma" w:cs="Arial"/>
            <w:bCs/>
            <w:sz w:val="22"/>
            <w:szCs w:val="22"/>
          </w:rPr>
          <w:t>Cebu</w:t>
        </w:r>
      </w:smartTag>
      <w:r w:rsidRPr="00633CEF">
        <w:rPr>
          <w:rFonts w:ascii="Tahoma" w:hAnsi="Tahoma" w:cs="Arial"/>
          <w:bCs/>
          <w:sz w:val="22"/>
          <w:szCs w:val="22"/>
        </w:rPr>
        <w:t xml:space="preserve"> this July and the Philippine Travel Exchange (PHITEX) in </w:t>
      </w:r>
      <w:smartTag w:uri="urn:schemas-microsoft-com:office:smarttags" w:element="City">
        <w:smartTag w:uri="urn:schemas-microsoft-com:office:smarttags" w:element="place">
          <w:r w:rsidRPr="00633CEF">
            <w:rPr>
              <w:rFonts w:ascii="Tahoma" w:hAnsi="Tahoma" w:cs="Arial"/>
              <w:bCs/>
              <w:sz w:val="22"/>
              <w:szCs w:val="22"/>
            </w:rPr>
            <w:t>Manila</w:t>
          </w:r>
        </w:smartTag>
      </w:smartTag>
      <w:r w:rsidRPr="00633CEF">
        <w:rPr>
          <w:rFonts w:ascii="Tahoma" w:hAnsi="Tahoma" w:cs="Arial"/>
          <w:bCs/>
          <w:sz w:val="22"/>
          <w:szCs w:val="22"/>
        </w:rPr>
        <w:t xml:space="preserve"> this September.  Likewise, a MICE Buyers Forum during the latter part of the year is being planned.</w:t>
      </w:r>
    </w:p>
    <w:p w:rsidR="004E1365" w:rsidRPr="00633CEF" w:rsidRDefault="004E1365" w:rsidP="004E1365">
      <w:pPr>
        <w:ind w:left="720"/>
        <w:jc w:val="both"/>
        <w:rPr>
          <w:rFonts w:ascii="Tahoma" w:hAnsi="Tahoma" w:cs="Arial"/>
          <w:bCs/>
          <w:sz w:val="22"/>
          <w:szCs w:val="22"/>
        </w:rPr>
      </w:pPr>
    </w:p>
    <w:p w:rsidR="004E1365" w:rsidRPr="00633CEF" w:rsidRDefault="004E1365" w:rsidP="00595EDF">
      <w:pPr>
        <w:ind w:left="360"/>
        <w:jc w:val="both"/>
        <w:rPr>
          <w:rFonts w:ascii="Tahoma" w:hAnsi="Tahoma" w:cs="Arial"/>
          <w:sz w:val="22"/>
          <w:szCs w:val="22"/>
        </w:rPr>
      </w:pPr>
      <w:r w:rsidRPr="00633CEF">
        <w:rPr>
          <w:rFonts w:ascii="Tahoma" w:hAnsi="Tahoma" w:cs="Arial"/>
          <w:bCs/>
          <w:sz w:val="22"/>
          <w:szCs w:val="22"/>
        </w:rPr>
        <w:t xml:space="preserve">The tourism industry is vulnerable to the crisis in so far as the contraction in the volume of arrivals from traditional and mass-based markets, particularly from </w:t>
      </w:r>
      <w:smartTag w:uri="urn:schemas-microsoft-com:office:smarttags" w:element="place">
        <w:r w:rsidRPr="00633CEF">
          <w:rPr>
            <w:rFonts w:ascii="Tahoma" w:hAnsi="Tahoma" w:cs="Arial"/>
            <w:bCs/>
            <w:sz w:val="22"/>
            <w:szCs w:val="22"/>
          </w:rPr>
          <w:t>Northeast Asia</w:t>
        </w:r>
      </w:smartTag>
      <w:r w:rsidRPr="00633CEF">
        <w:rPr>
          <w:rFonts w:ascii="Tahoma" w:hAnsi="Tahoma" w:cs="Arial"/>
          <w:bCs/>
          <w:sz w:val="22"/>
          <w:szCs w:val="22"/>
        </w:rPr>
        <w:t xml:space="preserve">, will continue throughout the year without significant increases in new and emerging markets.  Thus, diversification is a key element of survival and eventually sustainability.  The volume to be generated from these other markets may not be sufficient to compensate for the expected declines in the traditional markets.  Nevertheless, the additional arrivals will still provide income opportunities to the industry and enable the providers to survive the crisis period.  Based on the 2008 arrivals data from the DOT, the fastest growing markets include: </w:t>
      </w:r>
      <w:smartTag w:uri="urn:schemas-microsoft-com:office:smarttags" w:element="country-region">
        <w:smartTag w:uri="urn:schemas-microsoft-com:office:smarttags" w:element="place">
          <w:r w:rsidRPr="00633CEF">
            <w:rPr>
              <w:rFonts w:ascii="Tahoma" w:hAnsi="Tahoma" w:cs="Arial"/>
              <w:sz w:val="22"/>
              <w:szCs w:val="22"/>
            </w:rPr>
            <w:t>Russian Federation</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United Arab Emirates</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Vietnam</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France</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Norway</w:t>
          </w:r>
        </w:smartTag>
      </w:smartTag>
      <w:r w:rsidRPr="00633CEF">
        <w:rPr>
          <w:rFonts w:ascii="Tahoma" w:hAnsi="Tahoma" w:cs="Arial"/>
          <w:sz w:val="22"/>
          <w:szCs w:val="22"/>
        </w:rPr>
        <w:t>,</w:t>
      </w:r>
      <w:r w:rsidR="00595EDF"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India</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Canada</w:t>
          </w:r>
        </w:smartTag>
      </w:smartTag>
      <w:r w:rsidRPr="00633CEF">
        <w:rPr>
          <w:rFonts w:ascii="Tahoma" w:hAnsi="Tahoma" w:cs="Arial"/>
          <w:sz w:val="22"/>
          <w:szCs w:val="22"/>
        </w:rPr>
        <w:t xml:space="preserve">, </w:t>
      </w:r>
      <w:smartTag w:uri="urn:schemas-microsoft-com:office:smarttags" w:element="country-region">
        <w:smartTag w:uri="urn:schemas-microsoft-com:office:smarttags" w:element="place">
          <w:r w:rsidRPr="00633CEF">
            <w:rPr>
              <w:rFonts w:ascii="Tahoma" w:hAnsi="Tahoma" w:cs="Arial"/>
              <w:sz w:val="22"/>
              <w:szCs w:val="22"/>
            </w:rPr>
            <w:t>Spain</w:t>
          </w:r>
        </w:smartTag>
      </w:smartTag>
      <w:r w:rsidRPr="00633CEF">
        <w:rPr>
          <w:rFonts w:ascii="Tahoma" w:hAnsi="Tahoma" w:cs="Arial"/>
          <w:sz w:val="22"/>
          <w:szCs w:val="22"/>
        </w:rPr>
        <w:t xml:space="preserve"> and </w:t>
      </w:r>
      <w:smartTag w:uri="urn:schemas-microsoft-com:office:smarttags" w:element="country-region">
        <w:smartTag w:uri="urn:schemas-microsoft-com:office:smarttags" w:element="place">
          <w:r w:rsidRPr="00633CEF">
            <w:rPr>
              <w:rFonts w:ascii="Tahoma" w:hAnsi="Tahoma" w:cs="Arial"/>
              <w:sz w:val="22"/>
              <w:szCs w:val="22"/>
            </w:rPr>
            <w:t>United Kingdom</w:t>
          </w:r>
        </w:smartTag>
      </w:smartTag>
      <w:r w:rsidRPr="00633CEF">
        <w:rPr>
          <w:rFonts w:ascii="Tahoma" w:hAnsi="Tahoma" w:cs="Arial"/>
          <w:sz w:val="22"/>
          <w:szCs w:val="22"/>
        </w:rPr>
        <w:t xml:space="preserve"> to name a few. </w:t>
      </w:r>
    </w:p>
    <w:p w:rsidR="004E1365" w:rsidRDefault="004E1365" w:rsidP="004E1365">
      <w:pPr>
        <w:ind w:left="720"/>
        <w:jc w:val="both"/>
        <w:rPr>
          <w:rFonts w:ascii="Tahoma" w:hAnsi="Tahoma" w:cs="Arial"/>
          <w:bCs/>
          <w:sz w:val="22"/>
          <w:szCs w:val="22"/>
        </w:rPr>
      </w:pPr>
    </w:p>
    <w:p w:rsidR="00C675DB" w:rsidRDefault="00C675DB" w:rsidP="004E1365">
      <w:pPr>
        <w:ind w:left="720"/>
        <w:jc w:val="both"/>
        <w:rPr>
          <w:rFonts w:ascii="Tahoma" w:hAnsi="Tahoma" w:cs="Arial"/>
          <w:bCs/>
          <w:sz w:val="22"/>
          <w:szCs w:val="22"/>
        </w:rPr>
      </w:pPr>
    </w:p>
    <w:p w:rsidR="00C675DB" w:rsidRPr="00633CEF" w:rsidRDefault="00C675DB" w:rsidP="004E1365">
      <w:pPr>
        <w:ind w:left="720"/>
        <w:jc w:val="both"/>
        <w:rPr>
          <w:rFonts w:ascii="Tahoma" w:hAnsi="Tahoma" w:cs="Arial"/>
          <w:bCs/>
          <w:sz w:val="22"/>
          <w:szCs w:val="22"/>
        </w:rPr>
      </w:pPr>
    </w:p>
    <w:p w:rsidR="004E1365" w:rsidRPr="00633CEF" w:rsidRDefault="00C675DB" w:rsidP="00595EDF">
      <w:pPr>
        <w:ind w:left="360"/>
        <w:jc w:val="both"/>
        <w:rPr>
          <w:rFonts w:ascii="Tahoma" w:hAnsi="Tahoma" w:cs="Arial"/>
          <w:b/>
          <w:sz w:val="22"/>
          <w:szCs w:val="22"/>
        </w:rPr>
      </w:pPr>
      <w:r>
        <w:rPr>
          <w:rFonts w:ascii="Tahoma" w:hAnsi="Tahoma" w:cs="Arial"/>
          <w:b/>
          <w:sz w:val="22"/>
          <w:szCs w:val="22"/>
        </w:rPr>
        <w:t>2.</w:t>
      </w:r>
      <w:r>
        <w:rPr>
          <w:rFonts w:ascii="Tahoma" w:hAnsi="Tahoma" w:cs="Arial"/>
          <w:b/>
          <w:sz w:val="22"/>
          <w:szCs w:val="22"/>
        </w:rPr>
        <w:tab/>
        <w:t xml:space="preserve">Stimulate </w:t>
      </w:r>
      <w:r w:rsidR="004E1365" w:rsidRPr="00633CEF">
        <w:rPr>
          <w:rFonts w:ascii="Tahoma" w:hAnsi="Tahoma" w:cs="Arial"/>
          <w:b/>
          <w:sz w:val="22"/>
          <w:szCs w:val="22"/>
        </w:rPr>
        <w:t xml:space="preserve">and </w:t>
      </w:r>
      <w:r>
        <w:rPr>
          <w:rFonts w:ascii="Tahoma" w:hAnsi="Tahoma" w:cs="Arial"/>
          <w:b/>
          <w:sz w:val="22"/>
          <w:szCs w:val="22"/>
        </w:rPr>
        <w:t xml:space="preserve">support </w:t>
      </w:r>
      <w:r w:rsidR="004E1365" w:rsidRPr="00633CEF">
        <w:rPr>
          <w:rFonts w:ascii="Tahoma" w:hAnsi="Tahoma" w:cs="Arial"/>
          <w:b/>
          <w:sz w:val="22"/>
          <w:szCs w:val="22"/>
        </w:rPr>
        <w:t>domestic travel programs</w:t>
      </w:r>
    </w:p>
    <w:p w:rsidR="004E1365" w:rsidRPr="00633CEF" w:rsidRDefault="004E1365" w:rsidP="004E1365">
      <w:pPr>
        <w:ind w:left="720"/>
        <w:jc w:val="both"/>
        <w:rPr>
          <w:rFonts w:ascii="Tahoma" w:hAnsi="Tahoma" w:cs="Arial"/>
          <w:bCs/>
          <w:sz w:val="22"/>
          <w:szCs w:val="22"/>
        </w:rPr>
      </w:pPr>
    </w:p>
    <w:p w:rsidR="00DD3629" w:rsidRDefault="004E1365" w:rsidP="00595EDF">
      <w:pPr>
        <w:ind w:left="360"/>
        <w:jc w:val="both"/>
        <w:rPr>
          <w:rFonts w:ascii="Tahoma" w:hAnsi="Tahoma" w:cs="Arial"/>
          <w:bCs/>
          <w:sz w:val="22"/>
          <w:szCs w:val="22"/>
        </w:rPr>
      </w:pPr>
      <w:r w:rsidRPr="00633CEF">
        <w:rPr>
          <w:rFonts w:ascii="Tahoma" w:hAnsi="Tahoma" w:cs="Arial"/>
          <w:bCs/>
          <w:sz w:val="22"/>
          <w:szCs w:val="22"/>
        </w:rPr>
        <w:t xml:space="preserve">The private tour operators have already launched programs such as the Island Get Away packages in order to encourage domestic travel particularly during the summer months.  There have been proposals for the Philippine Tourism Authority to subsidize domestic travel by offering cheaper rates for its managed properties.  The hotel and resorts can offer more competitive rates for local events in order to encourage spending by the corporate market and associations particularly during the lean months of June to September for domestic travel. In encouraging </w:t>
      </w:r>
      <w:r w:rsidRPr="00633CEF">
        <w:rPr>
          <w:rFonts w:ascii="Tahoma" w:hAnsi="Tahoma" w:cs="Arial"/>
          <w:sz w:val="22"/>
          <w:szCs w:val="22"/>
        </w:rPr>
        <w:t xml:space="preserve">local </w:t>
      </w:r>
      <w:r w:rsidRPr="00633CEF">
        <w:rPr>
          <w:rFonts w:ascii="Tahoma" w:hAnsi="Tahoma" w:cs="Arial"/>
          <w:bCs/>
          <w:sz w:val="22"/>
          <w:szCs w:val="22"/>
        </w:rPr>
        <w:t xml:space="preserve">conferences, meetings and fairs, the PCVC has teamed up with the Philippine Association of Professional Congress &amp; Exhibit Organizers (PACEOS) to run training programs and Events Management and Marketing in selected secondary destinations initially Bacolod, Subic/Clark. Domestic events continue to be the backbone of the local MICE industry and are an excellent vehicle to disperse revenues to provincial areas.  </w:t>
      </w:r>
    </w:p>
    <w:p w:rsidR="00847D7B" w:rsidRPr="00633CEF" w:rsidRDefault="00847D7B" w:rsidP="004E1365">
      <w:pPr>
        <w:ind w:left="360"/>
        <w:jc w:val="both"/>
        <w:rPr>
          <w:rFonts w:ascii="Tahoma" w:hAnsi="Tahoma" w:cs="Arial"/>
          <w:bCs/>
          <w:sz w:val="22"/>
          <w:szCs w:val="22"/>
        </w:rPr>
      </w:pPr>
    </w:p>
    <w:p w:rsidR="004E1365" w:rsidRPr="00633CEF" w:rsidRDefault="004A7A88" w:rsidP="00595EDF">
      <w:pPr>
        <w:ind w:left="360"/>
        <w:jc w:val="both"/>
        <w:rPr>
          <w:rFonts w:ascii="Tahoma" w:hAnsi="Tahoma" w:cs="Arial"/>
          <w:b/>
          <w:sz w:val="22"/>
          <w:szCs w:val="22"/>
        </w:rPr>
      </w:pPr>
      <w:r>
        <w:rPr>
          <w:rFonts w:ascii="Tahoma" w:hAnsi="Tahoma" w:cs="Arial"/>
          <w:b/>
          <w:sz w:val="22"/>
          <w:szCs w:val="22"/>
        </w:rPr>
        <w:t>3.</w:t>
      </w:r>
      <w:r>
        <w:rPr>
          <w:rFonts w:ascii="Tahoma" w:hAnsi="Tahoma" w:cs="Arial"/>
          <w:b/>
          <w:sz w:val="22"/>
          <w:szCs w:val="22"/>
        </w:rPr>
        <w:tab/>
        <w:t>Reduce</w:t>
      </w:r>
      <w:r w:rsidR="00595EDF" w:rsidRPr="00633CEF">
        <w:rPr>
          <w:rFonts w:ascii="Tahoma" w:hAnsi="Tahoma" w:cs="Arial"/>
          <w:b/>
          <w:sz w:val="22"/>
          <w:szCs w:val="22"/>
        </w:rPr>
        <w:t xml:space="preserve"> </w:t>
      </w:r>
      <w:r w:rsidR="004E1365" w:rsidRPr="00633CEF">
        <w:rPr>
          <w:rFonts w:ascii="Tahoma" w:hAnsi="Tahoma" w:cs="Arial"/>
          <w:b/>
          <w:sz w:val="22"/>
          <w:szCs w:val="22"/>
        </w:rPr>
        <w:t xml:space="preserve">costs of doing business </w:t>
      </w:r>
    </w:p>
    <w:p w:rsidR="004E1365" w:rsidRPr="00633CEF" w:rsidRDefault="004E1365" w:rsidP="004E1365">
      <w:pPr>
        <w:ind w:left="720"/>
        <w:jc w:val="both"/>
        <w:rPr>
          <w:rFonts w:ascii="Tahoma" w:hAnsi="Tahoma" w:cs="Arial"/>
          <w:bCs/>
          <w:sz w:val="22"/>
          <w:szCs w:val="22"/>
        </w:rPr>
      </w:pPr>
    </w:p>
    <w:p w:rsidR="004E1365" w:rsidRPr="00633CEF" w:rsidRDefault="004E1365" w:rsidP="00595EDF">
      <w:pPr>
        <w:ind w:left="360"/>
        <w:jc w:val="both"/>
        <w:rPr>
          <w:rFonts w:ascii="Tahoma" w:hAnsi="Tahoma" w:cs="Arial"/>
          <w:sz w:val="22"/>
          <w:szCs w:val="22"/>
        </w:rPr>
      </w:pPr>
      <w:r w:rsidRPr="00633CEF">
        <w:rPr>
          <w:rFonts w:ascii="Tahoma" w:hAnsi="Tahoma" w:cs="Arial"/>
          <w:bCs/>
          <w:sz w:val="22"/>
          <w:szCs w:val="22"/>
        </w:rPr>
        <w:t xml:space="preserve">The Board of Airline Representatives and the IATA have already requested for some stimulus package from the government, thru the aviation authorities – Manila International Airport Authority, Mactan Cebu International Airport Authority and Civil Aviation Authority of the </w:t>
      </w:r>
      <w:smartTag w:uri="urn:schemas-microsoft-com:office:smarttags" w:element="country-region">
        <w:smartTag w:uri="urn:schemas-microsoft-com:office:smarttags" w:element="place">
          <w:r w:rsidRPr="00633CEF">
            <w:rPr>
              <w:rFonts w:ascii="Tahoma" w:hAnsi="Tahoma" w:cs="Arial"/>
              <w:bCs/>
              <w:sz w:val="22"/>
              <w:szCs w:val="22"/>
            </w:rPr>
            <w:t>Philippines</w:t>
          </w:r>
        </w:smartTag>
      </w:smartTag>
      <w:r w:rsidRPr="00633CEF">
        <w:rPr>
          <w:rFonts w:ascii="Tahoma" w:hAnsi="Tahoma" w:cs="Arial"/>
          <w:bCs/>
          <w:sz w:val="22"/>
          <w:szCs w:val="22"/>
        </w:rPr>
        <w:t xml:space="preserve">.  They have also solicited the support of the DOT and the Department of Transportation and Communications. In their latest letter to the MIAA dated </w:t>
      </w:r>
      <w:smartTag w:uri="urn:schemas-microsoft-com:office:smarttags" w:element="date">
        <w:smartTagPr>
          <w:attr w:name="Year" w:val="2009"/>
          <w:attr w:name="Day" w:val="1"/>
          <w:attr w:name="Month" w:val="4"/>
        </w:smartTagPr>
        <w:r w:rsidRPr="00633CEF">
          <w:rPr>
            <w:rFonts w:ascii="Tahoma" w:hAnsi="Tahoma" w:cs="Arial"/>
            <w:bCs/>
            <w:sz w:val="22"/>
            <w:szCs w:val="22"/>
          </w:rPr>
          <w:t>April 1, 2009</w:t>
        </w:r>
      </w:smartTag>
      <w:r w:rsidRPr="00633CEF">
        <w:rPr>
          <w:rFonts w:ascii="Tahoma" w:hAnsi="Tahoma" w:cs="Arial"/>
          <w:bCs/>
          <w:sz w:val="22"/>
          <w:szCs w:val="22"/>
        </w:rPr>
        <w:t xml:space="preserve">, the BAR specifically asked for 50 percent reduction in airport-related charges effective for one year with a review at the end of the one-year period as an </w:t>
      </w:r>
      <w:r w:rsidRPr="00633CEF">
        <w:rPr>
          <w:rFonts w:ascii="Tahoma" w:hAnsi="Tahoma" w:cs="Arial"/>
          <w:sz w:val="22"/>
          <w:szCs w:val="22"/>
        </w:rPr>
        <w:t xml:space="preserve">incentive for continuous operations.  As part of its global campaign for support to the airline industry, the IATA recommended the following actions to all airport authorities (including the Philippines): waiving of certain fees and charges, a cut in present fees and charges or temporary discounts for a given period, postponement of all non-essential costs and investments flowing through to a mid-year adjustment in 2009 rates, and acceleration of initiatives/projects that will bring cost efficiency benefits. </w:t>
      </w:r>
    </w:p>
    <w:p w:rsidR="004E1365" w:rsidRPr="00633CEF" w:rsidRDefault="004E1365" w:rsidP="004E1365">
      <w:pPr>
        <w:ind w:left="720"/>
        <w:jc w:val="both"/>
        <w:rPr>
          <w:rFonts w:ascii="Tahoma" w:hAnsi="Tahoma" w:cs="Arial"/>
          <w:sz w:val="22"/>
          <w:szCs w:val="22"/>
        </w:rPr>
      </w:pPr>
    </w:p>
    <w:p w:rsidR="00847D7B" w:rsidRPr="00633CEF" w:rsidRDefault="004E1365" w:rsidP="00A2364D">
      <w:pPr>
        <w:ind w:left="360"/>
        <w:jc w:val="both"/>
        <w:rPr>
          <w:rFonts w:ascii="Tahoma" w:hAnsi="Tahoma" w:cs="Arial"/>
          <w:sz w:val="22"/>
          <w:szCs w:val="22"/>
        </w:rPr>
      </w:pPr>
      <w:r w:rsidRPr="00633CEF">
        <w:rPr>
          <w:rFonts w:ascii="Tahoma" w:hAnsi="Tahoma" w:cs="Arial"/>
          <w:sz w:val="22"/>
          <w:szCs w:val="22"/>
        </w:rPr>
        <w:t xml:space="preserve">To date, the proposal by the BAR is still being evaluated by the MIAA.  </w:t>
      </w:r>
      <w:r w:rsidR="00646674">
        <w:rPr>
          <w:rFonts w:ascii="Tahoma" w:hAnsi="Tahoma" w:cs="Arial"/>
          <w:sz w:val="22"/>
          <w:szCs w:val="22"/>
        </w:rPr>
        <w:t xml:space="preserve">Our </w:t>
      </w:r>
      <w:r w:rsidRPr="00633CEF">
        <w:rPr>
          <w:rFonts w:ascii="Tahoma" w:hAnsi="Tahoma" w:cs="Arial"/>
          <w:sz w:val="22"/>
          <w:szCs w:val="22"/>
        </w:rPr>
        <w:t xml:space="preserve">Asian neighbors have already announced and implemented their stimulus program to support the survival </w:t>
      </w:r>
      <w:r w:rsidR="00A2364D" w:rsidRPr="00633CEF">
        <w:rPr>
          <w:rFonts w:ascii="Tahoma" w:hAnsi="Tahoma" w:cs="Arial"/>
          <w:sz w:val="22"/>
          <w:szCs w:val="22"/>
        </w:rPr>
        <w:t xml:space="preserve">and continuous operations </w:t>
      </w:r>
      <w:r w:rsidRPr="00633CEF">
        <w:rPr>
          <w:rFonts w:ascii="Tahoma" w:hAnsi="Tahoma" w:cs="Arial"/>
          <w:sz w:val="22"/>
          <w:szCs w:val="22"/>
        </w:rPr>
        <w:t xml:space="preserve">of airlines, to support the promotional campaigns and more importantly to </w:t>
      </w:r>
      <w:r w:rsidR="00251EC0">
        <w:rPr>
          <w:rFonts w:ascii="Tahoma" w:hAnsi="Tahoma" w:cs="Arial"/>
          <w:sz w:val="22"/>
          <w:szCs w:val="22"/>
        </w:rPr>
        <w:t xml:space="preserve">sustain or improve competitiveness through </w:t>
      </w:r>
      <w:r w:rsidR="00566239">
        <w:rPr>
          <w:rFonts w:ascii="Tahoma" w:hAnsi="Tahoma" w:cs="Arial"/>
          <w:sz w:val="22"/>
          <w:szCs w:val="22"/>
        </w:rPr>
        <w:t xml:space="preserve">excellent </w:t>
      </w:r>
      <w:r w:rsidR="00251EC0">
        <w:rPr>
          <w:rFonts w:ascii="Tahoma" w:hAnsi="Tahoma" w:cs="Arial"/>
          <w:sz w:val="22"/>
          <w:szCs w:val="22"/>
        </w:rPr>
        <w:t>international connectivity</w:t>
      </w:r>
      <w:r w:rsidRPr="00633CEF">
        <w:rPr>
          <w:rFonts w:ascii="Tahoma" w:hAnsi="Tahoma" w:cs="Arial"/>
          <w:sz w:val="22"/>
          <w:szCs w:val="22"/>
        </w:rPr>
        <w:t xml:space="preserve">.  </w:t>
      </w:r>
    </w:p>
    <w:p w:rsidR="00847D7B" w:rsidRPr="00633CEF" w:rsidRDefault="00847D7B" w:rsidP="00A2364D">
      <w:pPr>
        <w:ind w:left="360"/>
        <w:jc w:val="both"/>
        <w:rPr>
          <w:rFonts w:ascii="Tahoma" w:hAnsi="Tahoma" w:cs="Arial"/>
          <w:sz w:val="22"/>
          <w:szCs w:val="22"/>
        </w:rPr>
      </w:pPr>
    </w:p>
    <w:p w:rsidR="00847D7B" w:rsidRPr="00633CEF" w:rsidRDefault="004E1365" w:rsidP="00847D7B">
      <w:pPr>
        <w:numPr>
          <w:ilvl w:val="0"/>
          <w:numId w:val="19"/>
        </w:numPr>
        <w:jc w:val="both"/>
        <w:rPr>
          <w:rFonts w:ascii="Tahoma" w:hAnsi="Tahoma" w:cs="Arial"/>
          <w:sz w:val="22"/>
          <w:szCs w:val="22"/>
        </w:rPr>
      </w:pPr>
      <w:smartTag w:uri="urn:schemas-microsoft-com:office:smarttags" w:element="country-region">
        <w:smartTag w:uri="urn:schemas-microsoft-com:office:smarttags" w:element="place">
          <w:r w:rsidRPr="00633CEF">
            <w:rPr>
              <w:rFonts w:ascii="Tahoma" w:hAnsi="Tahoma" w:cs="Arial"/>
              <w:sz w:val="22"/>
              <w:szCs w:val="22"/>
            </w:rPr>
            <w:t>Malaysia</w:t>
          </w:r>
        </w:smartTag>
      </w:smartTag>
      <w:r w:rsidRPr="00633CEF">
        <w:rPr>
          <w:rFonts w:ascii="Tahoma" w:hAnsi="Tahoma" w:cs="Arial"/>
          <w:sz w:val="22"/>
          <w:szCs w:val="22"/>
        </w:rPr>
        <w:t xml:space="preserve"> has granted 50 per cent rebate on landing charges for two years, starting </w:t>
      </w:r>
      <w:smartTag w:uri="urn:schemas-microsoft-com:office:smarttags" w:element="date">
        <w:smartTagPr>
          <w:attr w:name="Year" w:val="2009"/>
          <w:attr w:name="Day" w:val="1"/>
          <w:attr w:name="Month" w:val="4"/>
        </w:smartTagPr>
        <w:r w:rsidRPr="00633CEF">
          <w:rPr>
            <w:rFonts w:ascii="Tahoma" w:hAnsi="Tahoma" w:cs="Arial"/>
            <w:sz w:val="22"/>
            <w:szCs w:val="22"/>
          </w:rPr>
          <w:t>April 1, 2009</w:t>
        </w:r>
      </w:smartTag>
      <w:r w:rsidRPr="00633CEF">
        <w:rPr>
          <w:rFonts w:ascii="Tahoma" w:hAnsi="Tahoma" w:cs="Arial"/>
          <w:sz w:val="22"/>
          <w:szCs w:val="22"/>
        </w:rPr>
        <w:t xml:space="preserve">.  </w:t>
      </w:r>
    </w:p>
    <w:p w:rsidR="00847D7B" w:rsidRPr="00633CEF" w:rsidRDefault="004E1365" w:rsidP="00847D7B">
      <w:pPr>
        <w:numPr>
          <w:ilvl w:val="0"/>
          <w:numId w:val="19"/>
        </w:numPr>
        <w:jc w:val="both"/>
        <w:rPr>
          <w:rFonts w:ascii="Tahoma" w:hAnsi="Tahoma" w:cs="Arial"/>
          <w:sz w:val="22"/>
          <w:szCs w:val="22"/>
        </w:rPr>
      </w:pPr>
      <w:r w:rsidRPr="00633CEF">
        <w:rPr>
          <w:rFonts w:ascii="Tahoma" w:hAnsi="Tahoma" w:cs="Arial"/>
          <w:sz w:val="22"/>
          <w:szCs w:val="22"/>
        </w:rPr>
        <w:t xml:space="preserve">A 25 percent reduction in landing charges is now implemented in </w:t>
      </w:r>
      <w:smartTag w:uri="urn:schemas-microsoft-com:office:smarttags" w:element="country-region">
        <w:smartTag w:uri="urn:schemas-microsoft-com:office:smarttags" w:element="place">
          <w:r w:rsidRPr="00633CEF">
            <w:rPr>
              <w:rFonts w:ascii="Tahoma" w:hAnsi="Tahoma" w:cs="Arial"/>
              <w:sz w:val="22"/>
              <w:szCs w:val="22"/>
            </w:rPr>
            <w:t>Singapore</w:t>
          </w:r>
        </w:smartTag>
      </w:smartTag>
      <w:r w:rsidRPr="00633CEF">
        <w:rPr>
          <w:rFonts w:ascii="Tahoma" w:hAnsi="Tahoma" w:cs="Arial"/>
          <w:sz w:val="22"/>
          <w:szCs w:val="22"/>
        </w:rPr>
        <w:t xml:space="preserve">’s Changi airport. </w:t>
      </w:r>
    </w:p>
    <w:p w:rsidR="00847D7B" w:rsidRPr="00633CEF" w:rsidRDefault="004E1365" w:rsidP="00847D7B">
      <w:pPr>
        <w:numPr>
          <w:ilvl w:val="0"/>
          <w:numId w:val="19"/>
        </w:numPr>
        <w:jc w:val="both"/>
        <w:rPr>
          <w:rFonts w:ascii="Tahoma" w:hAnsi="Tahoma" w:cs="Arial"/>
          <w:sz w:val="22"/>
          <w:szCs w:val="22"/>
        </w:rPr>
      </w:pPr>
      <w:r w:rsidRPr="00633CEF">
        <w:rPr>
          <w:rFonts w:ascii="Tahoma" w:hAnsi="Tahoma" w:cs="Arial"/>
          <w:sz w:val="22"/>
          <w:szCs w:val="22"/>
        </w:rPr>
        <w:t>10 percent reduction in landing and parking charges (Korea Airports Corporation)</w:t>
      </w:r>
    </w:p>
    <w:p w:rsidR="00847D7B" w:rsidRPr="00633CEF" w:rsidRDefault="004E1365" w:rsidP="00847D7B">
      <w:pPr>
        <w:numPr>
          <w:ilvl w:val="0"/>
          <w:numId w:val="19"/>
        </w:numPr>
        <w:jc w:val="both"/>
        <w:rPr>
          <w:rFonts w:ascii="Tahoma" w:hAnsi="Tahoma" w:cs="Arial"/>
          <w:sz w:val="22"/>
          <w:szCs w:val="22"/>
        </w:rPr>
      </w:pPr>
      <w:r w:rsidRPr="00633CEF">
        <w:rPr>
          <w:rFonts w:ascii="Tahoma" w:hAnsi="Tahoma" w:cs="Arial"/>
          <w:sz w:val="22"/>
          <w:szCs w:val="22"/>
        </w:rPr>
        <w:t>25 percent reduction in cargo landing fees (</w:t>
      </w:r>
      <w:smartTag w:uri="urn:schemas-microsoft-com:office:smarttags" w:element="place">
        <w:smartTag w:uri="urn:schemas-microsoft-com:office:smarttags" w:element="PlaceName">
          <w:r w:rsidRPr="00633CEF">
            <w:rPr>
              <w:rFonts w:ascii="Tahoma" w:hAnsi="Tahoma" w:cs="Arial"/>
              <w:sz w:val="22"/>
              <w:szCs w:val="22"/>
            </w:rPr>
            <w:t>Toronto</w:t>
          </w:r>
        </w:smartTag>
        <w:r w:rsidRPr="00633CEF">
          <w:rPr>
            <w:rFonts w:ascii="Tahoma" w:hAnsi="Tahoma" w:cs="Arial"/>
            <w:sz w:val="22"/>
            <w:szCs w:val="22"/>
          </w:rPr>
          <w:t xml:space="preserve"> </w:t>
        </w:r>
        <w:smartTag w:uri="urn:schemas-microsoft-com:office:smarttags" w:element="PlaceType">
          <w:r w:rsidRPr="00633CEF">
            <w:rPr>
              <w:rFonts w:ascii="Tahoma" w:hAnsi="Tahoma" w:cs="Arial"/>
              <w:sz w:val="22"/>
              <w:szCs w:val="22"/>
            </w:rPr>
            <w:t>Airport</w:t>
          </w:r>
        </w:smartTag>
      </w:smartTag>
      <w:r w:rsidRPr="00633CEF">
        <w:rPr>
          <w:rFonts w:ascii="Tahoma" w:hAnsi="Tahoma" w:cs="Arial"/>
          <w:sz w:val="22"/>
          <w:szCs w:val="22"/>
        </w:rPr>
        <w:t>)</w:t>
      </w:r>
    </w:p>
    <w:p w:rsidR="004E1365" w:rsidRPr="00633CEF" w:rsidRDefault="004E1365" w:rsidP="00847D7B">
      <w:pPr>
        <w:numPr>
          <w:ilvl w:val="0"/>
          <w:numId w:val="19"/>
        </w:numPr>
        <w:jc w:val="both"/>
        <w:rPr>
          <w:rFonts w:ascii="Tahoma" w:hAnsi="Tahoma" w:cs="Arial"/>
          <w:sz w:val="22"/>
          <w:szCs w:val="22"/>
        </w:rPr>
      </w:pPr>
      <w:r w:rsidRPr="00633CEF">
        <w:rPr>
          <w:rFonts w:ascii="Tahoma" w:hAnsi="Tahoma" w:cs="Arial"/>
          <w:sz w:val="22"/>
          <w:szCs w:val="22"/>
        </w:rPr>
        <w:t xml:space="preserve">In </w:t>
      </w:r>
      <w:smartTag w:uri="urn:schemas-microsoft-com:office:smarttags" w:element="country-region">
        <w:smartTag w:uri="urn:schemas-microsoft-com:office:smarttags" w:element="place">
          <w:r w:rsidRPr="00633CEF">
            <w:rPr>
              <w:rFonts w:ascii="Tahoma" w:hAnsi="Tahoma" w:cs="Arial"/>
              <w:sz w:val="22"/>
              <w:szCs w:val="22"/>
            </w:rPr>
            <w:t>Thailand</w:t>
          </w:r>
        </w:smartTag>
      </w:smartTag>
      <w:r w:rsidRPr="00633CEF">
        <w:rPr>
          <w:rFonts w:ascii="Tahoma" w:hAnsi="Tahoma" w:cs="Arial"/>
          <w:sz w:val="22"/>
          <w:szCs w:val="22"/>
        </w:rPr>
        <w:t xml:space="preserve">, the Department of Civil Aviation was told to cut the landing and parking fees for all airports under its supervision by 50 percent for chartered flights and by 20 percent for scheduled flights. </w:t>
      </w:r>
    </w:p>
    <w:p w:rsidR="004E1365" w:rsidRPr="00633CEF" w:rsidRDefault="004E1365" w:rsidP="004E1365">
      <w:pPr>
        <w:ind w:left="720"/>
        <w:jc w:val="both"/>
        <w:rPr>
          <w:rFonts w:ascii="Tahoma" w:hAnsi="Tahoma" w:cs="Arial"/>
          <w:sz w:val="22"/>
          <w:szCs w:val="22"/>
        </w:rPr>
      </w:pPr>
    </w:p>
    <w:p w:rsidR="001E475A" w:rsidRPr="00633CEF" w:rsidRDefault="004E1365" w:rsidP="00DE6A71">
      <w:pPr>
        <w:ind w:left="360"/>
        <w:jc w:val="both"/>
        <w:rPr>
          <w:rFonts w:ascii="Tahoma" w:hAnsi="Tahoma" w:cs="Arial"/>
          <w:color w:val="000000"/>
          <w:sz w:val="22"/>
          <w:szCs w:val="22"/>
        </w:rPr>
      </w:pPr>
      <w:r w:rsidRPr="00633CEF">
        <w:rPr>
          <w:rFonts w:ascii="Tahoma" w:hAnsi="Tahoma" w:cs="Arial"/>
          <w:sz w:val="22"/>
          <w:szCs w:val="22"/>
        </w:rPr>
        <w:t xml:space="preserve">Local government units in major tourist destinations are also requested to consider suspending rate increases </w:t>
      </w:r>
      <w:r w:rsidR="009E19F0" w:rsidRPr="00633CEF">
        <w:rPr>
          <w:rFonts w:ascii="Tahoma" w:hAnsi="Tahoma" w:cs="Arial"/>
          <w:sz w:val="22"/>
          <w:szCs w:val="22"/>
        </w:rPr>
        <w:t>and/</w:t>
      </w:r>
      <w:r w:rsidRPr="00633CEF">
        <w:rPr>
          <w:rFonts w:ascii="Tahoma" w:hAnsi="Tahoma" w:cs="Arial"/>
          <w:sz w:val="22"/>
          <w:szCs w:val="22"/>
        </w:rPr>
        <w:t xml:space="preserve">or </w:t>
      </w:r>
      <w:r w:rsidR="009E19F0" w:rsidRPr="00633CEF">
        <w:rPr>
          <w:rFonts w:ascii="Tahoma" w:hAnsi="Tahoma" w:cs="Arial"/>
          <w:sz w:val="22"/>
          <w:szCs w:val="22"/>
        </w:rPr>
        <w:t>waiving</w:t>
      </w:r>
      <w:r w:rsidR="00F4480D">
        <w:rPr>
          <w:rFonts w:ascii="Tahoma" w:hAnsi="Tahoma" w:cs="Arial"/>
          <w:sz w:val="22"/>
          <w:szCs w:val="22"/>
        </w:rPr>
        <w:t xml:space="preserve"> or reducing</w:t>
      </w:r>
      <w:r w:rsidR="009E19F0" w:rsidRPr="00633CEF">
        <w:rPr>
          <w:rFonts w:ascii="Tahoma" w:hAnsi="Tahoma" w:cs="Arial"/>
          <w:sz w:val="22"/>
          <w:szCs w:val="22"/>
        </w:rPr>
        <w:t xml:space="preserve"> fees </w:t>
      </w:r>
      <w:r w:rsidR="00F4480D">
        <w:rPr>
          <w:rFonts w:ascii="Tahoma" w:hAnsi="Tahoma" w:cs="Arial"/>
          <w:sz w:val="22"/>
          <w:szCs w:val="22"/>
        </w:rPr>
        <w:t xml:space="preserve">for </w:t>
      </w:r>
      <w:r w:rsidRPr="00633CEF">
        <w:rPr>
          <w:rFonts w:ascii="Tahoma" w:hAnsi="Tahoma" w:cs="Arial"/>
          <w:sz w:val="22"/>
          <w:szCs w:val="22"/>
        </w:rPr>
        <w:t>business permits</w:t>
      </w:r>
      <w:r w:rsidR="00F4480D">
        <w:rPr>
          <w:rFonts w:ascii="Tahoma" w:hAnsi="Tahoma" w:cs="Arial"/>
          <w:sz w:val="22"/>
          <w:szCs w:val="22"/>
        </w:rPr>
        <w:t xml:space="preserve"> for one yearr</w:t>
      </w:r>
      <w:r w:rsidRPr="00633CEF">
        <w:rPr>
          <w:rFonts w:ascii="Tahoma" w:hAnsi="Tahoma" w:cs="Arial"/>
          <w:sz w:val="22"/>
          <w:szCs w:val="22"/>
        </w:rPr>
        <w:t xml:space="preserve">.  </w:t>
      </w:r>
    </w:p>
    <w:p w:rsidR="004E1365" w:rsidRPr="00633CEF" w:rsidRDefault="004E1365" w:rsidP="004E1365">
      <w:pPr>
        <w:ind w:left="720"/>
        <w:jc w:val="both"/>
        <w:rPr>
          <w:rFonts w:ascii="Tahoma" w:hAnsi="Tahoma" w:cs="Arial"/>
          <w:bCs/>
          <w:sz w:val="22"/>
          <w:szCs w:val="22"/>
        </w:rPr>
      </w:pPr>
    </w:p>
    <w:p w:rsidR="004E1365" w:rsidRPr="00633CEF" w:rsidRDefault="004E1365" w:rsidP="00DE6A71">
      <w:pPr>
        <w:ind w:left="360"/>
        <w:jc w:val="both"/>
        <w:rPr>
          <w:rFonts w:ascii="Tahoma" w:hAnsi="Tahoma" w:cs="Arial"/>
          <w:bCs/>
          <w:sz w:val="22"/>
          <w:szCs w:val="22"/>
        </w:rPr>
      </w:pPr>
      <w:r w:rsidRPr="00633CEF">
        <w:rPr>
          <w:rFonts w:ascii="Tahoma" w:hAnsi="Tahoma" w:cs="Arial"/>
          <w:bCs/>
          <w:sz w:val="22"/>
          <w:szCs w:val="22"/>
        </w:rPr>
        <w:t xml:space="preserve">To support associations and companies in trying to bring down costs for the conduct of MICE events, PCVC shall promote “GREEN EVENTS” by advocating less use of paper, reducing waste, introducing energy efficient facilities and designing compact meeting schedules.  This should result in lower administrative costs.  </w:t>
      </w:r>
    </w:p>
    <w:p w:rsidR="00442BEF" w:rsidRDefault="00442BEF" w:rsidP="00C819C4">
      <w:pPr>
        <w:jc w:val="both"/>
        <w:rPr>
          <w:rFonts w:ascii="Tahoma" w:hAnsi="Tahoma" w:cs="Arial"/>
          <w:bCs/>
          <w:sz w:val="22"/>
          <w:szCs w:val="22"/>
        </w:rPr>
      </w:pPr>
    </w:p>
    <w:p w:rsidR="007055CA" w:rsidRPr="00633CEF" w:rsidRDefault="007055CA" w:rsidP="007055CA">
      <w:pPr>
        <w:jc w:val="both"/>
        <w:rPr>
          <w:rFonts w:ascii="Tahoma" w:hAnsi="Tahoma" w:cs="Arial"/>
          <w:b/>
          <w:bCs/>
          <w:sz w:val="22"/>
          <w:szCs w:val="22"/>
        </w:rPr>
      </w:pPr>
      <w:r>
        <w:rPr>
          <w:rFonts w:ascii="Tahoma" w:hAnsi="Tahoma" w:cs="Arial"/>
          <w:b/>
          <w:bCs/>
          <w:sz w:val="22"/>
          <w:szCs w:val="22"/>
        </w:rPr>
        <w:t xml:space="preserve">III. </w:t>
      </w:r>
      <w:r w:rsidRPr="00633CEF">
        <w:rPr>
          <w:rFonts w:ascii="Tahoma" w:hAnsi="Tahoma" w:cs="Arial"/>
          <w:b/>
          <w:bCs/>
          <w:sz w:val="22"/>
          <w:szCs w:val="22"/>
        </w:rPr>
        <w:t>Competitiveness Issues</w:t>
      </w:r>
    </w:p>
    <w:p w:rsidR="007055CA" w:rsidRPr="00633CEF" w:rsidRDefault="007055CA" w:rsidP="007055CA">
      <w:pPr>
        <w:ind w:left="360"/>
        <w:jc w:val="both"/>
        <w:rPr>
          <w:rFonts w:ascii="Tahoma" w:hAnsi="Tahoma" w:cs="Arial"/>
          <w:sz w:val="22"/>
          <w:szCs w:val="22"/>
        </w:rPr>
      </w:pPr>
    </w:p>
    <w:p w:rsidR="007055CA" w:rsidRPr="00633CEF" w:rsidRDefault="007055CA" w:rsidP="007055CA">
      <w:pPr>
        <w:jc w:val="both"/>
        <w:rPr>
          <w:rFonts w:ascii="Tahoma" w:hAnsi="Tahoma" w:cs="Arial"/>
          <w:sz w:val="22"/>
          <w:szCs w:val="22"/>
        </w:rPr>
      </w:pPr>
      <w:r>
        <w:rPr>
          <w:rFonts w:ascii="Tahoma" w:hAnsi="Tahoma" w:cs="Arial"/>
          <w:sz w:val="22"/>
          <w:szCs w:val="22"/>
        </w:rPr>
        <w:t xml:space="preserve">The </w:t>
      </w:r>
      <w:r w:rsidRPr="00633CEF">
        <w:rPr>
          <w:rFonts w:ascii="Tahoma" w:hAnsi="Tahoma" w:cs="Arial"/>
          <w:sz w:val="22"/>
          <w:szCs w:val="22"/>
        </w:rPr>
        <w:t xml:space="preserve">industry has stronger potentials to survive the crisis.  But will it emerge to become more globally competitive to enlarge the base of domestic travelers and to capture a bigger share of the global market?  </w:t>
      </w:r>
    </w:p>
    <w:p w:rsidR="007055CA" w:rsidRPr="00633CEF" w:rsidRDefault="007055CA" w:rsidP="007055CA">
      <w:pPr>
        <w:ind w:left="360"/>
        <w:jc w:val="both"/>
        <w:rPr>
          <w:rFonts w:ascii="Tahoma" w:hAnsi="Tahoma" w:cs="Arial"/>
          <w:sz w:val="22"/>
          <w:szCs w:val="22"/>
        </w:rPr>
      </w:pPr>
    </w:p>
    <w:p w:rsidR="007055CA" w:rsidRPr="00633CEF" w:rsidRDefault="007055CA" w:rsidP="007055CA">
      <w:pPr>
        <w:jc w:val="both"/>
        <w:rPr>
          <w:rFonts w:ascii="Tahoma" w:hAnsi="Tahoma" w:cs="Arial"/>
          <w:sz w:val="22"/>
          <w:szCs w:val="22"/>
        </w:rPr>
      </w:pPr>
      <w:r w:rsidRPr="00633CEF">
        <w:rPr>
          <w:rFonts w:ascii="Tahoma" w:hAnsi="Tahoma" w:cs="Arial"/>
          <w:sz w:val="22"/>
          <w:szCs w:val="22"/>
        </w:rPr>
        <w:t xml:space="preserve">The </w:t>
      </w:r>
      <w:smartTag w:uri="urn:schemas-microsoft-com:office:smarttags" w:element="country-region">
        <w:smartTag w:uri="urn:schemas-microsoft-com:office:smarttags" w:element="place">
          <w:r w:rsidRPr="00633CEF">
            <w:rPr>
              <w:rFonts w:ascii="Tahoma" w:hAnsi="Tahoma" w:cs="Arial"/>
              <w:sz w:val="22"/>
              <w:szCs w:val="22"/>
            </w:rPr>
            <w:t>Philippines</w:t>
          </w:r>
        </w:smartTag>
      </w:smartTag>
      <w:r w:rsidRPr="00633CEF">
        <w:rPr>
          <w:rFonts w:ascii="Tahoma" w:hAnsi="Tahoma" w:cs="Arial"/>
          <w:sz w:val="22"/>
          <w:szCs w:val="22"/>
        </w:rPr>
        <w:t xml:space="preserve">’ strengths lies in its resources – natural, cultural and most especially human resources. </w:t>
      </w:r>
      <w:r>
        <w:rPr>
          <w:rFonts w:ascii="Tahoma" w:hAnsi="Tahoma" w:cs="Arial"/>
          <w:sz w:val="22"/>
          <w:szCs w:val="22"/>
        </w:rPr>
        <w:t>Based on global competitiveness reports (by the World Economic Forum), t</w:t>
      </w:r>
      <w:r w:rsidRPr="00633CEF">
        <w:rPr>
          <w:rFonts w:ascii="Tahoma" w:hAnsi="Tahoma" w:cs="Arial"/>
          <w:sz w:val="22"/>
          <w:szCs w:val="22"/>
        </w:rPr>
        <w:t>he areas which contribute to the lack of competitiveness include: transport and tourism infrastructure, foreign investmen</w:t>
      </w:r>
      <w:r>
        <w:rPr>
          <w:rFonts w:ascii="Tahoma" w:hAnsi="Tahoma" w:cs="Arial"/>
          <w:sz w:val="22"/>
          <w:szCs w:val="22"/>
        </w:rPr>
        <w:t>t rules, regulatory environment and</w:t>
      </w:r>
      <w:r w:rsidRPr="00633CEF">
        <w:rPr>
          <w:rFonts w:ascii="Tahoma" w:hAnsi="Tahoma" w:cs="Arial"/>
          <w:sz w:val="22"/>
          <w:szCs w:val="22"/>
        </w:rPr>
        <w:t xml:space="preserve"> health and hygiene. </w:t>
      </w:r>
      <w:r>
        <w:rPr>
          <w:rFonts w:ascii="Tahoma" w:hAnsi="Tahoma" w:cs="Arial"/>
          <w:sz w:val="22"/>
          <w:szCs w:val="22"/>
        </w:rPr>
        <w:t>The issue of safety and security that is also cited in these reports is more of a perception problem. Public promotions programs play an important role in addressing this issue for the benefit of local tourism destinations.</w:t>
      </w:r>
    </w:p>
    <w:p w:rsidR="007055CA" w:rsidRPr="00633CEF" w:rsidRDefault="007055CA" w:rsidP="007055CA">
      <w:pPr>
        <w:jc w:val="both"/>
        <w:rPr>
          <w:rFonts w:ascii="Tahoma" w:hAnsi="Tahoma" w:cs="Arial"/>
          <w:sz w:val="22"/>
          <w:szCs w:val="22"/>
        </w:rPr>
      </w:pPr>
    </w:p>
    <w:p w:rsidR="007055CA" w:rsidRPr="00633CEF" w:rsidRDefault="007055CA" w:rsidP="007055CA">
      <w:pPr>
        <w:jc w:val="both"/>
        <w:rPr>
          <w:rFonts w:ascii="Tahoma" w:hAnsi="Tahoma" w:cs="Arial"/>
          <w:sz w:val="22"/>
          <w:szCs w:val="22"/>
        </w:rPr>
      </w:pPr>
      <w:r w:rsidRPr="00633CEF">
        <w:rPr>
          <w:rFonts w:ascii="Tahoma" w:hAnsi="Tahoma" w:cs="Arial"/>
          <w:sz w:val="22"/>
          <w:szCs w:val="22"/>
        </w:rPr>
        <w:t>As regards infrastructure, the spending record has been quite low in previous years.  There is very limited connectivity in terms of number of international flights operating in the country, relative to the regional hubs</w:t>
      </w:r>
      <w:r>
        <w:rPr>
          <w:rFonts w:ascii="Tahoma" w:hAnsi="Tahoma" w:cs="Arial"/>
          <w:sz w:val="22"/>
          <w:szCs w:val="22"/>
        </w:rPr>
        <w:t xml:space="preserve">. Some airlines have shifted to off-line operations which have reduced employment opportunities at the airport.  Some reasons to explain this situation include: </w:t>
      </w:r>
      <w:r w:rsidRPr="00633CEF">
        <w:rPr>
          <w:rFonts w:ascii="Tahoma" w:hAnsi="Tahoma" w:cs="Arial"/>
          <w:sz w:val="22"/>
          <w:szCs w:val="22"/>
        </w:rPr>
        <w:t>the restrictions imposed by the bilateral air services agreements of the Philippines</w:t>
      </w:r>
      <w:r>
        <w:rPr>
          <w:rFonts w:ascii="Tahoma" w:hAnsi="Tahoma" w:cs="Arial"/>
          <w:sz w:val="22"/>
          <w:szCs w:val="22"/>
        </w:rPr>
        <w:t>,</w:t>
      </w:r>
      <w:r w:rsidRPr="00633CEF">
        <w:rPr>
          <w:rFonts w:ascii="Tahoma" w:hAnsi="Tahoma" w:cs="Arial"/>
          <w:sz w:val="22"/>
          <w:szCs w:val="22"/>
        </w:rPr>
        <w:t xml:space="preserve"> the relatively high costs of doing business (e.g. related to airport customs, immigration and quarantine procedures above the regular airport charges)</w:t>
      </w:r>
      <w:r w:rsidRPr="00633CEF">
        <w:rPr>
          <w:rStyle w:val="FootnoteReference"/>
          <w:rFonts w:ascii="Tahoma" w:hAnsi="Tahoma" w:cs="Arial"/>
          <w:sz w:val="22"/>
          <w:szCs w:val="22"/>
        </w:rPr>
        <w:footnoteReference w:id="6"/>
      </w:r>
      <w:r w:rsidRPr="00633CEF">
        <w:rPr>
          <w:rFonts w:ascii="Tahoma" w:hAnsi="Tahoma" w:cs="Arial"/>
          <w:sz w:val="22"/>
          <w:szCs w:val="22"/>
        </w:rPr>
        <w:t xml:space="preserve"> for international carriers (including the Philippines’ carriers), and the limited capacity of the Philippine carriers to expand overseas operations. There has been underinvestment in room infrastructure for more than a decade.  Hence, the industry has been primarily supplier-driven, contributing to relatively high room rates.  This in turn limited the ability of the tourism industry to tap the high-yielding international MICE market.  The capacity will significantly expand in the next two years with the completion of a number of endorsed projects. There won’t be excess capacity as long as we continue to enlarge our share in the global tourism market. </w:t>
      </w:r>
    </w:p>
    <w:p w:rsidR="007055CA" w:rsidRPr="00633CEF" w:rsidRDefault="007055CA" w:rsidP="007055CA">
      <w:pPr>
        <w:jc w:val="both"/>
        <w:rPr>
          <w:rFonts w:ascii="Tahoma" w:hAnsi="Tahoma" w:cs="Arial"/>
          <w:sz w:val="22"/>
          <w:szCs w:val="22"/>
        </w:rPr>
      </w:pPr>
    </w:p>
    <w:p w:rsidR="007055CA" w:rsidRDefault="007055CA" w:rsidP="007055CA">
      <w:pPr>
        <w:jc w:val="both"/>
        <w:rPr>
          <w:rFonts w:ascii="Tahoma" w:hAnsi="Tahoma" w:cs="Arial"/>
          <w:bCs/>
          <w:sz w:val="22"/>
          <w:szCs w:val="22"/>
        </w:rPr>
      </w:pPr>
      <w:r w:rsidRPr="00633CEF">
        <w:rPr>
          <w:rFonts w:ascii="Tahoma" w:hAnsi="Tahoma" w:cs="Arial"/>
          <w:sz w:val="22"/>
          <w:szCs w:val="22"/>
        </w:rPr>
        <w:t>As regards the regulatory environment and costs of doing business, there is a significant scope for the industry to streamline regulations and procedures (e.g. travel tax, licensing, transport flows), to review and amend laws (e.g. taxation) that impede investment mobilization.</w:t>
      </w:r>
    </w:p>
    <w:p w:rsidR="007055CA" w:rsidRPr="00633CEF" w:rsidRDefault="007055CA" w:rsidP="00C819C4">
      <w:pPr>
        <w:jc w:val="both"/>
        <w:rPr>
          <w:rFonts w:ascii="Tahoma" w:hAnsi="Tahoma" w:cs="Arial"/>
          <w:bCs/>
          <w:sz w:val="22"/>
          <w:szCs w:val="22"/>
        </w:rPr>
      </w:pPr>
    </w:p>
    <w:p w:rsidR="00D52232" w:rsidRPr="00633CEF" w:rsidRDefault="00D52232" w:rsidP="00C819C4">
      <w:pPr>
        <w:jc w:val="both"/>
        <w:rPr>
          <w:rFonts w:ascii="Tahoma" w:hAnsi="Tahoma" w:cs="Arial"/>
          <w:b/>
          <w:sz w:val="22"/>
          <w:szCs w:val="22"/>
        </w:rPr>
      </w:pPr>
      <w:r w:rsidRPr="00633CEF">
        <w:rPr>
          <w:rFonts w:ascii="Tahoma" w:hAnsi="Tahoma" w:cs="Arial"/>
          <w:b/>
          <w:sz w:val="22"/>
          <w:szCs w:val="22"/>
        </w:rPr>
        <w:t>IV. Strategic Policy Responses to Address Competitiveness Issues</w:t>
      </w:r>
    </w:p>
    <w:p w:rsidR="00D52232" w:rsidRPr="00633CEF" w:rsidRDefault="00D52232" w:rsidP="00C819C4">
      <w:pPr>
        <w:jc w:val="both"/>
        <w:rPr>
          <w:rFonts w:ascii="Tahoma" w:hAnsi="Tahoma" w:cs="Arial"/>
          <w:bCs/>
          <w:sz w:val="22"/>
          <w:szCs w:val="22"/>
        </w:rPr>
      </w:pPr>
    </w:p>
    <w:p w:rsidR="00220D31" w:rsidRPr="00220D31" w:rsidRDefault="00712B7D" w:rsidP="00220D31">
      <w:pPr>
        <w:jc w:val="both"/>
        <w:rPr>
          <w:rFonts w:ascii="Tahoma" w:hAnsi="Tahoma" w:cs="Arial"/>
          <w:bCs/>
          <w:sz w:val="22"/>
          <w:szCs w:val="22"/>
        </w:rPr>
      </w:pPr>
      <w:r w:rsidRPr="00633CEF">
        <w:rPr>
          <w:rFonts w:ascii="Tahoma" w:hAnsi="Tahoma" w:cs="Arial"/>
          <w:bCs/>
          <w:sz w:val="22"/>
          <w:szCs w:val="22"/>
        </w:rPr>
        <w:t xml:space="preserve">1. </w:t>
      </w:r>
      <w:r w:rsidR="00220D31" w:rsidRPr="00220D31">
        <w:rPr>
          <w:rFonts w:ascii="Tahoma" w:hAnsi="Tahoma" w:cs="Arial"/>
          <w:b/>
          <w:bCs/>
          <w:sz w:val="22"/>
          <w:szCs w:val="22"/>
        </w:rPr>
        <w:t>Implement product</w:t>
      </w:r>
      <w:r w:rsidR="005434A7">
        <w:rPr>
          <w:rFonts w:ascii="Tahoma" w:hAnsi="Tahoma" w:cs="Arial"/>
          <w:b/>
          <w:bCs/>
          <w:sz w:val="22"/>
          <w:szCs w:val="22"/>
        </w:rPr>
        <w:t xml:space="preserve"> development </w:t>
      </w:r>
      <w:r w:rsidR="00220D31" w:rsidRPr="00220D31">
        <w:rPr>
          <w:rFonts w:ascii="Tahoma" w:hAnsi="Tahoma" w:cs="Arial"/>
          <w:b/>
          <w:bCs/>
          <w:sz w:val="22"/>
          <w:szCs w:val="22"/>
        </w:rPr>
        <w:t xml:space="preserve">and service improvement programs </w:t>
      </w:r>
    </w:p>
    <w:p w:rsidR="00220D31" w:rsidRDefault="00220D31" w:rsidP="00712B7D">
      <w:pPr>
        <w:jc w:val="both"/>
        <w:rPr>
          <w:rFonts w:ascii="Tahoma" w:hAnsi="Tahoma" w:cs="Arial"/>
          <w:bCs/>
          <w:sz w:val="22"/>
          <w:szCs w:val="22"/>
        </w:rPr>
      </w:pPr>
    </w:p>
    <w:p w:rsidR="00220D31" w:rsidRPr="00633CEF" w:rsidRDefault="00220D31" w:rsidP="00220D31">
      <w:pPr>
        <w:jc w:val="both"/>
        <w:rPr>
          <w:rFonts w:ascii="Tahoma" w:hAnsi="Tahoma" w:cs="Arial"/>
          <w:color w:val="000000"/>
          <w:sz w:val="22"/>
          <w:szCs w:val="22"/>
        </w:rPr>
      </w:pPr>
      <w:r w:rsidRPr="00633CEF">
        <w:rPr>
          <w:rFonts w:ascii="Tahoma" w:hAnsi="Tahoma" w:cs="Arial"/>
          <w:sz w:val="22"/>
          <w:szCs w:val="22"/>
        </w:rPr>
        <w:t xml:space="preserve">When demand is down, it is the best time to implement maintenance work in the facilities, train people, develop service manuals, upgrade standards of facilities and services, implement </w:t>
      </w:r>
      <w:r w:rsidR="00D22AD8">
        <w:rPr>
          <w:rFonts w:ascii="Tahoma" w:hAnsi="Tahoma" w:cs="Arial"/>
          <w:sz w:val="22"/>
          <w:szCs w:val="22"/>
        </w:rPr>
        <w:t>GREEN TOURISM</w:t>
      </w:r>
      <w:r w:rsidRPr="00633CEF">
        <w:rPr>
          <w:rFonts w:ascii="Tahoma" w:hAnsi="Tahoma" w:cs="Arial"/>
          <w:sz w:val="22"/>
          <w:szCs w:val="22"/>
        </w:rPr>
        <w:t xml:space="preserve"> programs </w:t>
      </w:r>
      <w:r w:rsidR="00D22AD8">
        <w:rPr>
          <w:rFonts w:ascii="Tahoma" w:hAnsi="Tahoma" w:cs="Arial"/>
          <w:sz w:val="22"/>
          <w:szCs w:val="22"/>
        </w:rPr>
        <w:t>or projects</w:t>
      </w:r>
      <w:r w:rsidRPr="00633CEF">
        <w:rPr>
          <w:rFonts w:ascii="Tahoma" w:hAnsi="Tahoma" w:cs="Arial"/>
          <w:sz w:val="22"/>
          <w:szCs w:val="22"/>
        </w:rPr>
        <w:t xml:space="preserve">, develop new products and improve the existing products (in terms of packaging, labeling, etc.), enhance data collection systems especially at the destination levels.  Training human resources is a strategy pursued by global tourism brands during crisis, thus making them more competitive after the crisis.  </w:t>
      </w:r>
      <w:r w:rsidRPr="00633CEF">
        <w:rPr>
          <w:rFonts w:ascii="Tahoma" w:hAnsi="Tahoma" w:cs="Arial"/>
          <w:sz w:val="22"/>
          <w:szCs w:val="22"/>
        </w:rPr>
        <w:lastRenderedPageBreak/>
        <w:t>The government can consider giving incentives for those that will conduct training programs in the country (e.g.</w:t>
      </w:r>
      <w:r w:rsidR="00754A58">
        <w:rPr>
          <w:rFonts w:ascii="Tahoma" w:hAnsi="Tahoma" w:cs="Arial"/>
          <w:sz w:val="22"/>
          <w:szCs w:val="22"/>
        </w:rPr>
        <w:t xml:space="preserve"> </w:t>
      </w:r>
      <w:r w:rsidRPr="00633CEF">
        <w:rPr>
          <w:rFonts w:ascii="Tahoma" w:hAnsi="Tahoma" w:cs="Arial"/>
          <w:color w:val="000000"/>
          <w:sz w:val="22"/>
          <w:szCs w:val="22"/>
        </w:rPr>
        <w:t>double tax deductions for the expenses incurred).</w:t>
      </w:r>
      <w:r w:rsidR="00217FA2">
        <w:rPr>
          <w:rFonts w:ascii="Tahoma" w:hAnsi="Tahoma" w:cs="Arial"/>
          <w:color w:val="000000"/>
          <w:sz w:val="22"/>
          <w:szCs w:val="22"/>
        </w:rPr>
        <w:t xml:space="preserve"> Products such as cruise tourism  </w:t>
      </w:r>
    </w:p>
    <w:p w:rsidR="00220D31" w:rsidRDefault="00220D31" w:rsidP="002860CC">
      <w:pPr>
        <w:jc w:val="both"/>
        <w:rPr>
          <w:rFonts w:ascii="Tahoma" w:hAnsi="Tahoma" w:cs="Arial"/>
          <w:sz w:val="22"/>
          <w:szCs w:val="22"/>
        </w:rPr>
      </w:pPr>
    </w:p>
    <w:p w:rsidR="002860CC" w:rsidRPr="002860CC" w:rsidRDefault="002860CC" w:rsidP="002860CC">
      <w:pPr>
        <w:jc w:val="both"/>
        <w:rPr>
          <w:rFonts w:ascii="Tahoma" w:hAnsi="Tahoma" w:cs="Arial"/>
          <w:b/>
          <w:sz w:val="22"/>
          <w:szCs w:val="22"/>
        </w:rPr>
      </w:pPr>
      <w:r w:rsidRPr="002860CC">
        <w:rPr>
          <w:rFonts w:ascii="Tahoma" w:hAnsi="Tahoma" w:cs="Arial"/>
          <w:b/>
          <w:sz w:val="22"/>
          <w:szCs w:val="22"/>
        </w:rPr>
        <w:t xml:space="preserve">2. Intensify investment mobilization </w:t>
      </w:r>
    </w:p>
    <w:p w:rsidR="002860CC" w:rsidRPr="00633CEF" w:rsidRDefault="002860CC" w:rsidP="002860CC">
      <w:pPr>
        <w:ind w:left="720"/>
        <w:jc w:val="both"/>
        <w:rPr>
          <w:rFonts w:ascii="Tahoma" w:hAnsi="Tahoma" w:cs="Arial"/>
          <w:sz w:val="22"/>
          <w:szCs w:val="22"/>
        </w:rPr>
      </w:pPr>
    </w:p>
    <w:p w:rsidR="002860CC" w:rsidRDefault="002860CC" w:rsidP="002860CC">
      <w:pPr>
        <w:jc w:val="both"/>
        <w:rPr>
          <w:rFonts w:ascii="Tahoma" w:hAnsi="Tahoma" w:cs="Arial"/>
          <w:sz w:val="22"/>
          <w:szCs w:val="22"/>
        </w:rPr>
      </w:pPr>
      <w:r w:rsidRPr="00633CEF">
        <w:rPr>
          <w:rFonts w:ascii="Tahoma" w:hAnsi="Tahoma" w:cs="Arial"/>
          <w:sz w:val="22"/>
          <w:szCs w:val="22"/>
        </w:rPr>
        <w:t xml:space="preserve">The </w:t>
      </w:r>
      <w:smartTag w:uri="urn:schemas-microsoft-com:office:smarttags" w:element="country-region">
        <w:smartTag w:uri="urn:schemas-microsoft-com:office:smarttags" w:element="place">
          <w:r w:rsidRPr="00633CEF">
            <w:rPr>
              <w:rFonts w:ascii="Tahoma" w:hAnsi="Tahoma" w:cs="Arial"/>
              <w:sz w:val="22"/>
              <w:szCs w:val="22"/>
            </w:rPr>
            <w:t>Philippines</w:t>
          </w:r>
        </w:smartTag>
      </w:smartTag>
      <w:r w:rsidRPr="00633CEF">
        <w:rPr>
          <w:rFonts w:ascii="Tahoma" w:hAnsi="Tahoma" w:cs="Arial"/>
          <w:sz w:val="22"/>
          <w:szCs w:val="22"/>
        </w:rPr>
        <w:t xml:space="preserve"> has already gained the attention of the international investment community with the entry of global tourism brands in the past four years.  Now is the time to intensify the interest of both foreign and local investors in the potentials of tourism. Promotions should continue to generate interest in the </w:t>
      </w:r>
      <w:smartTag w:uri="urn:schemas-microsoft-com:office:smarttags" w:element="country-region">
        <w:smartTag w:uri="urn:schemas-microsoft-com:office:smarttags" w:element="place">
          <w:r w:rsidRPr="00633CEF">
            <w:rPr>
              <w:rFonts w:ascii="Tahoma" w:hAnsi="Tahoma" w:cs="Arial"/>
              <w:sz w:val="22"/>
              <w:szCs w:val="22"/>
            </w:rPr>
            <w:t>Philippines</w:t>
          </w:r>
        </w:smartTag>
      </w:smartTag>
      <w:r w:rsidRPr="00633CEF">
        <w:rPr>
          <w:rFonts w:ascii="Tahoma" w:hAnsi="Tahoma" w:cs="Arial"/>
          <w:sz w:val="22"/>
          <w:szCs w:val="22"/>
        </w:rPr>
        <w:t xml:space="preserve"> not only as a tourism site but also as an investment location.  The promotional programs should also cater to local investors that have either the land or the network to put together projects.  </w:t>
      </w:r>
    </w:p>
    <w:p w:rsidR="002F2FBE" w:rsidRPr="00633CEF" w:rsidRDefault="002F2FBE" w:rsidP="002860CC">
      <w:pPr>
        <w:jc w:val="both"/>
        <w:rPr>
          <w:rFonts w:ascii="Tahoma" w:hAnsi="Tahoma" w:cs="Arial"/>
          <w:sz w:val="22"/>
          <w:szCs w:val="22"/>
        </w:rPr>
      </w:pPr>
    </w:p>
    <w:p w:rsidR="002860CC" w:rsidRPr="00633CEF" w:rsidRDefault="002F2FBE" w:rsidP="002860CC">
      <w:pPr>
        <w:jc w:val="both"/>
        <w:rPr>
          <w:rFonts w:ascii="Tahoma" w:hAnsi="Tahoma" w:cs="Arial"/>
          <w:bCs/>
          <w:sz w:val="22"/>
          <w:szCs w:val="22"/>
        </w:rPr>
      </w:pPr>
      <w:r>
        <w:rPr>
          <w:rFonts w:ascii="Tahoma" w:hAnsi="Tahoma" w:cs="Arial"/>
          <w:bCs/>
          <w:sz w:val="22"/>
          <w:szCs w:val="22"/>
        </w:rPr>
        <w:t xml:space="preserve">This program should be accompanied by the improvement of </w:t>
      </w:r>
      <w:r w:rsidR="002860CC" w:rsidRPr="00633CEF">
        <w:rPr>
          <w:rFonts w:ascii="Tahoma" w:hAnsi="Tahoma" w:cs="Arial"/>
          <w:bCs/>
          <w:sz w:val="22"/>
          <w:szCs w:val="22"/>
        </w:rPr>
        <w:t>LGU capabilities</w:t>
      </w:r>
      <w:r>
        <w:rPr>
          <w:rFonts w:ascii="Tahoma" w:hAnsi="Tahoma" w:cs="Arial"/>
          <w:bCs/>
          <w:sz w:val="22"/>
          <w:szCs w:val="22"/>
        </w:rPr>
        <w:t>, particularly in ensuring high quality of standards of facilities and services</w:t>
      </w:r>
      <w:r w:rsidR="002860CC" w:rsidRPr="00633CEF">
        <w:rPr>
          <w:rFonts w:ascii="Tahoma" w:hAnsi="Tahoma" w:cs="Arial"/>
          <w:bCs/>
          <w:sz w:val="22"/>
          <w:szCs w:val="22"/>
        </w:rPr>
        <w:t>. If the President signs the Tourism Act of 2009 jointly passed by the two legislative bodies, this will provide opportunities for greater investment mobilization and further integration of the LGus and the national government in tourism development through the leadership of the DOT.  It is important that issues related to the move to rationalize incentives be settled as soon as possible.</w:t>
      </w:r>
    </w:p>
    <w:p w:rsidR="002860CC" w:rsidRPr="00633CEF" w:rsidRDefault="002860CC" w:rsidP="002860CC">
      <w:pPr>
        <w:jc w:val="both"/>
        <w:rPr>
          <w:rFonts w:ascii="Tahoma" w:hAnsi="Tahoma" w:cs="Arial"/>
          <w:sz w:val="22"/>
          <w:szCs w:val="22"/>
        </w:rPr>
      </w:pPr>
    </w:p>
    <w:p w:rsidR="00220D31" w:rsidRPr="00633CEF" w:rsidRDefault="00220D31" w:rsidP="00220D31">
      <w:pPr>
        <w:jc w:val="both"/>
        <w:rPr>
          <w:rFonts w:ascii="Tahoma" w:hAnsi="Tahoma" w:cs="Arial"/>
          <w:sz w:val="22"/>
          <w:szCs w:val="22"/>
        </w:rPr>
      </w:pPr>
      <w:r w:rsidRPr="00633CEF">
        <w:rPr>
          <w:rFonts w:ascii="Tahoma" w:hAnsi="Tahoma" w:cs="Arial"/>
          <w:sz w:val="22"/>
          <w:szCs w:val="22"/>
        </w:rPr>
        <w:t xml:space="preserve">Investment mobilization can also be supported by the national government stimulus program. In the case of tourism, the DOT, through its </w:t>
      </w:r>
      <w:r w:rsidRPr="00633CEF">
        <w:rPr>
          <w:rFonts w:ascii="Tahoma" w:hAnsi="Tahoma" w:cs="Arial"/>
          <w:bCs/>
          <w:sz w:val="22"/>
          <w:szCs w:val="22"/>
        </w:rPr>
        <w:t>Grassroots for Entrepreneurship and Employment in Tourism (GREET)</w:t>
      </w:r>
      <w:r w:rsidRPr="00633CEF">
        <w:rPr>
          <w:rFonts w:ascii="Tahoma" w:hAnsi="Tahoma" w:cs="Arial"/>
          <w:sz w:val="22"/>
          <w:szCs w:val="22"/>
        </w:rPr>
        <w:t xml:space="preserve"> has </w:t>
      </w:r>
      <w:r w:rsidRPr="00633CEF">
        <w:rPr>
          <w:rFonts w:ascii="Tahoma" w:hAnsi="Tahoma" w:cs="Arial"/>
          <w:bCs/>
          <w:sz w:val="22"/>
          <w:szCs w:val="22"/>
        </w:rPr>
        <w:t xml:space="preserve">stepped up the granting of financial subsidies to tourism establishments located in provincial areas to upgrade both facilities and services to local and foreign travelers. Now on its second year of implementation, the GREET has expanded from eco-tourism programs to tourism livelihood projects in general.  The private sector, LGUs and international agencies are welcome to provide counterpart funding or support. </w:t>
      </w:r>
    </w:p>
    <w:p w:rsidR="00220D31" w:rsidRDefault="00220D31" w:rsidP="00712B7D">
      <w:pPr>
        <w:jc w:val="both"/>
        <w:rPr>
          <w:rFonts w:ascii="Tahoma" w:hAnsi="Tahoma" w:cs="Arial"/>
          <w:bCs/>
          <w:sz w:val="22"/>
          <w:szCs w:val="22"/>
        </w:rPr>
      </w:pPr>
    </w:p>
    <w:p w:rsidR="002860CC" w:rsidRPr="002860CC" w:rsidRDefault="002860CC" w:rsidP="002860CC">
      <w:pPr>
        <w:jc w:val="both"/>
        <w:rPr>
          <w:rFonts w:ascii="Tahoma" w:hAnsi="Tahoma" w:cs="Arial"/>
          <w:b/>
          <w:bCs/>
          <w:sz w:val="22"/>
          <w:szCs w:val="22"/>
        </w:rPr>
      </w:pPr>
      <w:r w:rsidRPr="00B46A2C">
        <w:rPr>
          <w:rFonts w:ascii="Tahoma" w:hAnsi="Tahoma" w:cs="Arial"/>
          <w:b/>
          <w:sz w:val="22"/>
          <w:szCs w:val="22"/>
        </w:rPr>
        <w:t xml:space="preserve">3.  </w:t>
      </w:r>
      <w:r w:rsidRPr="002860CC">
        <w:rPr>
          <w:rFonts w:ascii="Tahoma" w:hAnsi="Tahoma" w:cs="Arial"/>
          <w:b/>
          <w:bCs/>
          <w:sz w:val="22"/>
          <w:szCs w:val="22"/>
        </w:rPr>
        <w:t xml:space="preserve">Enhance international and local connectivity and reduce travel costs </w:t>
      </w:r>
    </w:p>
    <w:p w:rsidR="003B5064" w:rsidRDefault="003B5064" w:rsidP="003B5064">
      <w:pPr>
        <w:jc w:val="both"/>
        <w:rPr>
          <w:rFonts w:ascii="Tahoma" w:hAnsi="Tahoma" w:cs="Arial"/>
          <w:bCs/>
          <w:sz w:val="22"/>
          <w:szCs w:val="22"/>
        </w:rPr>
      </w:pPr>
    </w:p>
    <w:p w:rsidR="003B5064" w:rsidRDefault="003B5064" w:rsidP="003B5064">
      <w:pPr>
        <w:jc w:val="both"/>
        <w:rPr>
          <w:rFonts w:ascii="Tahoma" w:hAnsi="Tahoma" w:cs="Arial"/>
          <w:sz w:val="22"/>
          <w:szCs w:val="22"/>
        </w:rPr>
      </w:pPr>
      <w:r w:rsidRPr="00633CEF">
        <w:rPr>
          <w:rFonts w:ascii="Tahoma" w:hAnsi="Tahoma" w:cs="Arial"/>
          <w:sz w:val="22"/>
          <w:szCs w:val="22"/>
        </w:rPr>
        <w:t xml:space="preserve">This crisis period is the right time to mobilize investments to generate jobs and income and prepare infrastructure and human resources in time for the economic recovery.  Even the </w:t>
      </w:r>
      <w:r>
        <w:rPr>
          <w:rFonts w:ascii="Tahoma" w:hAnsi="Tahoma" w:cs="Arial"/>
          <w:sz w:val="22"/>
          <w:szCs w:val="22"/>
        </w:rPr>
        <w:t>WTO</w:t>
      </w:r>
      <w:r w:rsidRPr="00633CEF">
        <w:rPr>
          <w:rFonts w:ascii="Tahoma" w:hAnsi="Tahoma" w:cs="Arial"/>
          <w:sz w:val="22"/>
          <w:szCs w:val="22"/>
        </w:rPr>
        <w:t xml:space="preserve"> recognized that tourism can in fact be the stimulus for economic recovery.   In general, infrastructure to improve farm to market access in the countryside and in the metropolis will benefit tourism as evidenced in the case of </w:t>
      </w:r>
      <w:smartTag w:uri="urn:schemas-microsoft-com:office:smarttags" w:element="country-region">
        <w:smartTag w:uri="urn:schemas-microsoft-com:office:smarttags" w:element="place">
          <w:r w:rsidRPr="00633CEF">
            <w:rPr>
              <w:rFonts w:ascii="Tahoma" w:hAnsi="Tahoma" w:cs="Arial"/>
              <w:sz w:val="22"/>
              <w:szCs w:val="22"/>
            </w:rPr>
            <w:t>Thailand</w:t>
          </w:r>
        </w:smartTag>
      </w:smartTag>
      <w:r w:rsidRPr="00633CEF">
        <w:rPr>
          <w:rFonts w:ascii="Tahoma" w:hAnsi="Tahoma" w:cs="Arial"/>
          <w:sz w:val="22"/>
          <w:szCs w:val="22"/>
        </w:rPr>
        <w:t>.  The DPWH, DOT, DOTC already have a list of these projects. The airports</w:t>
      </w:r>
      <w:r>
        <w:rPr>
          <w:rFonts w:ascii="Tahoma" w:hAnsi="Tahoma" w:cs="Arial"/>
          <w:sz w:val="22"/>
          <w:szCs w:val="22"/>
        </w:rPr>
        <w:t xml:space="preserve"> and ports</w:t>
      </w:r>
      <w:r w:rsidRPr="00633CEF">
        <w:rPr>
          <w:rFonts w:ascii="Tahoma" w:hAnsi="Tahoma" w:cs="Arial"/>
          <w:sz w:val="22"/>
          <w:szCs w:val="22"/>
        </w:rPr>
        <w:t xml:space="preserve"> should be a priority in relation to improving processes and ensuring safety of travelers</w:t>
      </w:r>
      <w:r>
        <w:rPr>
          <w:rFonts w:ascii="Tahoma" w:hAnsi="Tahoma" w:cs="Arial"/>
          <w:sz w:val="22"/>
          <w:szCs w:val="22"/>
        </w:rPr>
        <w:t xml:space="preserve">.  There has been underinvestment in airport facilities </w:t>
      </w:r>
      <w:r w:rsidR="00657FA0">
        <w:rPr>
          <w:rFonts w:ascii="Tahoma" w:hAnsi="Tahoma" w:cs="Arial"/>
          <w:sz w:val="22"/>
          <w:szCs w:val="22"/>
        </w:rPr>
        <w:t xml:space="preserve">and process improvements </w:t>
      </w:r>
      <w:r>
        <w:rPr>
          <w:rFonts w:ascii="Tahoma" w:hAnsi="Tahoma" w:cs="Arial"/>
          <w:sz w:val="22"/>
          <w:szCs w:val="22"/>
        </w:rPr>
        <w:t>in the past decade</w:t>
      </w:r>
      <w:r w:rsidR="00657FA0">
        <w:rPr>
          <w:rFonts w:ascii="Tahoma" w:hAnsi="Tahoma" w:cs="Arial"/>
          <w:sz w:val="22"/>
          <w:szCs w:val="22"/>
        </w:rPr>
        <w:t>s</w:t>
      </w:r>
      <w:r>
        <w:rPr>
          <w:rFonts w:ascii="Tahoma" w:hAnsi="Tahoma" w:cs="Arial"/>
          <w:sz w:val="22"/>
          <w:szCs w:val="22"/>
        </w:rPr>
        <w:t>.</w:t>
      </w:r>
      <w:r w:rsidRPr="00633CEF">
        <w:rPr>
          <w:rFonts w:ascii="Tahoma" w:hAnsi="Tahoma" w:cs="Arial"/>
          <w:sz w:val="22"/>
          <w:szCs w:val="22"/>
        </w:rPr>
        <w:t xml:space="preserve">  </w:t>
      </w:r>
      <w:r w:rsidR="00BB39AE">
        <w:rPr>
          <w:rFonts w:ascii="Tahoma" w:hAnsi="Tahoma" w:cs="Arial"/>
          <w:sz w:val="22"/>
          <w:szCs w:val="22"/>
        </w:rPr>
        <w:t xml:space="preserve">Local connectivity can also be improved with the completion of mass transport projects (e.g. rail system) within the metropolis and between the metropolis and its environs. </w:t>
      </w:r>
      <w:r w:rsidRPr="00633CEF">
        <w:rPr>
          <w:rFonts w:ascii="Tahoma" w:hAnsi="Tahoma" w:cs="Arial"/>
          <w:sz w:val="22"/>
          <w:szCs w:val="22"/>
        </w:rPr>
        <w:t>Monitoring will be another critical component in overall competitiveness.</w:t>
      </w:r>
      <w:r>
        <w:rPr>
          <w:rFonts w:ascii="Tahoma" w:hAnsi="Tahoma" w:cs="Arial"/>
          <w:sz w:val="22"/>
          <w:szCs w:val="22"/>
        </w:rPr>
        <w:t xml:space="preserve">  </w:t>
      </w:r>
    </w:p>
    <w:p w:rsidR="003B5064" w:rsidRPr="00633CEF" w:rsidRDefault="003B5064" w:rsidP="003B5064">
      <w:pPr>
        <w:jc w:val="both"/>
        <w:rPr>
          <w:rFonts w:ascii="Tahoma" w:hAnsi="Tahoma" w:cs="Arial"/>
          <w:sz w:val="22"/>
          <w:szCs w:val="22"/>
        </w:rPr>
      </w:pPr>
    </w:p>
    <w:p w:rsidR="00A44681" w:rsidRDefault="00BB39AE" w:rsidP="00442BEF">
      <w:pPr>
        <w:jc w:val="both"/>
        <w:rPr>
          <w:rFonts w:ascii="Tahoma" w:hAnsi="Tahoma" w:cs="Arial"/>
          <w:sz w:val="22"/>
          <w:szCs w:val="22"/>
        </w:rPr>
      </w:pPr>
      <w:r w:rsidRPr="00633CEF">
        <w:rPr>
          <w:rFonts w:ascii="Tahoma" w:hAnsi="Tahoma" w:cs="Arial"/>
          <w:sz w:val="22"/>
          <w:szCs w:val="22"/>
        </w:rPr>
        <w:t xml:space="preserve">International connectivity is another crucial element for tourism competitiveness. </w:t>
      </w:r>
      <w:r w:rsidR="00EA5250">
        <w:rPr>
          <w:rFonts w:ascii="Tahoma" w:hAnsi="Tahoma" w:cs="Arial"/>
          <w:sz w:val="22"/>
          <w:szCs w:val="22"/>
        </w:rPr>
        <w:t xml:space="preserve">  </w:t>
      </w:r>
      <w:r w:rsidR="00ED1BAC">
        <w:rPr>
          <w:rFonts w:ascii="Tahoma" w:hAnsi="Tahoma" w:cs="Arial"/>
          <w:bCs/>
          <w:sz w:val="22"/>
          <w:szCs w:val="22"/>
        </w:rPr>
        <w:t>From May 2007 to March 2009,</w:t>
      </w:r>
      <w:r w:rsidR="00891D77">
        <w:rPr>
          <w:rFonts w:ascii="Tahoma" w:hAnsi="Tahoma" w:cs="Arial"/>
          <w:bCs/>
          <w:sz w:val="22"/>
          <w:szCs w:val="22"/>
        </w:rPr>
        <w:t xml:space="preserve"> the </w:t>
      </w:r>
      <w:r w:rsidR="00AA2CD5" w:rsidRPr="00633CEF">
        <w:rPr>
          <w:rFonts w:ascii="Tahoma" w:hAnsi="Tahoma" w:cs="Arial"/>
          <w:sz w:val="22"/>
          <w:szCs w:val="22"/>
        </w:rPr>
        <w:t xml:space="preserve">DOTC </w:t>
      </w:r>
      <w:r w:rsidR="009E353C">
        <w:rPr>
          <w:rFonts w:ascii="Tahoma" w:hAnsi="Tahoma" w:cs="Arial"/>
          <w:sz w:val="22"/>
          <w:szCs w:val="22"/>
        </w:rPr>
        <w:t xml:space="preserve">pursued and concluded </w:t>
      </w:r>
      <w:r w:rsidR="00AA2CD5" w:rsidRPr="00633CEF">
        <w:rPr>
          <w:rFonts w:ascii="Tahoma" w:hAnsi="Tahoma" w:cs="Arial"/>
          <w:sz w:val="22"/>
          <w:szCs w:val="22"/>
        </w:rPr>
        <w:t xml:space="preserve">bilateral air talks with a number of countries, thus leading to significant increases in </w:t>
      </w:r>
      <w:r w:rsidR="00891D77">
        <w:rPr>
          <w:rFonts w:ascii="Tahoma" w:hAnsi="Tahoma" w:cs="Arial"/>
          <w:sz w:val="22"/>
          <w:szCs w:val="22"/>
        </w:rPr>
        <w:t xml:space="preserve">air </w:t>
      </w:r>
      <w:r w:rsidR="00AA2CD5" w:rsidRPr="00633CEF">
        <w:rPr>
          <w:rFonts w:ascii="Tahoma" w:hAnsi="Tahoma" w:cs="Arial"/>
          <w:sz w:val="22"/>
          <w:szCs w:val="22"/>
        </w:rPr>
        <w:t>se</w:t>
      </w:r>
      <w:r w:rsidR="002D1B1C" w:rsidRPr="00633CEF">
        <w:rPr>
          <w:rFonts w:ascii="Tahoma" w:hAnsi="Tahoma" w:cs="Arial"/>
          <w:sz w:val="22"/>
          <w:szCs w:val="22"/>
        </w:rPr>
        <w:t xml:space="preserve">at capacity.  </w:t>
      </w:r>
      <w:r w:rsidR="00ED1BAC">
        <w:rPr>
          <w:rFonts w:ascii="Tahoma" w:hAnsi="Tahoma" w:cs="Arial"/>
          <w:sz w:val="22"/>
          <w:szCs w:val="22"/>
        </w:rPr>
        <w:t xml:space="preserve">This has been a marked improvement from the relatively low record of one air talk per year during the period 1997 to 2007. </w:t>
      </w:r>
      <w:r w:rsidR="002D1B1C" w:rsidRPr="00633CEF">
        <w:rPr>
          <w:rFonts w:ascii="Tahoma" w:hAnsi="Tahoma" w:cs="Arial"/>
          <w:sz w:val="22"/>
          <w:szCs w:val="22"/>
        </w:rPr>
        <w:t xml:space="preserve">The government should </w:t>
      </w:r>
      <w:r w:rsidR="00927914">
        <w:rPr>
          <w:rFonts w:ascii="Tahoma" w:hAnsi="Tahoma" w:cs="Arial"/>
          <w:sz w:val="22"/>
          <w:szCs w:val="22"/>
        </w:rPr>
        <w:t xml:space="preserve">continue </w:t>
      </w:r>
      <w:r w:rsidR="002D1B1C" w:rsidRPr="00633CEF">
        <w:rPr>
          <w:rFonts w:ascii="Tahoma" w:hAnsi="Tahoma" w:cs="Arial"/>
          <w:sz w:val="22"/>
          <w:szCs w:val="22"/>
        </w:rPr>
        <w:t xml:space="preserve">enabling secondary gateways to develop outside of </w:t>
      </w:r>
      <w:r w:rsidR="00347661" w:rsidRPr="00633CEF">
        <w:rPr>
          <w:rFonts w:ascii="Tahoma" w:hAnsi="Tahoma" w:cs="Arial"/>
          <w:sz w:val="22"/>
          <w:szCs w:val="22"/>
        </w:rPr>
        <w:t xml:space="preserve">the restrictions of the </w:t>
      </w:r>
      <w:r w:rsidR="002D1B1C" w:rsidRPr="00633CEF">
        <w:rPr>
          <w:rFonts w:ascii="Tahoma" w:hAnsi="Tahoma" w:cs="Arial"/>
          <w:sz w:val="22"/>
          <w:szCs w:val="22"/>
        </w:rPr>
        <w:t xml:space="preserve">bilateral framework.  </w:t>
      </w:r>
      <w:r w:rsidR="00B17262">
        <w:rPr>
          <w:rFonts w:ascii="Tahoma" w:hAnsi="Tahoma" w:cs="Arial"/>
          <w:sz w:val="22"/>
          <w:szCs w:val="22"/>
        </w:rPr>
        <w:t xml:space="preserve">Liberalizing the entry into </w:t>
      </w:r>
      <w:r w:rsidR="00B17262" w:rsidRPr="002860CC">
        <w:rPr>
          <w:rFonts w:ascii="Tahoma" w:hAnsi="Tahoma" w:cs="Arial"/>
          <w:bCs/>
          <w:sz w:val="22"/>
          <w:szCs w:val="22"/>
        </w:rPr>
        <w:t>secondary international gateways</w:t>
      </w:r>
      <w:r w:rsidR="00B17262">
        <w:rPr>
          <w:rFonts w:ascii="Tahoma" w:hAnsi="Tahoma" w:cs="Arial"/>
          <w:bCs/>
          <w:sz w:val="22"/>
          <w:szCs w:val="22"/>
        </w:rPr>
        <w:t xml:space="preserve"> can enable the faster development of tourism destinations through faster and cheaper access.  </w:t>
      </w:r>
      <w:r w:rsidR="00927914">
        <w:rPr>
          <w:rFonts w:ascii="Tahoma" w:hAnsi="Tahoma" w:cs="Arial"/>
          <w:sz w:val="22"/>
          <w:szCs w:val="22"/>
        </w:rPr>
        <w:t xml:space="preserve">The recent agreement with </w:t>
      </w:r>
      <w:smartTag w:uri="urn:schemas-microsoft-com:office:smarttags" w:element="country-region">
        <w:smartTag w:uri="urn:schemas-microsoft-com:office:smarttags" w:element="place">
          <w:r w:rsidR="00927914">
            <w:rPr>
              <w:rFonts w:ascii="Tahoma" w:hAnsi="Tahoma" w:cs="Arial"/>
              <w:sz w:val="22"/>
              <w:szCs w:val="22"/>
            </w:rPr>
            <w:t>Australia</w:t>
          </w:r>
        </w:smartTag>
      </w:smartTag>
      <w:r w:rsidR="00927914">
        <w:rPr>
          <w:rFonts w:ascii="Tahoma" w:hAnsi="Tahoma" w:cs="Arial"/>
          <w:sz w:val="22"/>
          <w:szCs w:val="22"/>
        </w:rPr>
        <w:t xml:space="preserve"> provides unrestricted </w:t>
      </w:r>
      <w:r w:rsidR="00D32532">
        <w:rPr>
          <w:rFonts w:ascii="Tahoma" w:hAnsi="Tahoma" w:cs="Arial"/>
          <w:sz w:val="22"/>
          <w:szCs w:val="22"/>
        </w:rPr>
        <w:t xml:space="preserve">point to point </w:t>
      </w:r>
      <w:r w:rsidR="00927914">
        <w:rPr>
          <w:rFonts w:ascii="Tahoma" w:hAnsi="Tahoma" w:cs="Arial"/>
          <w:sz w:val="22"/>
          <w:szCs w:val="22"/>
        </w:rPr>
        <w:t xml:space="preserve">capacity to and from some secondary points of </w:t>
      </w:r>
      <w:smartTag w:uri="urn:schemas-microsoft-com:office:smarttags" w:element="country-region">
        <w:smartTag w:uri="urn:schemas-microsoft-com:office:smarttags" w:element="place">
          <w:r w:rsidR="00927914">
            <w:rPr>
              <w:rFonts w:ascii="Tahoma" w:hAnsi="Tahoma" w:cs="Arial"/>
              <w:sz w:val="22"/>
              <w:szCs w:val="22"/>
            </w:rPr>
            <w:lastRenderedPageBreak/>
            <w:t>Australia</w:t>
          </w:r>
        </w:smartTag>
      </w:smartTag>
      <w:r w:rsidR="00927914">
        <w:rPr>
          <w:rFonts w:ascii="Tahoma" w:hAnsi="Tahoma" w:cs="Arial"/>
          <w:sz w:val="22"/>
          <w:szCs w:val="22"/>
        </w:rPr>
        <w:t xml:space="preserve"> to </w:t>
      </w:r>
      <w:smartTag w:uri="urn:schemas-microsoft-com:office:smarttags" w:element="place">
        <w:r w:rsidR="00927914">
          <w:rPr>
            <w:rFonts w:ascii="Tahoma" w:hAnsi="Tahoma" w:cs="Arial"/>
            <w:sz w:val="22"/>
            <w:szCs w:val="22"/>
          </w:rPr>
          <w:t>Cebu</w:t>
        </w:r>
      </w:smartTag>
      <w:r w:rsidR="00D32532">
        <w:rPr>
          <w:rFonts w:ascii="Tahoma" w:hAnsi="Tahoma" w:cs="Arial"/>
          <w:sz w:val="22"/>
          <w:szCs w:val="22"/>
        </w:rPr>
        <w:t>,</w:t>
      </w:r>
      <w:r w:rsidR="00927914">
        <w:rPr>
          <w:rFonts w:ascii="Tahoma" w:hAnsi="Tahoma" w:cs="Arial"/>
          <w:sz w:val="22"/>
          <w:szCs w:val="22"/>
        </w:rPr>
        <w:t xml:space="preserve"> </w:t>
      </w:r>
      <w:smartTag w:uri="urn:schemas-microsoft-com:office:smarttags" w:element="City">
        <w:smartTag w:uri="urn:schemas-microsoft-com:office:smarttags" w:element="place">
          <w:r w:rsidR="00927914">
            <w:rPr>
              <w:rFonts w:ascii="Tahoma" w:hAnsi="Tahoma" w:cs="Arial"/>
              <w:sz w:val="22"/>
              <w:szCs w:val="22"/>
            </w:rPr>
            <w:t>Davao</w:t>
          </w:r>
        </w:smartTag>
      </w:smartTag>
      <w:r w:rsidR="00927914">
        <w:rPr>
          <w:rFonts w:ascii="Tahoma" w:hAnsi="Tahoma" w:cs="Arial"/>
          <w:sz w:val="22"/>
          <w:szCs w:val="22"/>
        </w:rPr>
        <w:t xml:space="preserve"> </w:t>
      </w:r>
      <w:r w:rsidR="00D32532">
        <w:rPr>
          <w:rFonts w:ascii="Tahoma" w:hAnsi="Tahoma" w:cs="Arial"/>
          <w:sz w:val="22"/>
          <w:szCs w:val="22"/>
        </w:rPr>
        <w:t xml:space="preserve">and other gateways outside of </w:t>
      </w:r>
      <w:smartTag w:uri="urn:schemas-microsoft-com:office:smarttags" w:element="City">
        <w:smartTag w:uri="urn:schemas-microsoft-com:office:smarttags" w:element="place">
          <w:r w:rsidR="00D32532">
            <w:rPr>
              <w:rFonts w:ascii="Tahoma" w:hAnsi="Tahoma" w:cs="Arial"/>
              <w:sz w:val="22"/>
              <w:szCs w:val="22"/>
            </w:rPr>
            <w:t>Manila</w:t>
          </w:r>
        </w:smartTag>
      </w:smartTag>
      <w:r w:rsidR="00D32532">
        <w:rPr>
          <w:rFonts w:ascii="Tahoma" w:hAnsi="Tahoma" w:cs="Arial"/>
          <w:sz w:val="22"/>
          <w:szCs w:val="22"/>
        </w:rPr>
        <w:t xml:space="preserve"> and </w:t>
      </w:r>
      <w:smartTag w:uri="urn:schemas-microsoft-com:office:smarttags" w:element="place">
        <w:r w:rsidR="00D32532">
          <w:rPr>
            <w:rFonts w:ascii="Tahoma" w:hAnsi="Tahoma" w:cs="Arial"/>
            <w:sz w:val="22"/>
            <w:szCs w:val="22"/>
          </w:rPr>
          <w:t>Clark</w:t>
        </w:r>
      </w:smartTag>
      <w:r w:rsidR="00DD3629">
        <w:rPr>
          <w:rFonts w:ascii="Tahoma" w:hAnsi="Tahoma" w:cs="Arial"/>
          <w:sz w:val="22"/>
          <w:szCs w:val="22"/>
        </w:rPr>
        <w:t xml:space="preserve">.  This </w:t>
      </w:r>
      <w:r w:rsidR="00D32532">
        <w:rPr>
          <w:rFonts w:ascii="Tahoma" w:hAnsi="Tahoma" w:cs="Arial"/>
          <w:sz w:val="22"/>
          <w:szCs w:val="22"/>
        </w:rPr>
        <w:t xml:space="preserve">should serve as opportunity to expand the arrivals from </w:t>
      </w:r>
      <w:smartTag w:uri="urn:schemas-microsoft-com:office:smarttags" w:element="country-region">
        <w:smartTag w:uri="urn:schemas-microsoft-com:office:smarttags" w:element="place">
          <w:r w:rsidR="00D32532">
            <w:rPr>
              <w:rFonts w:ascii="Tahoma" w:hAnsi="Tahoma" w:cs="Arial"/>
              <w:sz w:val="22"/>
              <w:szCs w:val="22"/>
            </w:rPr>
            <w:t>Australia</w:t>
          </w:r>
        </w:smartTag>
      </w:smartTag>
      <w:r w:rsidR="00DD3629">
        <w:rPr>
          <w:rFonts w:ascii="Tahoma" w:hAnsi="Tahoma" w:cs="Arial"/>
          <w:sz w:val="22"/>
          <w:szCs w:val="22"/>
        </w:rPr>
        <w:t xml:space="preserve"> and to compete with favorites such as </w:t>
      </w:r>
      <w:smartTag w:uri="urn:schemas-microsoft-com:office:smarttags" w:element="place">
        <w:r w:rsidR="00DD3629">
          <w:rPr>
            <w:rFonts w:ascii="Tahoma" w:hAnsi="Tahoma" w:cs="Arial"/>
            <w:sz w:val="22"/>
            <w:szCs w:val="22"/>
          </w:rPr>
          <w:t>Bali</w:t>
        </w:r>
      </w:smartTag>
      <w:r w:rsidR="00DD3629">
        <w:rPr>
          <w:rFonts w:ascii="Tahoma" w:hAnsi="Tahoma" w:cs="Arial"/>
          <w:sz w:val="22"/>
          <w:szCs w:val="22"/>
        </w:rPr>
        <w:t xml:space="preserve"> and Phuket</w:t>
      </w:r>
      <w:r w:rsidR="00D32532">
        <w:rPr>
          <w:rFonts w:ascii="Tahoma" w:hAnsi="Tahoma" w:cs="Arial"/>
          <w:sz w:val="22"/>
          <w:szCs w:val="22"/>
        </w:rPr>
        <w:t>.</w:t>
      </w:r>
      <w:r w:rsidR="00C536AE">
        <w:rPr>
          <w:rFonts w:ascii="Tahoma" w:hAnsi="Tahoma" w:cs="Arial"/>
          <w:sz w:val="22"/>
          <w:szCs w:val="22"/>
        </w:rPr>
        <w:t xml:space="preserve">  Connectivity can also be improved with the development of port facilities to sup</w:t>
      </w:r>
      <w:r w:rsidR="00B46A2C">
        <w:rPr>
          <w:rFonts w:ascii="Tahoma" w:hAnsi="Tahoma" w:cs="Arial"/>
          <w:sz w:val="22"/>
          <w:szCs w:val="22"/>
        </w:rPr>
        <w:t>port domestic travel via the RORO</w:t>
      </w:r>
      <w:r w:rsidR="00C536AE">
        <w:rPr>
          <w:rFonts w:ascii="Tahoma" w:hAnsi="Tahoma" w:cs="Arial"/>
          <w:sz w:val="22"/>
          <w:szCs w:val="22"/>
        </w:rPr>
        <w:t xml:space="preserve">.  </w:t>
      </w:r>
    </w:p>
    <w:p w:rsidR="00354693" w:rsidRPr="00633CEF" w:rsidRDefault="00354693" w:rsidP="00712B7D">
      <w:pPr>
        <w:jc w:val="both"/>
        <w:rPr>
          <w:rFonts w:ascii="Tahoma" w:hAnsi="Tahoma" w:cs="Arial"/>
          <w:bCs/>
          <w:sz w:val="22"/>
          <w:szCs w:val="22"/>
        </w:rPr>
      </w:pPr>
    </w:p>
    <w:p w:rsidR="00B46A2C" w:rsidRDefault="00B46A2C" w:rsidP="00B46A2C">
      <w:pPr>
        <w:jc w:val="both"/>
        <w:rPr>
          <w:rFonts w:ascii="Tahoma" w:hAnsi="Tahoma" w:cs="Arial"/>
          <w:b/>
          <w:bCs/>
          <w:sz w:val="22"/>
          <w:szCs w:val="22"/>
        </w:rPr>
      </w:pPr>
      <w:r>
        <w:rPr>
          <w:rFonts w:ascii="Tahoma" w:hAnsi="Tahoma" w:cs="Arial"/>
          <w:b/>
          <w:bCs/>
          <w:sz w:val="22"/>
          <w:szCs w:val="22"/>
        </w:rPr>
        <w:t xml:space="preserve">4. </w:t>
      </w:r>
      <w:r w:rsidRPr="00B46A2C">
        <w:rPr>
          <w:rFonts w:ascii="Tahoma" w:hAnsi="Tahoma" w:cs="Arial"/>
          <w:b/>
          <w:bCs/>
          <w:sz w:val="22"/>
          <w:szCs w:val="22"/>
        </w:rPr>
        <w:t>Improve the investment and business climate to support investment mobilization and job generation</w:t>
      </w:r>
    </w:p>
    <w:p w:rsidR="00B46A2C" w:rsidRDefault="00B46A2C" w:rsidP="00B46A2C">
      <w:pPr>
        <w:jc w:val="both"/>
        <w:rPr>
          <w:rFonts w:ascii="Tahoma" w:hAnsi="Tahoma" w:cs="Arial"/>
          <w:b/>
          <w:bCs/>
          <w:sz w:val="22"/>
          <w:szCs w:val="22"/>
        </w:rPr>
      </w:pPr>
    </w:p>
    <w:p w:rsidR="00B46A2C" w:rsidRPr="00B46A2C" w:rsidRDefault="00812097" w:rsidP="00B46A2C">
      <w:pPr>
        <w:jc w:val="both"/>
        <w:rPr>
          <w:rFonts w:ascii="Tahoma" w:hAnsi="Tahoma" w:cs="Arial"/>
          <w:bCs/>
          <w:sz w:val="22"/>
          <w:szCs w:val="22"/>
        </w:rPr>
      </w:pPr>
      <w:r>
        <w:rPr>
          <w:rFonts w:ascii="Tahoma" w:hAnsi="Tahoma" w:cs="Arial"/>
          <w:bCs/>
          <w:sz w:val="22"/>
          <w:szCs w:val="22"/>
        </w:rPr>
        <w:t>T</w:t>
      </w:r>
      <w:r w:rsidR="00B46A2C">
        <w:rPr>
          <w:rFonts w:ascii="Tahoma" w:hAnsi="Tahoma" w:cs="Arial"/>
          <w:bCs/>
          <w:sz w:val="22"/>
          <w:szCs w:val="22"/>
        </w:rPr>
        <w:t>ourism has been identified as a globally competitive and sunrise industry</w:t>
      </w:r>
      <w:r>
        <w:rPr>
          <w:rFonts w:ascii="Tahoma" w:hAnsi="Tahoma" w:cs="Arial"/>
          <w:bCs/>
          <w:sz w:val="22"/>
          <w:szCs w:val="22"/>
        </w:rPr>
        <w:t xml:space="preserve"> by the government.  Hence, the government should enable the reduction of transaction costs. </w:t>
      </w:r>
      <w:r w:rsidR="00350541">
        <w:rPr>
          <w:rFonts w:ascii="Tahoma" w:hAnsi="Tahoma" w:cs="Arial"/>
          <w:bCs/>
          <w:sz w:val="22"/>
          <w:szCs w:val="22"/>
        </w:rPr>
        <w:t xml:space="preserve">It is imperative that the costs of doing business across the tourism-related activities be examined.  The goal is to remove unnecessary costs that tend to reduce the competitiveness of the service providers and raise the overall costs of travel to and from the </w:t>
      </w:r>
      <w:smartTag w:uri="urn:schemas-microsoft-com:office:smarttags" w:element="country-region">
        <w:smartTag w:uri="urn:schemas-microsoft-com:office:smarttags" w:element="place">
          <w:r w:rsidR="00350541">
            <w:rPr>
              <w:rFonts w:ascii="Tahoma" w:hAnsi="Tahoma" w:cs="Arial"/>
              <w:bCs/>
              <w:sz w:val="22"/>
              <w:szCs w:val="22"/>
            </w:rPr>
            <w:t>Philippines</w:t>
          </w:r>
        </w:smartTag>
      </w:smartTag>
      <w:r w:rsidR="00350541">
        <w:rPr>
          <w:rFonts w:ascii="Tahoma" w:hAnsi="Tahoma" w:cs="Arial"/>
          <w:bCs/>
          <w:sz w:val="22"/>
          <w:szCs w:val="22"/>
        </w:rPr>
        <w:t xml:space="preserve">.  In the case of the airline industry, the </w:t>
      </w:r>
      <w:r w:rsidR="00B46A2C" w:rsidRPr="00B46A2C">
        <w:rPr>
          <w:rFonts w:ascii="Tahoma" w:hAnsi="Tahoma" w:cs="Arial"/>
          <w:bCs/>
          <w:sz w:val="22"/>
          <w:szCs w:val="22"/>
        </w:rPr>
        <w:t>issue</w:t>
      </w:r>
      <w:r w:rsidR="00B97CC6">
        <w:rPr>
          <w:rFonts w:ascii="Tahoma" w:hAnsi="Tahoma" w:cs="Arial"/>
          <w:bCs/>
          <w:sz w:val="22"/>
          <w:szCs w:val="22"/>
        </w:rPr>
        <w:t>s</w:t>
      </w:r>
      <w:r w:rsidR="00B46A2C" w:rsidRPr="00B46A2C">
        <w:rPr>
          <w:rFonts w:ascii="Tahoma" w:hAnsi="Tahoma" w:cs="Arial"/>
          <w:bCs/>
          <w:sz w:val="22"/>
          <w:szCs w:val="22"/>
        </w:rPr>
        <w:t xml:space="preserve"> on CIQ charges (e.g. overtime, meals and allowances etc) </w:t>
      </w:r>
      <w:r w:rsidR="00AC4E84">
        <w:rPr>
          <w:rFonts w:ascii="Tahoma" w:hAnsi="Tahoma" w:cs="Arial"/>
          <w:bCs/>
          <w:sz w:val="22"/>
          <w:szCs w:val="22"/>
        </w:rPr>
        <w:t xml:space="preserve">paid directly to the personnel has </w:t>
      </w:r>
      <w:r w:rsidR="00350541">
        <w:rPr>
          <w:rFonts w:ascii="Tahoma" w:hAnsi="Tahoma" w:cs="Arial"/>
          <w:bCs/>
          <w:sz w:val="22"/>
          <w:szCs w:val="22"/>
        </w:rPr>
        <w:t xml:space="preserve">yet to be resolved despite the fact that this has been cited as an impediment to </w:t>
      </w:r>
      <w:r w:rsidR="00B97CC6">
        <w:rPr>
          <w:rFonts w:ascii="Tahoma" w:hAnsi="Tahoma" w:cs="Arial"/>
          <w:bCs/>
          <w:sz w:val="22"/>
          <w:szCs w:val="22"/>
        </w:rPr>
        <w:t xml:space="preserve">competitiveness, </w:t>
      </w:r>
      <w:r w:rsidR="00350541">
        <w:rPr>
          <w:rFonts w:ascii="Tahoma" w:hAnsi="Tahoma" w:cs="Arial"/>
          <w:bCs/>
          <w:sz w:val="22"/>
          <w:szCs w:val="22"/>
        </w:rPr>
        <w:t>expansion and connectivity</w:t>
      </w:r>
      <w:r w:rsidR="00DE5D57">
        <w:rPr>
          <w:rFonts w:ascii="Tahoma" w:hAnsi="Tahoma" w:cs="Arial"/>
          <w:bCs/>
          <w:sz w:val="22"/>
          <w:szCs w:val="22"/>
        </w:rPr>
        <w:t xml:space="preserve"> </w:t>
      </w:r>
      <w:r w:rsidR="00C267C0">
        <w:rPr>
          <w:rFonts w:ascii="Tahoma" w:hAnsi="Tahoma" w:cs="Arial"/>
          <w:bCs/>
          <w:sz w:val="22"/>
          <w:szCs w:val="22"/>
        </w:rPr>
        <w:t xml:space="preserve">in a number of consultations </w:t>
      </w:r>
      <w:r w:rsidR="00DE5D57">
        <w:rPr>
          <w:rFonts w:ascii="Tahoma" w:hAnsi="Tahoma" w:cs="Arial"/>
          <w:bCs/>
          <w:sz w:val="22"/>
          <w:szCs w:val="22"/>
        </w:rPr>
        <w:t>for almost a decade already</w:t>
      </w:r>
      <w:r w:rsidR="00350541">
        <w:rPr>
          <w:rFonts w:ascii="Tahoma" w:hAnsi="Tahoma" w:cs="Arial"/>
          <w:bCs/>
          <w:sz w:val="22"/>
          <w:szCs w:val="22"/>
        </w:rPr>
        <w:t>.</w:t>
      </w:r>
      <w:r w:rsidR="00EC7A41">
        <w:rPr>
          <w:rFonts w:ascii="Tahoma" w:hAnsi="Tahoma" w:cs="Arial"/>
          <w:bCs/>
          <w:sz w:val="22"/>
          <w:szCs w:val="22"/>
        </w:rPr>
        <w:t xml:space="preserve"> </w:t>
      </w:r>
      <w:r w:rsidR="00AC4E84">
        <w:rPr>
          <w:rFonts w:ascii="Tahoma" w:hAnsi="Tahoma" w:cs="Arial"/>
          <w:bCs/>
          <w:sz w:val="22"/>
          <w:szCs w:val="22"/>
        </w:rPr>
        <w:t xml:space="preserve">The taxation regime should also be benchmarked with other </w:t>
      </w:r>
      <w:r w:rsidR="00FA6B27">
        <w:rPr>
          <w:rFonts w:ascii="Tahoma" w:hAnsi="Tahoma" w:cs="Arial"/>
          <w:bCs/>
          <w:sz w:val="22"/>
          <w:szCs w:val="22"/>
        </w:rPr>
        <w:t xml:space="preserve">competitive </w:t>
      </w:r>
      <w:r w:rsidR="00AC4E84">
        <w:rPr>
          <w:rFonts w:ascii="Tahoma" w:hAnsi="Tahoma" w:cs="Arial"/>
          <w:bCs/>
          <w:sz w:val="22"/>
          <w:szCs w:val="22"/>
        </w:rPr>
        <w:t xml:space="preserve">destinations. </w:t>
      </w:r>
      <w:r w:rsidR="00B97CC6">
        <w:rPr>
          <w:rFonts w:ascii="Tahoma" w:hAnsi="Tahoma" w:cs="Arial"/>
          <w:bCs/>
          <w:sz w:val="22"/>
          <w:szCs w:val="22"/>
        </w:rPr>
        <w:t xml:space="preserve">Other </w:t>
      </w:r>
      <w:r w:rsidR="00B46A2C" w:rsidRPr="00B46A2C">
        <w:rPr>
          <w:rFonts w:ascii="Tahoma" w:hAnsi="Tahoma" w:cs="Arial"/>
          <w:bCs/>
          <w:sz w:val="22"/>
          <w:szCs w:val="22"/>
        </w:rPr>
        <w:t>costs associated with the implementation of policies (e.g. travel tax) and regulations in all tourism-related services</w:t>
      </w:r>
      <w:r w:rsidR="00B97CC6">
        <w:rPr>
          <w:rFonts w:ascii="Tahoma" w:hAnsi="Tahoma" w:cs="Arial"/>
          <w:bCs/>
          <w:sz w:val="22"/>
          <w:szCs w:val="22"/>
        </w:rPr>
        <w:t xml:space="preserve"> should also be included in the agenda.  Another strategic response is to streamline </w:t>
      </w:r>
      <w:r w:rsidR="00B46A2C" w:rsidRPr="00B46A2C">
        <w:rPr>
          <w:rFonts w:ascii="Tahoma" w:hAnsi="Tahoma" w:cs="Arial"/>
          <w:bCs/>
          <w:sz w:val="22"/>
          <w:szCs w:val="22"/>
        </w:rPr>
        <w:t xml:space="preserve">procedures and processes </w:t>
      </w:r>
      <w:r w:rsidR="00B97CC6">
        <w:rPr>
          <w:rFonts w:ascii="Tahoma" w:hAnsi="Tahoma" w:cs="Arial"/>
          <w:bCs/>
          <w:sz w:val="22"/>
          <w:szCs w:val="22"/>
        </w:rPr>
        <w:t xml:space="preserve">(e.g. registration, access to information, licensing, etc) </w:t>
      </w:r>
      <w:r w:rsidR="00B46A2C" w:rsidRPr="00B46A2C">
        <w:rPr>
          <w:rFonts w:ascii="Tahoma" w:hAnsi="Tahoma" w:cs="Arial"/>
          <w:bCs/>
          <w:sz w:val="22"/>
          <w:szCs w:val="22"/>
        </w:rPr>
        <w:t xml:space="preserve">at the LGUs through one-stop shop </w:t>
      </w:r>
      <w:r w:rsidR="00B97CC6">
        <w:rPr>
          <w:rFonts w:ascii="Tahoma" w:hAnsi="Tahoma" w:cs="Arial"/>
          <w:bCs/>
          <w:sz w:val="22"/>
          <w:szCs w:val="22"/>
        </w:rPr>
        <w:t xml:space="preserve">tourism </w:t>
      </w:r>
      <w:r w:rsidR="00B46A2C" w:rsidRPr="00B46A2C">
        <w:rPr>
          <w:rFonts w:ascii="Tahoma" w:hAnsi="Tahoma" w:cs="Arial"/>
          <w:bCs/>
          <w:sz w:val="22"/>
          <w:szCs w:val="22"/>
        </w:rPr>
        <w:t>investment centers (including website)</w:t>
      </w:r>
      <w:r w:rsidR="00B97CC6">
        <w:rPr>
          <w:rFonts w:ascii="Tahoma" w:hAnsi="Tahoma" w:cs="Arial"/>
          <w:bCs/>
          <w:sz w:val="22"/>
          <w:szCs w:val="22"/>
        </w:rPr>
        <w:t>.</w:t>
      </w:r>
    </w:p>
    <w:p w:rsidR="00B46A2C" w:rsidRDefault="00B46A2C" w:rsidP="0067338B">
      <w:pPr>
        <w:jc w:val="both"/>
        <w:rPr>
          <w:rFonts w:ascii="Tahoma" w:hAnsi="Tahoma" w:cs="Arial"/>
          <w:bCs/>
          <w:sz w:val="22"/>
          <w:szCs w:val="22"/>
        </w:rPr>
      </w:pPr>
    </w:p>
    <w:p w:rsidR="00E64200" w:rsidRPr="00E64200" w:rsidRDefault="00E64200" w:rsidP="00912B9F">
      <w:pPr>
        <w:jc w:val="both"/>
        <w:rPr>
          <w:rFonts w:ascii="Tahoma" w:hAnsi="Tahoma" w:cs="Arial"/>
          <w:b/>
          <w:sz w:val="22"/>
          <w:szCs w:val="22"/>
        </w:rPr>
      </w:pPr>
      <w:r w:rsidRPr="00E64200">
        <w:rPr>
          <w:rFonts w:ascii="Tahoma" w:hAnsi="Tahoma" w:cs="Arial"/>
          <w:b/>
          <w:sz w:val="22"/>
          <w:szCs w:val="22"/>
        </w:rPr>
        <w:t xml:space="preserve">5.  </w:t>
      </w:r>
      <w:r w:rsidR="00C173BC" w:rsidRPr="00E64200">
        <w:rPr>
          <w:rFonts w:ascii="Tahoma" w:hAnsi="Tahoma" w:cs="Arial"/>
          <w:b/>
          <w:sz w:val="22"/>
          <w:szCs w:val="22"/>
        </w:rPr>
        <w:t xml:space="preserve">Develop </w:t>
      </w:r>
      <w:r w:rsidRPr="00E64200">
        <w:rPr>
          <w:rFonts w:ascii="Tahoma" w:hAnsi="Tahoma" w:cs="Arial"/>
          <w:b/>
          <w:sz w:val="22"/>
          <w:szCs w:val="22"/>
        </w:rPr>
        <w:t xml:space="preserve">globally competitive tourism workforce </w:t>
      </w:r>
    </w:p>
    <w:p w:rsidR="00E64200" w:rsidRDefault="00E64200" w:rsidP="00912B9F">
      <w:pPr>
        <w:jc w:val="both"/>
        <w:rPr>
          <w:rFonts w:ascii="Tahoma" w:hAnsi="Tahoma" w:cs="Arial"/>
          <w:bCs/>
          <w:sz w:val="22"/>
          <w:szCs w:val="22"/>
        </w:rPr>
      </w:pPr>
    </w:p>
    <w:p w:rsidR="00633CEF" w:rsidRPr="00633CEF" w:rsidRDefault="001D5946" w:rsidP="00912B9F">
      <w:pPr>
        <w:jc w:val="both"/>
        <w:rPr>
          <w:rFonts w:ascii="Tahoma" w:hAnsi="Tahoma" w:cs="Arial"/>
          <w:sz w:val="22"/>
          <w:szCs w:val="22"/>
        </w:rPr>
      </w:pPr>
      <w:r>
        <w:rPr>
          <w:rFonts w:ascii="Tahoma" w:hAnsi="Tahoma" w:cs="Arial"/>
          <w:bCs/>
          <w:sz w:val="22"/>
          <w:szCs w:val="22"/>
        </w:rPr>
        <w:t xml:space="preserve">Long term tourism growth and competitiveness cannot be achieved without the support of a globally competitive workforce and </w:t>
      </w:r>
      <w:r w:rsidR="00C173BC" w:rsidRPr="00633CEF">
        <w:rPr>
          <w:rFonts w:ascii="Tahoma" w:hAnsi="Tahoma" w:cs="Arial"/>
          <w:bCs/>
          <w:sz w:val="22"/>
          <w:szCs w:val="22"/>
        </w:rPr>
        <w:t xml:space="preserve">human resources plan. </w:t>
      </w:r>
      <w:r>
        <w:rPr>
          <w:rFonts w:ascii="Tahoma" w:hAnsi="Tahoma" w:cs="Arial"/>
          <w:bCs/>
          <w:sz w:val="22"/>
          <w:szCs w:val="22"/>
        </w:rPr>
        <w:t xml:space="preserve">This plan should </w:t>
      </w:r>
      <w:r w:rsidR="00114793">
        <w:rPr>
          <w:rFonts w:ascii="Tahoma" w:hAnsi="Tahoma" w:cs="Arial"/>
          <w:bCs/>
          <w:sz w:val="22"/>
          <w:szCs w:val="22"/>
        </w:rPr>
        <w:t xml:space="preserve">cover </w:t>
      </w:r>
      <w:r>
        <w:rPr>
          <w:rFonts w:ascii="Tahoma" w:hAnsi="Tahoma" w:cs="Arial"/>
          <w:bCs/>
          <w:sz w:val="22"/>
          <w:szCs w:val="22"/>
        </w:rPr>
        <w:t>human resource development even at the grassroots level.</w:t>
      </w:r>
      <w:r w:rsidR="00114793">
        <w:rPr>
          <w:rFonts w:ascii="Tahoma" w:hAnsi="Tahoma" w:cs="Arial"/>
          <w:bCs/>
          <w:sz w:val="22"/>
          <w:szCs w:val="22"/>
        </w:rPr>
        <w:t xml:space="preserve"> As regards</w:t>
      </w:r>
      <w:r>
        <w:rPr>
          <w:rFonts w:ascii="Tahoma" w:hAnsi="Tahoma" w:cs="Arial"/>
          <w:bCs/>
          <w:sz w:val="22"/>
          <w:szCs w:val="22"/>
        </w:rPr>
        <w:t xml:space="preserve"> </w:t>
      </w:r>
      <w:r w:rsidR="00114793">
        <w:rPr>
          <w:rFonts w:ascii="Tahoma" w:hAnsi="Tahoma" w:cs="Arial"/>
          <w:bCs/>
          <w:sz w:val="22"/>
          <w:szCs w:val="22"/>
        </w:rPr>
        <w:t>higher education, t</w:t>
      </w:r>
      <w:r w:rsidR="00C173BC" w:rsidRPr="00633CEF">
        <w:rPr>
          <w:rFonts w:ascii="Tahoma" w:hAnsi="Tahoma" w:cs="Arial"/>
          <w:bCs/>
          <w:sz w:val="22"/>
          <w:szCs w:val="22"/>
        </w:rPr>
        <w:t xml:space="preserve">he number of graduates in tourism has declined and there are opportunities to develop globally competitive curricula </w:t>
      </w:r>
      <w:r w:rsidR="00B62167">
        <w:rPr>
          <w:rFonts w:ascii="Tahoma" w:hAnsi="Tahoma" w:cs="Arial"/>
          <w:bCs/>
          <w:sz w:val="22"/>
          <w:szCs w:val="22"/>
        </w:rPr>
        <w:t xml:space="preserve">and </w:t>
      </w:r>
      <w:r w:rsidR="00114793">
        <w:rPr>
          <w:rFonts w:ascii="Tahoma" w:hAnsi="Tahoma" w:cs="Arial"/>
          <w:bCs/>
          <w:sz w:val="22"/>
          <w:szCs w:val="22"/>
        </w:rPr>
        <w:t xml:space="preserve">offer </w:t>
      </w:r>
      <w:r w:rsidR="00B62167">
        <w:rPr>
          <w:rFonts w:ascii="Tahoma" w:hAnsi="Tahoma" w:cs="Arial"/>
          <w:bCs/>
          <w:sz w:val="22"/>
          <w:szCs w:val="22"/>
        </w:rPr>
        <w:t xml:space="preserve">higher </w:t>
      </w:r>
      <w:r w:rsidR="00114793">
        <w:rPr>
          <w:rFonts w:ascii="Tahoma" w:hAnsi="Tahoma" w:cs="Arial"/>
          <w:bCs/>
          <w:sz w:val="22"/>
          <w:szCs w:val="22"/>
        </w:rPr>
        <w:t xml:space="preserve">learning programs </w:t>
      </w:r>
      <w:r w:rsidR="00C173BC" w:rsidRPr="00633CEF">
        <w:rPr>
          <w:rFonts w:ascii="Tahoma" w:hAnsi="Tahoma" w:cs="Arial"/>
          <w:bCs/>
          <w:sz w:val="22"/>
          <w:szCs w:val="22"/>
        </w:rPr>
        <w:t xml:space="preserve">to service the domestic and foreign markets.  </w:t>
      </w:r>
      <w:r w:rsidR="0051662D">
        <w:rPr>
          <w:rFonts w:ascii="Tahoma" w:hAnsi="Tahoma" w:cs="Arial"/>
          <w:bCs/>
          <w:sz w:val="22"/>
          <w:szCs w:val="22"/>
        </w:rPr>
        <w:t>Other programs should include continuing education and stronger academe-private sector</w:t>
      </w:r>
      <w:r w:rsidR="007D6FA8">
        <w:rPr>
          <w:rFonts w:ascii="Tahoma" w:hAnsi="Tahoma" w:cs="Arial"/>
          <w:bCs/>
          <w:sz w:val="22"/>
          <w:szCs w:val="22"/>
        </w:rPr>
        <w:t>-government</w:t>
      </w:r>
      <w:r w:rsidR="0051662D">
        <w:rPr>
          <w:rFonts w:ascii="Tahoma" w:hAnsi="Tahoma" w:cs="Arial"/>
          <w:bCs/>
          <w:sz w:val="22"/>
          <w:szCs w:val="22"/>
        </w:rPr>
        <w:t xml:space="preserve"> partnerships.</w:t>
      </w:r>
      <w:r w:rsidR="007D6FA8">
        <w:rPr>
          <w:rFonts w:ascii="Tahoma" w:hAnsi="Tahoma" w:cs="Arial"/>
          <w:bCs/>
          <w:sz w:val="22"/>
          <w:szCs w:val="22"/>
        </w:rPr>
        <w:t xml:space="preserve">  The industry will not start from zero because there are existing initiatives under TESDA and CHED.</w:t>
      </w:r>
      <w:r w:rsidR="0051662D">
        <w:rPr>
          <w:rFonts w:ascii="Tahoma" w:hAnsi="Tahoma" w:cs="Arial"/>
          <w:bCs/>
          <w:sz w:val="22"/>
          <w:szCs w:val="22"/>
        </w:rPr>
        <w:t xml:space="preserve">  </w:t>
      </w:r>
    </w:p>
    <w:sectPr w:rsidR="00633CEF" w:rsidRPr="00633CEF" w:rsidSect="008A4C1C">
      <w:footerReference w:type="even" r:id="rId7"/>
      <w:footerReference w:type="default" r:id="rId8"/>
      <w:pgSz w:w="11909" w:h="16834" w:code="9"/>
      <w:pgMar w:top="1296" w:right="1440"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A93" w:rsidRDefault="00C03A93">
      <w:r>
        <w:separator/>
      </w:r>
    </w:p>
  </w:endnote>
  <w:endnote w:type="continuationSeparator" w:id="1">
    <w:p w:rsidR="00C03A93" w:rsidRDefault="00C03A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D3" w:rsidRDefault="007B2CD3" w:rsidP="00D561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2CD3" w:rsidRDefault="007B2CD3" w:rsidP="000316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D3" w:rsidRDefault="007B2CD3" w:rsidP="0070238E">
    <w:pPr>
      <w:pStyle w:val="Footer"/>
      <w:pBdr>
        <w:top w:val="single" w:sz="4" w:space="1" w:color="auto"/>
      </w:pBdr>
      <w:rPr>
        <w:rStyle w:val="PageNumber"/>
        <w:rFonts w:ascii="Tahoma" w:hAnsi="Tahoma"/>
        <w:i/>
        <w:sz w:val="18"/>
        <w:szCs w:val="18"/>
      </w:rPr>
    </w:pPr>
    <w:r>
      <w:rPr>
        <w:rStyle w:val="PageNumber"/>
        <w:rFonts w:ascii="Tahoma" w:hAnsi="Tahoma"/>
        <w:i/>
        <w:sz w:val="18"/>
        <w:szCs w:val="18"/>
      </w:rPr>
      <w:t xml:space="preserve">The </w:t>
    </w:r>
    <w:r w:rsidRPr="00C824AB">
      <w:rPr>
        <w:rStyle w:val="PageNumber"/>
        <w:rFonts w:ascii="Tahoma" w:hAnsi="Tahoma"/>
        <w:i/>
        <w:sz w:val="18"/>
        <w:szCs w:val="18"/>
      </w:rPr>
      <w:t>Global Crisis</w:t>
    </w:r>
    <w:r>
      <w:rPr>
        <w:rStyle w:val="PageNumber"/>
        <w:rFonts w:ascii="Tahoma" w:hAnsi="Tahoma"/>
        <w:i/>
        <w:sz w:val="18"/>
        <w:szCs w:val="18"/>
      </w:rPr>
      <w:t xml:space="preserve"> and Philippine Tourism</w:t>
    </w:r>
    <w:r>
      <w:rPr>
        <w:rStyle w:val="PageNumber"/>
        <w:rFonts w:ascii="Tahoma" w:hAnsi="Tahoma"/>
        <w:i/>
        <w:sz w:val="18"/>
        <w:szCs w:val="18"/>
      </w:rPr>
      <w:tab/>
    </w:r>
    <w:r>
      <w:rPr>
        <w:rStyle w:val="PageNumber"/>
        <w:rFonts w:ascii="Tahoma" w:hAnsi="Tahoma"/>
        <w:i/>
        <w:sz w:val="18"/>
        <w:szCs w:val="18"/>
      </w:rPr>
      <w:tab/>
      <w:t xml:space="preserve">                                          </w:t>
    </w:r>
    <w:smartTag w:uri="urn:schemas-microsoft-com:office:smarttags" w:element="date">
      <w:smartTagPr>
        <w:attr w:name="Year" w:val="2009"/>
        <w:attr w:name="Day" w:val="23"/>
        <w:attr w:name="Month" w:val="4"/>
      </w:smartTagPr>
      <w:r w:rsidRPr="00B2324F">
        <w:rPr>
          <w:rStyle w:val="PageNumber"/>
          <w:rFonts w:ascii="Tahoma" w:hAnsi="Tahoma"/>
          <w:sz w:val="18"/>
          <w:szCs w:val="18"/>
        </w:rPr>
        <w:t>23 April 2009</w:t>
      </w:r>
    </w:smartTag>
  </w:p>
  <w:p w:rsidR="007B2CD3" w:rsidRPr="00460AC1" w:rsidRDefault="007B2CD3" w:rsidP="0070238E">
    <w:pPr>
      <w:pStyle w:val="Footer"/>
      <w:pBdr>
        <w:top w:val="single" w:sz="4" w:space="1" w:color="auto"/>
      </w:pBdr>
      <w:rPr>
        <w:rFonts w:ascii="Tahoma" w:hAnsi="Tahoma"/>
        <w:sz w:val="18"/>
        <w:szCs w:val="18"/>
      </w:rPr>
    </w:pPr>
    <w:r>
      <w:rPr>
        <w:rStyle w:val="PageNumber"/>
        <w:rFonts w:ascii="Tahoma" w:hAnsi="Tahoma"/>
        <w:sz w:val="18"/>
        <w:szCs w:val="18"/>
      </w:rPr>
      <w:t>CRC Foundation</w:t>
    </w:r>
    <w:r>
      <w:rPr>
        <w:rStyle w:val="PageNumber"/>
        <w:rFonts w:ascii="Tahoma" w:hAnsi="Tahoma"/>
        <w:sz w:val="18"/>
        <w:szCs w:val="18"/>
      </w:rPr>
      <w:tab/>
    </w:r>
    <w:r>
      <w:rPr>
        <w:rStyle w:val="PageNumber"/>
        <w:rFonts w:ascii="Tahoma" w:hAnsi="Tahoma"/>
        <w:sz w:val="18"/>
        <w:szCs w:val="18"/>
      </w:rPr>
      <w:tab/>
    </w:r>
    <w:r w:rsidRPr="0070238E">
      <w:rPr>
        <w:rStyle w:val="PageNumber"/>
        <w:rFonts w:ascii="Tahoma" w:hAnsi="Tahoma"/>
        <w:sz w:val="18"/>
        <w:szCs w:val="18"/>
      </w:rPr>
      <w:t xml:space="preserve">Page </w:t>
    </w:r>
    <w:r w:rsidRPr="0070238E">
      <w:rPr>
        <w:rStyle w:val="PageNumber"/>
        <w:rFonts w:ascii="Tahoma" w:hAnsi="Tahoma"/>
        <w:sz w:val="18"/>
        <w:szCs w:val="18"/>
      </w:rPr>
      <w:fldChar w:fldCharType="begin"/>
    </w:r>
    <w:r w:rsidRPr="0070238E">
      <w:rPr>
        <w:rStyle w:val="PageNumber"/>
        <w:rFonts w:ascii="Tahoma" w:hAnsi="Tahoma"/>
        <w:sz w:val="18"/>
        <w:szCs w:val="18"/>
      </w:rPr>
      <w:instrText xml:space="preserve"> PAGE </w:instrText>
    </w:r>
    <w:r>
      <w:rPr>
        <w:rStyle w:val="PageNumber"/>
        <w:rFonts w:ascii="Tahoma" w:hAnsi="Tahoma"/>
        <w:sz w:val="18"/>
        <w:szCs w:val="18"/>
      </w:rPr>
      <w:fldChar w:fldCharType="separate"/>
    </w:r>
    <w:r w:rsidR="008C4B5F">
      <w:rPr>
        <w:rStyle w:val="PageNumber"/>
        <w:rFonts w:ascii="Tahoma" w:hAnsi="Tahoma"/>
        <w:noProof/>
        <w:sz w:val="18"/>
        <w:szCs w:val="18"/>
      </w:rPr>
      <w:t>1</w:t>
    </w:r>
    <w:r w:rsidRPr="0070238E">
      <w:rPr>
        <w:rStyle w:val="PageNumber"/>
        <w:rFonts w:ascii="Tahoma" w:hAnsi="Tahoma"/>
        <w:sz w:val="18"/>
        <w:szCs w:val="18"/>
      </w:rPr>
      <w:fldChar w:fldCharType="end"/>
    </w:r>
    <w:r w:rsidRPr="0070238E">
      <w:rPr>
        <w:rStyle w:val="PageNumber"/>
        <w:rFonts w:ascii="Tahoma" w:hAnsi="Tahoma"/>
        <w:sz w:val="18"/>
        <w:szCs w:val="18"/>
      </w:rPr>
      <w:t xml:space="preserve"> of </w:t>
    </w:r>
    <w:r w:rsidRPr="0070238E">
      <w:rPr>
        <w:rStyle w:val="PageNumber"/>
        <w:rFonts w:ascii="Tahoma" w:hAnsi="Tahoma"/>
        <w:sz w:val="18"/>
        <w:szCs w:val="18"/>
      </w:rPr>
      <w:fldChar w:fldCharType="begin"/>
    </w:r>
    <w:r w:rsidRPr="0070238E">
      <w:rPr>
        <w:rStyle w:val="PageNumber"/>
        <w:rFonts w:ascii="Tahoma" w:hAnsi="Tahoma"/>
        <w:sz w:val="18"/>
        <w:szCs w:val="18"/>
      </w:rPr>
      <w:instrText xml:space="preserve"> NUMPAGES </w:instrText>
    </w:r>
    <w:r>
      <w:rPr>
        <w:rStyle w:val="PageNumber"/>
        <w:rFonts w:ascii="Tahoma" w:hAnsi="Tahoma"/>
        <w:sz w:val="18"/>
        <w:szCs w:val="18"/>
      </w:rPr>
      <w:fldChar w:fldCharType="separate"/>
    </w:r>
    <w:r w:rsidR="008C4B5F">
      <w:rPr>
        <w:rStyle w:val="PageNumber"/>
        <w:rFonts w:ascii="Tahoma" w:hAnsi="Tahoma"/>
        <w:noProof/>
        <w:sz w:val="18"/>
        <w:szCs w:val="18"/>
      </w:rPr>
      <w:t>9</w:t>
    </w:r>
    <w:r w:rsidRPr="0070238E">
      <w:rPr>
        <w:rStyle w:val="PageNumber"/>
        <w:rFonts w:ascii="Tahoma" w:hAnsi="Tahoma"/>
        <w:sz w:val="18"/>
        <w:szCs w:val="18"/>
      </w:rPr>
      <w:fldChar w:fldCharType="end"/>
    </w:r>
  </w:p>
  <w:p w:rsidR="007B2CD3" w:rsidRPr="0070238E" w:rsidRDefault="007B2CD3" w:rsidP="0070238E">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A93" w:rsidRDefault="00C03A93">
      <w:r>
        <w:separator/>
      </w:r>
    </w:p>
  </w:footnote>
  <w:footnote w:type="continuationSeparator" w:id="1">
    <w:p w:rsidR="00C03A93" w:rsidRDefault="00C03A93">
      <w:r>
        <w:continuationSeparator/>
      </w:r>
    </w:p>
  </w:footnote>
  <w:footnote w:id="2">
    <w:p w:rsidR="007B2CD3" w:rsidRPr="00E54F19" w:rsidRDefault="007B2CD3" w:rsidP="00E576B8">
      <w:pPr>
        <w:pStyle w:val="FootnoteText"/>
        <w:rPr>
          <w:rFonts w:ascii="Tahoma" w:hAnsi="Tahoma" w:cs="Arial"/>
          <w:sz w:val="18"/>
          <w:szCs w:val="18"/>
        </w:rPr>
      </w:pPr>
      <w:r w:rsidRPr="00E54F19">
        <w:rPr>
          <w:rStyle w:val="FootnoteReference"/>
          <w:rFonts w:ascii="Tahoma" w:hAnsi="Tahoma" w:cs="Arial"/>
          <w:sz w:val="18"/>
          <w:szCs w:val="18"/>
        </w:rPr>
        <w:footnoteRef/>
      </w:r>
      <w:r w:rsidRPr="00E54F19">
        <w:rPr>
          <w:rFonts w:ascii="Tahoma" w:hAnsi="Tahoma" w:cs="Arial"/>
          <w:sz w:val="18"/>
          <w:szCs w:val="18"/>
        </w:rPr>
        <w:t xml:space="preserve"> ITB World Travel Trends Report by IPK International as published in Asia Travel Trade (</w:t>
      </w:r>
      <w:smartTag w:uri="urn:schemas-microsoft-com:office:smarttags" w:element="date">
        <w:smartTagPr>
          <w:attr w:name="Year" w:val="2009"/>
          <w:attr w:name="Day" w:val="7"/>
          <w:attr w:name="Month" w:val="4"/>
        </w:smartTagPr>
        <w:r w:rsidRPr="00E54F19">
          <w:rPr>
            <w:rFonts w:ascii="Tahoma" w:hAnsi="Tahoma" w:cs="Arial"/>
            <w:sz w:val="18"/>
            <w:szCs w:val="18"/>
          </w:rPr>
          <w:t>April 7, 2009</w:t>
        </w:r>
      </w:smartTag>
      <w:r w:rsidRPr="00E54F19">
        <w:rPr>
          <w:rFonts w:ascii="Tahoma" w:hAnsi="Tahoma" w:cs="Arial"/>
          <w:sz w:val="18"/>
          <w:szCs w:val="18"/>
        </w:rPr>
        <w:t>).</w:t>
      </w:r>
    </w:p>
  </w:footnote>
  <w:footnote w:id="3">
    <w:p w:rsidR="007B2CD3" w:rsidRPr="00E54F19" w:rsidRDefault="007B2CD3">
      <w:pPr>
        <w:pStyle w:val="FootnoteText"/>
        <w:rPr>
          <w:rFonts w:ascii="Tahoma" w:hAnsi="Tahoma"/>
          <w:sz w:val="18"/>
          <w:szCs w:val="18"/>
        </w:rPr>
      </w:pPr>
      <w:r w:rsidRPr="00E54F19">
        <w:rPr>
          <w:rStyle w:val="FootnoteReference"/>
          <w:rFonts w:ascii="Tahoma" w:hAnsi="Tahoma"/>
          <w:sz w:val="18"/>
          <w:szCs w:val="18"/>
        </w:rPr>
        <w:footnoteRef/>
      </w:r>
      <w:r w:rsidRPr="00E54F19">
        <w:rPr>
          <w:rFonts w:ascii="Tahoma" w:hAnsi="Tahoma"/>
          <w:sz w:val="18"/>
          <w:szCs w:val="18"/>
        </w:rPr>
        <w:t xml:space="preserve"> Medium-Scenario</w:t>
      </w:r>
    </w:p>
  </w:footnote>
  <w:footnote w:id="4">
    <w:p w:rsidR="007B2CD3" w:rsidRPr="006E00E5" w:rsidRDefault="007B2CD3" w:rsidP="00B47863">
      <w:pPr>
        <w:pStyle w:val="FootnoteText"/>
        <w:jc w:val="both"/>
        <w:rPr>
          <w:rFonts w:ascii="Tahoma" w:hAnsi="Tahoma"/>
          <w:sz w:val="16"/>
          <w:szCs w:val="16"/>
        </w:rPr>
      </w:pPr>
      <w:r w:rsidRPr="006E00E5">
        <w:rPr>
          <w:rStyle w:val="FootnoteReference"/>
          <w:rFonts w:ascii="Tahoma" w:hAnsi="Tahoma"/>
          <w:sz w:val="16"/>
          <w:szCs w:val="16"/>
        </w:rPr>
        <w:footnoteRef/>
      </w:r>
      <w:r w:rsidRPr="006E00E5">
        <w:rPr>
          <w:rFonts w:ascii="Tahoma" w:hAnsi="Tahoma"/>
          <w:sz w:val="16"/>
          <w:szCs w:val="16"/>
        </w:rPr>
        <w:t xml:space="preserve"> </w:t>
      </w:r>
      <w:r w:rsidRPr="006E00E5">
        <w:rPr>
          <w:rFonts w:ascii="Tahoma" w:hAnsi="Tahoma" w:cs="Arial"/>
          <w:sz w:val="16"/>
          <w:szCs w:val="16"/>
        </w:rPr>
        <w:t xml:space="preserve">We cannot use a single source of data to confirm the shares of local versus foreign travellers given that domestic tourism volume (especially the Visiting Friends and Relatives segment) is not completely captured by the current statistical system in the same way that foreign tourism is monitored.  But we can refer to surveys by the DOT to get an idea of the relative size of the domestic tourism market.  </w:t>
      </w:r>
    </w:p>
  </w:footnote>
  <w:footnote w:id="5">
    <w:p w:rsidR="007B2CD3" w:rsidRPr="00595EDF" w:rsidRDefault="007B2CD3" w:rsidP="004E1365">
      <w:pPr>
        <w:pStyle w:val="FootnoteText"/>
        <w:jc w:val="both"/>
        <w:rPr>
          <w:rFonts w:ascii="Tahoma" w:hAnsi="Tahoma" w:cs="Arial"/>
          <w:sz w:val="18"/>
          <w:szCs w:val="18"/>
        </w:rPr>
      </w:pPr>
      <w:r w:rsidRPr="00595EDF">
        <w:rPr>
          <w:rStyle w:val="FootnoteReference"/>
          <w:rFonts w:ascii="Tahoma" w:hAnsi="Tahoma" w:cs="Arial"/>
          <w:sz w:val="18"/>
          <w:szCs w:val="18"/>
        </w:rPr>
        <w:footnoteRef/>
      </w:r>
      <w:r w:rsidRPr="00595EDF">
        <w:rPr>
          <w:rFonts w:ascii="Tahoma" w:hAnsi="Tahoma" w:cs="Arial"/>
          <w:sz w:val="18"/>
          <w:szCs w:val="18"/>
        </w:rPr>
        <w:t xml:space="preserve"> The tour operator consortium is composed of </w:t>
      </w:r>
      <w:smartTag w:uri="urn:schemas-microsoft-com:office:smarttags" w:element="place">
        <w:smartTag w:uri="urn:schemas-microsoft-com:office:smarttags" w:element="PlaceName">
          <w:r w:rsidRPr="00595EDF">
            <w:rPr>
              <w:rFonts w:ascii="Tahoma" w:hAnsi="Tahoma" w:cs="Arial"/>
              <w:sz w:val="18"/>
              <w:szCs w:val="18"/>
            </w:rPr>
            <w:t>Air</w:t>
          </w:r>
        </w:smartTag>
        <w:r w:rsidRPr="00595EDF">
          <w:rPr>
            <w:rFonts w:ascii="Tahoma" w:hAnsi="Tahoma" w:cs="Arial"/>
            <w:sz w:val="18"/>
            <w:szCs w:val="18"/>
          </w:rPr>
          <w:t xml:space="preserve"> </w:t>
        </w:r>
        <w:smartTag w:uri="urn:schemas-microsoft-com:office:smarttags" w:element="PlaceName">
          <w:r w:rsidRPr="00595EDF">
            <w:rPr>
              <w:rFonts w:ascii="Tahoma" w:hAnsi="Tahoma" w:cs="Arial"/>
              <w:sz w:val="18"/>
              <w:szCs w:val="18"/>
            </w:rPr>
            <w:t>Travel</w:t>
          </w:r>
        </w:smartTag>
        <w:r w:rsidRPr="00595EDF">
          <w:rPr>
            <w:rFonts w:ascii="Tahoma" w:hAnsi="Tahoma" w:cs="Arial"/>
            <w:sz w:val="18"/>
            <w:szCs w:val="18"/>
          </w:rPr>
          <w:t xml:space="preserve"> </w:t>
        </w:r>
        <w:smartTag w:uri="urn:schemas-microsoft-com:office:smarttags" w:element="PlaceType">
          <w:r w:rsidRPr="00595EDF">
            <w:rPr>
              <w:rFonts w:ascii="Tahoma" w:hAnsi="Tahoma" w:cs="Arial"/>
              <w:sz w:val="18"/>
              <w:szCs w:val="18"/>
            </w:rPr>
            <w:t>Center</w:t>
          </w:r>
        </w:smartTag>
      </w:smartTag>
      <w:r w:rsidRPr="00595EDF">
        <w:rPr>
          <w:rFonts w:ascii="Tahoma" w:hAnsi="Tahoma" w:cs="Arial"/>
          <w:sz w:val="18"/>
          <w:szCs w:val="18"/>
        </w:rPr>
        <w:t xml:space="preserve"> , GTT International, LBC Travel, Pacific Air Leisure, and Travelfast/Mango Tours. The official ground-handler for this extraordinary tour package is San Francisco-based Rajah Tours International; while the participating hotels are Sofitel Philippine Plaza, Crowne Plaza Galleria, Diamond Hotel, Holiday Inn Galleria and Dusit Thani Hotel.  This package is available only up to </w:t>
      </w:r>
      <w:smartTag w:uri="urn:schemas-microsoft-com:office:smarttags" w:element="date">
        <w:smartTagPr>
          <w:attr w:name="Month" w:val="5"/>
          <w:attr w:name="Day" w:val="23"/>
          <w:attr w:name="Year" w:val="2009"/>
        </w:smartTagPr>
        <w:r w:rsidRPr="00595EDF">
          <w:rPr>
            <w:rFonts w:ascii="Tahoma" w:hAnsi="Tahoma" w:cs="Arial"/>
            <w:sz w:val="18"/>
            <w:szCs w:val="18"/>
          </w:rPr>
          <w:t>May 23, 2009</w:t>
        </w:r>
      </w:smartTag>
      <w:r w:rsidRPr="00595EDF">
        <w:rPr>
          <w:rFonts w:ascii="Tahoma" w:hAnsi="Tahoma" w:cs="Arial"/>
          <w:sz w:val="18"/>
          <w:szCs w:val="18"/>
        </w:rPr>
        <w:t>.</w:t>
      </w:r>
    </w:p>
    <w:p w:rsidR="007B2CD3" w:rsidRPr="00190DAD" w:rsidRDefault="007B2CD3" w:rsidP="004E1365">
      <w:pPr>
        <w:pStyle w:val="FootnoteText"/>
        <w:jc w:val="both"/>
        <w:rPr>
          <w:rFonts w:ascii="Arial" w:hAnsi="Arial" w:cs="Arial"/>
          <w:sz w:val="18"/>
          <w:szCs w:val="18"/>
        </w:rPr>
      </w:pPr>
      <w:r w:rsidRPr="00190DAD">
        <w:rPr>
          <w:rFonts w:ascii="Arial" w:hAnsi="Arial" w:cs="Arial"/>
          <w:sz w:val="18"/>
          <w:szCs w:val="18"/>
        </w:rPr>
        <w:br/>
      </w:r>
    </w:p>
  </w:footnote>
  <w:footnote w:id="6">
    <w:p w:rsidR="007B2CD3" w:rsidRPr="006E00E5" w:rsidRDefault="007B2CD3" w:rsidP="007055CA">
      <w:pPr>
        <w:pStyle w:val="FootnoteText"/>
        <w:jc w:val="both"/>
        <w:rPr>
          <w:sz w:val="18"/>
          <w:szCs w:val="18"/>
        </w:rPr>
      </w:pPr>
      <w:r w:rsidRPr="006E00E5">
        <w:rPr>
          <w:rStyle w:val="FootnoteReference"/>
          <w:rFonts w:ascii="Tahoma" w:hAnsi="Tahoma"/>
          <w:sz w:val="16"/>
          <w:szCs w:val="16"/>
        </w:rPr>
        <w:footnoteRef/>
      </w:r>
      <w:r w:rsidRPr="006E00E5">
        <w:rPr>
          <w:rFonts w:ascii="Tahoma" w:hAnsi="Tahoma"/>
          <w:sz w:val="16"/>
          <w:szCs w:val="16"/>
        </w:rPr>
        <w:t xml:space="preserve"> </w:t>
      </w:r>
      <w:r>
        <w:rPr>
          <w:rFonts w:ascii="Tahoma" w:hAnsi="Tahoma"/>
          <w:sz w:val="16"/>
          <w:szCs w:val="16"/>
        </w:rPr>
        <w:t xml:space="preserve">The key question to be addressed in light of this issue: Who really require customs services - the airlines or the State?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3F7"/>
    <w:multiLevelType w:val="hybridMultilevel"/>
    <w:tmpl w:val="1C763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412DB"/>
    <w:multiLevelType w:val="hybridMultilevel"/>
    <w:tmpl w:val="16BEC4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7394523"/>
    <w:multiLevelType w:val="hybridMultilevel"/>
    <w:tmpl w:val="3B4A1698"/>
    <w:lvl w:ilvl="0" w:tplc="46EC4A36">
      <w:start w:val="1"/>
      <w:numFmt w:val="bullet"/>
      <w:lvlText w:val="-"/>
      <w:lvlJc w:val="left"/>
      <w:pPr>
        <w:tabs>
          <w:tab w:val="num" w:pos="720"/>
        </w:tabs>
        <w:ind w:left="720" w:hanging="360"/>
      </w:pPr>
      <w:rPr>
        <w:rFonts w:ascii="Calibri" w:hAnsi="Calibri" w:hint="default"/>
      </w:rPr>
    </w:lvl>
    <w:lvl w:ilvl="1" w:tplc="6B68D31E">
      <w:start w:val="1"/>
      <w:numFmt w:val="bullet"/>
      <w:lvlText w:val="-"/>
      <w:lvlJc w:val="left"/>
      <w:pPr>
        <w:tabs>
          <w:tab w:val="num" w:pos="1440"/>
        </w:tabs>
        <w:ind w:left="1440" w:hanging="360"/>
      </w:pPr>
      <w:rPr>
        <w:rFonts w:ascii="Calibri" w:hAnsi="Calibri" w:hint="default"/>
      </w:rPr>
    </w:lvl>
    <w:lvl w:ilvl="2" w:tplc="B0A6763C" w:tentative="1">
      <w:start w:val="1"/>
      <w:numFmt w:val="bullet"/>
      <w:lvlText w:val="-"/>
      <w:lvlJc w:val="left"/>
      <w:pPr>
        <w:tabs>
          <w:tab w:val="num" w:pos="2160"/>
        </w:tabs>
        <w:ind w:left="2160" w:hanging="360"/>
      </w:pPr>
      <w:rPr>
        <w:rFonts w:ascii="Calibri" w:hAnsi="Calibri" w:hint="default"/>
      </w:rPr>
    </w:lvl>
    <w:lvl w:ilvl="3" w:tplc="46ACAFE8" w:tentative="1">
      <w:start w:val="1"/>
      <w:numFmt w:val="bullet"/>
      <w:lvlText w:val="-"/>
      <w:lvlJc w:val="left"/>
      <w:pPr>
        <w:tabs>
          <w:tab w:val="num" w:pos="2880"/>
        </w:tabs>
        <w:ind w:left="2880" w:hanging="360"/>
      </w:pPr>
      <w:rPr>
        <w:rFonts w:ascii="Calibri" w:hAnsi="Calibri" w:hint="default"/>
      </w:rPr>
    </w:lvl>
    <w:lvl w:ilvl="4" w:tplc="FD008FE8" w:tentative="1">
      <w:start w:val="1"/>
      <w:numFmt w:val="bullet"/>
      <w:lvlText w:val="-"/>
      <w:lvlJc w:val="left"/>
      <w:pPr>
        <w:tabs>
          <w:tab w:val="num" w:pos="3600"/>
        </w:tabs>
        <w:ind w:left="3600" w:hanging="360"/>
      </w:pPr>
      <w:rPr>
        <w:rFonts w:ascii="Calibri" w:hAnsi="Calibri" w:hint="default"/>
      </w:rPr>
    </w:lvl>
    <w:lvl w:ilvl="5" w:tplc="3C68E97C" w:tentative="1">
      <w:start w:val="1"/>
      <w:numFmt w:val="bullet"/>
      <w:lvlText w:val="-"/>
      <w:lvlJc w:val="left"/>
      <w:pPr>
        <w:tabs>
          <w:tab w:val="num" w:pos="4320"/>
        </w:tabs>
        <w:ind w:left="4320" w:hanging="360"/>
      </w:pPr>
      <w:rPr>
        <w:rFonts w:ascii="Calibri" w:hAnsi="Calibri" w:hint="default"/>
      </w:rPr>
    </w:lvl>
    <w:lvl w:ilvl="6" w:tplc="D6864EE2" w:tentative="1">
      <w:start w:val="1"/>
      <w:numFmt w:val="bullet"/>
      <w:lvlText w:val="-"/>
      <w:lvlJc w:val="left"/>
      <w:pPr>
        <w:tabs>
          <w:tab w:val="num" w:pos="5040"/>
        </w:tabs>
        <w:ind w:left="5040" w:hanging="360"/>
      </w:pPr>
      <w:rPr>
        <w:rFonts w:ascii="Calibri" w:hAnsi="Calibri" w:hint="default"/>
      </w:rPr>
    </w:lvl>
    <w:lvl w:ilvl="7" w:tplc="848EB7D4" w:tentative="1">
      <w:start w:val="1"/>
      <w:numFmt w:val="bullet"/>
      <w:lvlText w:val="-"/>
      <w:lvlJc w:val="left"/>
      <w:pPr>
        <w:tabs>
          <w:tab w:val="num" w:pos="5760"/>
        </w:tabs>
        <w:ind w:left="5760" w:hanging="360"/>
      </w:pPr>
      <w:rPr>
        <w:rFonts w:ascii="Calibri" w:hAnsi="Calibri" w:hint="default"/>
      </w:rPr>
    </w:lvl>
    <w:lvl w:ilvl="8" w:tplc="C30AEE44" w:tentative="1">
      <w:start w:val="1"/>
      <w:numFmt w:val="bullet"/>
      <w:lvlText w:val="-"/>
      <w:lvlJc w:val="left"/>
      <w:pPr>
        <w:tabs>
          <w:tab w:val="num" w:pos="6480"/>
        </w:tabs>
        <w:ind w:left="6480" w:hanging="360"/>
      </w:pPr>
      <w:rPr>
        <w:rFonts w:ascii="Calibri" w:hAnsi="Calibri" w:hint="default"/>
      </w:rPr>
    </w:lvl>
  </w:abstractNum>
  <w:abstractNum w:abstractNumId="3">
    <w:nsid w:val="105B1D9D"/>
    <w:multiLevelType w:val="hybridMultilevel"/>
    <w:tmpl w:val="414A168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5E809AE"/>
    <w:multiLevelType w:val="hybridMultilevel"/>
    <w:tmpl w:val="15524780"/>
    <w:lvl w:ilvl="0" w:tplc="7534DC60">
      <w:start w:val="1"/>
      <w:numFmt w:val="bullet"/>
      <w:lvlText w:val="–"/>
      <w:lvlJc w:val="left"/>
      <w:pPr>
        <w:tabs>
          <w:tab w:val="num" w:pos="720"/>
        </w:tabs>
        <w:ind w:left="720" w:hanging="360"/>
      </w:pPr>
      <w:rPr>
        <w:rFonts w:ascii="Arial" w:hAnsi="Arial" w:hint="default"/>
      </w:rPr>
    </w:lvl>
    <w:lvl w:ilvl="1" w:tplc="E9A60C98">
      <w:start w:val="171"/>
      <w:numFmt w:val="bullet"/>
      <w:lvlText w:val="–"/>
      <w:lvlJc w:val="left"/>
      <w:pPr>
        <w:tabs>
          <w:tab w:val="num" w:pos="1440"/>
        </w:tabs>
        <w:ind w:left="1440" w:hanging="360"/>
      </w:pPr>
      <w:rPr>
        <w:rFonts w:ascii="Arial" w:hAnsi="Arial" w:hint="default"/>
      </w:rPr>
    </w:lvl>
    <w:lvl w:ilvl="2" w:tplc="A4F250A6" w:tentative="1">
      <w:start w:val="1"/>
      <w:numFmt w:val="bullet"/>
      <w:lvlText w:val="–"/>
      <w:lvlJc w:val="left"/>
      <w:pPr>
        <w:tabs>
          <w:tab w:val="num" w:pos="2160"/>
        </w:tabs>
        <w:ind w:left="2160" w:hanging="360"/>
      </w:pPr>
      <w:rPr>
        <w:rFonts w:ascii="Arial" w:hAnsi="Arial" w:hint="default"/>
      </w:rPr>
    </w:lvl>
    <w:lvl w:ilvl="3" w:tplc="4B2C2B84" w:tentative="1">
      <w:start w:val="1"/>
      <w:numFmt w:val="bullet"/>
      <w:lvlText w:val="–"/>
      <w:lvlJc w:val="left"/>
      <w:pPr>
        <w:tabs>
          <w:tab w:val="num" w:pos="2880"/>
        </w:tabs>
        <w:ind w:left="2880" w:hanging="360"/>
      </w:pPr>
      <w:rPr>
        <w:rFonts w:ascii="Arial" w:hAnsi="Arial" w:hint="default"/>
      </w:rPr>
    </w:lvl>
    <w:lvl w:ilvl="4" w:tplc="F4D64C9C" w:tentative="1">
      <w:start w:val="1"/>
      <w:numFmt w:val="bullet"/>
      <w:lvlText w:val="–"/>
      <w:lvlJc w:val="left"/>
      <w:pPr>
        <w:tabs>
          <w:tab w:val="num" w:pos="3600"/>
        </w:tabs>
        <w:ind w:left="3600" w:hanging="360"/>
      </w:pPr>
      <w:rPr>
        <w:rFonts w:ascii="Arial" w:hAnsi="Arial" w:hint="default"/>
      </w:rPr>
    </w:lvl>
    <w:lvl w:ilvl="5" w:tplc="64D809DE" w:tentative="1">
      <w:start w:val="1"/>
      <w:numFmt w:val="bullet"/>
      <w:lvlText w:val="–"/>
      <w:lvlJc w:val="left"/>
      <w:pPr>
        <w:tabs>
          <w:tab w:val="num" w:pos="4320"/>
        </w:tabs>
        <w:ind w:left="4320" w:hanging="360"/>
      </w:pPr>
      <w:rPr>
        <w:rFonts w:ascii="Arial" w:hAnsi="Arial" w:hint="default"/>
      </w:rPr>
    </w:lvl>
    <w:lvl w:ilvl="6" w:tplc="09624892" w:tentative="1">
      <w:start w:val="1"/>
      <w:numFmt w:val="bullet"/>
      <w:lvlText w:val="–"/>
      <w:lvlJc w:val="left"/>
      <w:pPr>
        <w:tabs>
          <w:tab w:val="num" w:pos="5040"/>
        </w:tabs>
        <w:ind w:left="5040" w:hanging="360"/>
      </w:pPr>
      <w:rPr>
        <w:rFonts w:ascii="Arial" w:hAnsi="Arial" w:hint="default"/>
      </w:rPr>
    </w:lvl>
    <w:lvl w:ilvl="7" w:tplc="9A0C64AC" w:tentative="1">
      <w:start w:val="1"/>
      <w:numFmt w:val="bullet"/>
      <w:lvlText w:val="–"/>
      <w:lvlJc w:val="left"/>
      <w:pPr>
        <w:tabs>
          <w:tab w:val="num" w:pos="5760"/>
        </w:tabs>
        <w:ind w:left="5760" w:hanging="360"/>
      </w:pPr>
      <w:rPr>
        <w:rFonts w:ascii="Arial" w:hAnsi="Arial" w:hint="default"/>
      </w:rPr>
    </w:lvl>
    <w:lvl w:ilvl="8" w:tplc="962C81EA" w:tentative="1">
      <w:start w:val="1"/>
      <w:numFmt w:val="bullet"/>
      <w:lvlText w:val="–"/>
      <w:lvlJc w:val="left"/>
      <w:pPr>
        <w:tabs>
          <w:tab w:val="num" w:pos="6480"/>
        </w:tabs>
        <w:ind w:left="6480" w:hanging="360"/>
      </w:pPr>
      <w:rPr>
        <w:rFonts w:ascii="Arial" w:hAnsi="Arial" w:hint="default"/>
      </w:rPr>
    </w:lvl>
  </w:abstractNum>
  <w:abstractNum w:abstractNumId="5">
    <w:nsid w:val="1E1C5700"/>
    <w:multiLevelType w:val="hybridMultilevel"/>
    <w:tmpl w:val="AC2A5602"/>
    <w:lvl w:ilvl="0" w:tplc="0A408006">
      <w:start w:val="1"/>
      <w:numFmt w:val="bullet"/>
      <w:lvlText w:val="•"/>
      <w:lvlJc w:val="left"/>
      <w:pPr>
        <w:tabs>
          <w:tab w:val="num" w:pos="720"/>
        </w:tabs>
        <w:ind w:left="720" w:hanging="360"/>
      </w:pPr>
      <w:rPr>
        <w:rFonts w:ascii="Times New Roman" w:hAnsi="Times New Roman" w:hint="default"/>
      </w:rPr>
    </w:lvl>
    <w:lvl w:ilvl="1" w:tplc="C910FD76">
      <w:start w:val="167"/>
      <w:numFmt w:val="bullet"/>
      <w:lvlText w:val="–"/>
      <w:lvlJc w:val="left"/>
      <w:pPr>
        <w:tabs>
          <w:tab w:val="num" w:pos="1440"/>
        </w:tabs>
        <w:ind w:left="1440" w:hanging="360"/>
      </w:pPr>
      <w:rPr>
        <w:rFonts w:ascii="Times New Roman" w:hAnsi="Times New Roman" w:hint="default"/>
      </w:rPr>
    </w:lvl>
    <w:lvl w:ilvl="2" w:tplc="24563930" w:tentative="1">
      <w:start w:val="1"/>
      <w:numFmt w:val="bullet"/>
      <w:lvlText w:val="•"/>
      <w:lvlJc w:val="left"/>
      <w:pPr>
        <w:tabs>
          <w:tab w:val="num" w:pos="2160"/>
        </w:tabs>
        <w:ind w:left="2160" w:hanging="360"/>
      </w:pPr>
      <w:rPr>
        <w:rFonts w:ascii="Times New Roman" w:hAnsi="Times New Roman" w:hint="default"/>
      </w:rPr>
    </w:lvl>
    <w:lvl w:ilvl="3" w:tplc="7A022D26" w:tentative="1">
      <w:start w:val="1"/>
      <w:numFmt w:val="bullet"/>
      <w:lvlText w:val="•"/>
      <w:lvlJc w:val="left"/>
      <w:pPr>
        <w:tabs>
          <w:tab w:val="num" w:pos="2880"/>
        </w:tabs>
        <w:ind w:left="2880" w:hanging="360"/>
      </w:pPr>
      <w:rPr>
        <w:rFonts w:ascii="Times New Roman" w:hAnsi="Times New Roman" w:hint="default"/>
      </w:rPr>
    </w:lvl>
    <w:lvl w:ilvl="4" w:tplc="76121668" w:tentative="1">
      <w:start w:val="1"/>
      <w:numFmt w:val="bullet"/>
      <w:lvlText w:val="•"/>
      <w:lvlJc w:val="left"/>
      <w:pPr>
        <w:tabs>
          <w:tab w:val="num" w:pos="3600"/>
        </w:tabs>
        <w:ind w:left="3600" w:hanging="360"/>
      </w:pPr>
      <w:rPr>
        <w:rFonts w:ascii="Times New Roman" w:hAnsi="Times New Roman" w:hint="default"/>
      </w:rPr>
    </w:lvl>
    <w:lvl w:ilvl="5" w:tplc="1A14B29C" w:tentative="1">
      <w:start w:val="1"/>
      <w:numFmt w:val="bullet"/>
      <w:lvlText w:val="•"/>
      <w:lvlJc w:val="left"/>
      <w:pPr>
        <w:tabs>
          <w:tab w:val="num" w:pos="4320"/>
        </w:tabs>
        <w:ind w:left="4320" w:hanging="360"/>
      </w:pPr>
      <w:rPr>
        <w:rFonts w:ascii="Times New Roman" w:hAnsi="Times New Roman" w:hint="default"/>
      </w:rPr>
    </w:lvl>
    <w:lvl w:ilvl="6" w:tplc="ABA2E8CA" w:tentative="1">
      <w:start w:val="1"/>
      <w:numFmt w:val="bullet"/>
      <w:lvlText w:val="•"/>
      <w:lvlJc w:val="left"/>
      <w:pPr>
        <w:tabs>
          <w:tab w:val="num" w:pos="5040"/>
        </w:tabs>
        <w:ind w:left="5040" w:hanging="360"/>
      </w:pPr>
      <w:rPr>
        <w:rFonts w:ascii="Times New Roman" w:hAnsi="Times New Roman" w:hint="default"/>
      </w:rPr>
    </w:lvl>
    <w:lvl w:ilvl="7" w:tplc="510EE3A0" w:tentative="1">
      <w:start w:val="1"/>
      <w:numFmt w:val="bullet"/>
      <w:lvlText w:val="•"/>
      <w:lvlJc w:val="left"/>
      <w:pPr>
        <w:tabs>
          <w:tab w:val="num" w:pos="5760"/>
        </w:tabs>
        <w:ind w:left="5760" w:hanging="360"/>
      </w:pPr>
      <w:rPr>
        <w:rFonts w:ascii="Times New Roman" w:hAnsi="Times New Roman" w:hint="default"/>
      </w:rPr>
    </w:lvl>
    <w:lvl w:ilvl="8" w:tplc="3458792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FCE60F8"/>
    <w:multiLevelType w:val="hybridMultilevel"/>
    <w:tmpl w:val="390A8C92"/>
    <w:lvl w:ilvl="0" w:tplc="F784253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AE7A75"/>
    <w:multiLevelType w:val="hybridMultilevel"/>
    <w:tmpl w:val="6AF836D6"/>
    <w:lvl w:ilvl="0" w:tplc="37E83554">
      <w:start w:val="1"/>
      <w:numFmt w:val="bullet"/>
      <w:lvlText w:val="•"/>
      <w:lvlJc w:val="left"/>
      <w:pPr>
        <w:tabs>
          <w:tab w:val="num" w:pos="720"/>
        </w:tabs>
        <w:ind w:left="720" w:hanging="360"/>
      </w:pPr>
      <w:rPr>
        <w:rFonts w:ascii="Times New Roman" w:hAnsi="Times New Roman" w:hint="default"/>
      </w:rPr>
    </w:lvl>
    <w:lvl w:ilvl="1" w:tplc="2FB81B28">
      <w:start w:val="167"/>
      <w:numFmt w:val="bullet"/>
      <w:lvlText w:val="–"/>
      <w:lvlJc w:val="left"/>
      <w:pPr>
        <w:tabs>
          <w:tab w:val="num" w:pos="1440"/>
        </w:tabs>
        <w:ind w:left="1440" w:hanging="360"/>
      </w:pPr>
      <w:rPr>
        <w:rFonts w:ascii="Times New Roman" w:hAnsi="Times New Roman" w:hint="default"/>
      </w:rPr>
    </w:lvl>
    <w:lvl w:ilvl="2" w:tplc="57BC328C" w:tentative="1">
      <w:start w:val="1"/>
      <w:numFmt w:val="bullet"/>
      <w:lvlText w:val="•"/>
      <w:lvlJc w:val="left"/>
      <w:pPr>
        <w:tabs>
          <w:tab w:val="num" w:pos="2160"/>
        </w:tabs>
        <w:ind w:left="2160" w:hanging="360"/>
      </w:pPr>
      <w:rPr>
        <w:rFonts w:ascii="Times New Roman" w:hAnsi="Times New Roman" w:hint="default"/>
      </w:rPr>
    </w:lvl>
    <w:lvl w:ilvl="3" w:tplc="90DCDA66" w:tentative="1">
      <w:start w:val="1"/>
      <w:numFmt w:val="bullet"/>
      <w:lvlText w:val="•"/>
      <w:lvlJc w:val="left"/>
      <w:pPr>
        <w:tabs>
          <w:tab w:val="num" w:pos="2880"/>
        </w:tabs>
        <w:ind w:left="2880" w:hanging="360"/>
      </w:pPr>
      <w:rPr>
        <w:rFonts w:ascii="Times New Roman" w:hAnsi="Times New Roman" w:hint="default"/>
      </w:rPr>
    </w:lvl>
    <w:lvl w:ilvl="4" w:tplc="1270C2C4" w:tentative="1">
      <w:start w:val="1"/>
      <w:numFmt w:val="bullet"/>
      <w:lvlText w:val="•"/>
      <w:lvlJc w:val="left"/>
      <w:pPr>
        <w:tabs>
          <w:tab w:val="num" w:pos="3600"/>
        </w:tabs>
        <w:ind w:left="3600" w:hanging="360"/>
      </w:pPr>
      <w:rPr>
        <w:rFonts w:ascii="Times New Roman" w:hAnsi="Times New Roman" w:hint="default"/>
      </w:rPr>
    </w:lvl>
    <w:lvl w:ilvl="5" w:tplc="7624ADFA" w:tentative="1">
      <w:start w:val="1"/>
      <w:numFmt w:val="bullet"/>
      <w:lvlText w:val="•"/>
      <w:lvlJc w:val="left"/>
      <w:pPr>
        <w:tabs>
          <w:tab w:val="num" w:pos="4320"/>
        </w:tabs>
        <w:ind w:left="4320" w:hanging="360"/>
      </w:pPr>
      <w:rPr>
        <w:rFonts w:ascii="Times New Roman" w:hAnsi="Times New Roman" w:hint="default"/>
      </w:rPr>
    </w:lvl>
    <w:lvl w:ilvl="6" w:tplc="C14656E2" w:tentative="1">
      <w:start w:val="1"/>
      <w:numFmt w:val="bullet"/>
      <w:lvlText w:val="•"/>
      <w:lvlJc w:val="left"/>
      <w:pPr>
        <w:tabs>
          <w:tab w:val="num" w:pos="5040"/>
        </w:tabs>
        <w:ind w:left="5040" w:hanging="360"/>
      </w:pPr>
      <w:rPr>
        <w:rFonts w:ascii="Times New Roman" w:hAnsi="Times New Roman" w:hint="default"/>
      </w:rPr>
    </w:lvl>
    <w:lvl w:ilvl="7" w:tplc="7EA05024" w:tentative="1">
      <w:start w:val="1"/>
      <w:numFmt w:val="bullet"/>
      <w:lvlText w:val="•"/>
      <w:lvlJc w:val="left"/>
      <w:pPr>
        <w:tabs>
          <w:tab w:val="num" w:pos="5760"/>
        </w:tabs>
        <w:ind w:left="5760" w:hanging="360"/>
      </w:pPr>
      <w:rPr>
        <w:rFonts w:ascii="Times New Roman" w:hAnsi="Times New Roman" w:hint="default"/>
      </w:rPr>
    </w:lvl>
    <w:lvl w:ilvl="8" w:tplc="E152963E" w:tentative="1">
      <w:start w:val="1"/>
      <w:numFmt w:val="bullet"/>
      <w:lvlText w:val="•"/>
      <w:lvlJc w:val="left"/>
      <w:pPr>
        <w:tabs>
          <w:tab w:val="num" w:pos="6480"/>
        </w:tabs>
        <w:ind w:left="6480" w:hanging="360"/>
      </w:pPr>
      <w:rPr>
        <w:rFonts w:ascii="Times New Roman" w:hAnsi="Times New Roman" w:hint="default"/>
      </w:rPr>
    </w:lvl>
  </w:abstractNum>
  <w:abstractNum w:abstractNumId="8">
    <w:nsid w:val="28992625"/>
    <w:multiLevelType w:val="hybridMultilevel"/>
    <w:tmpl w:val="528C4E8E"/>
    <w:lvl w:ilvl="0" w:tplc="AE14B1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A35365"/>
    <w:multiLevelType w:val="hybridMultilevel"/>
    <w:tmpl w:val="179E8464"/>
    <w:lvl w:ilvl="0" w:tplc="EB60641C">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5594EC3"/>
    <w:multiLevelType w:val="hybridMultilevel"/>
    <w:tmpl w:val="BDFA98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004D81"/>
    <w:multiLevelType w:val="hybridMultilevel"/>
    <w:tmpl w:val="2EDE67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E9D3FC8"/>
    <w:multiLevelType w:val="hybridMultilevel"/>
    <w:tmpl w:val="A53C64FE"/>
    <w:lvl w:ilvl="0" w:tplc="D0EA319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2A0637"/>
    <w:multiLevelType w:val="hybridMultilevel"/>
    <w:tmpl w:val="D07849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8E52A16"/>
    <w:multiLevelType w:val="hybridMultilevel"/>
    <w:tmpl w:val="A5C4C6B6"/>
    <w:lvl w:ilvl="0" w:tplc="EB60641C">
      <w:start w:val="1"/>
      <w:numFmt w:val="bullet"/>
      <w:lvlText w:val=""/>
      <w:lvlJc w:val="left"/>
      <w:pPr>
        <w:tabs>
          <w:tab w:val="num" w:pos="1440"/>
        </w:tabs>
        <w:ind w:left="1440" w:hanging="360"/>
      </w:pPr>
      <w:rPr>
        <w:rFonts w:ascii="Symbol" w:hAnsi="Symbol"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A7C49CD"/>
    <w:multiLevelType w:val="hybridMultilevel"/>
    <w:tmpl w:val="0C2AF7E8"/>
    <w:lvl w:ilvl="0" w:tplc="3B1ABE26">
      <w:start w:val="1"/>
      <w:numFmt w:val="decimal"/>
      <w:lvlText w:val="%1."/>
      <w:lvlJc w:val="left"/>
      <w:pPr>
        <w:tabs>
          <w:tab w:val="num" w:pos="1080"/>
        </w:tabs>
        <w:ind w:left="1080" w:hanging="360"/>
      </w:pPr>
      <w:rPr>
        <w:rFonts w:ascii="Times New Roman" w:eastAsia="Times New Roman" w:hAnsi="Times New Roman" w:cs="Times New Roman"/>
        <w:sz w:val="22"/>
        <w:szCs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64F5D26"/>
    <w:multiLevelType w:val="hybridMultilevel"/>
    <w:tmpl w:val="792ADE24"/>
    <w:lvl w:ilvl="0" w:tplc="EB60641C">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F5515E0"/>
    <w:multiLevelType w:val="hybridMultilevel"/>
    <w:tmpl w:val="AB76596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783044"/>
    <w:multiLevelType w:val="hybridMultilevel"/>
    <w:tmpl w:val="BA8C0438"/>
    <w:lvl w:ilvl="0" w:tplc="351CE320">
      <w:start w:val="1"/>
      <w:numFmt w:val="bullet"/>
      <w:lvlText w:val="–"/>
      <w:lvlJc w:val="left"/>
      <w:pPr>
        <w:tabs>
          <w:tab w:val="num" w:pos="720"/>
        </w:tabs>
        <w:ind w:left="720" w:hanging="360"/>
      </w:pPr>
      <w:rPr>
        <w:rFonts w:ascii="Arial" w:hAnsi="Arial" w:hint="default"/>
      </w:rPr>
    </w:lvl>
    <w:lvl w:ilvl="1" w:tplc="D782452C">
      <w:start w:val="172"/>
      <w:numFmt w:val="bullet"/>
      <w:lvlText w:val="–"/>
      <w:lvlJc w:val="left"/>
      <w:pPr>
        <w:tabs>
          <w:tab w:val="num" w:pos="1440"/>
        </w:tabs>
        <w:ind w:left="1440" w:hanging="360"/>
      </w:pPr>
      <w:rPr>
        <w:rFonts w:ascii="Arial" w:hAnsi="Arial" w:hint="default"/>
      </w:rPr>
    </w:lvl>
    <w:lvl w:ilvl="2" w:tplc="FB6E3012" w:tentative="1">
      <w:start w:val="1"/>
      <w:numFmt w:val="bullet"/>
      <w:lvlText w:val="–"/>
      <w:lvlJc w:val="left"/>
      <w:pPr>
        <w:tabs>
          <w:tab w:val="num" w:pos="2160"/>
        </w:tabs>
        <w:ind w:left="2160" w:hanging="360"/>
      </w:pPr>
      <w:rPr>
        <w:rFonts w:ascii="Arial" w:hAnsi="Arial" w:hint="default"/>
      </w:rPr>
    </w:lvl>
    <w:lvl w:ilvl="3" w:tplc="B2BC7D34" w:tentative="1">
      <w:start w:val="1"/>
      <w:numFmt w:val="bullet"/>
      <w:lvlText w:val="–"/>
      <w:lvlJc w:val="left"/>
      <w:pPr>
        <w:tabs>
          <w:tab w:val="num" w:pos="2880"/>
        </w:tabs>
        <w:ind w:left="2880" w:hanging="360"/>
      </w:pPr>
      <w:rPr>
        <w:rFonts w:ascii="Arial" w:hAnsi="Arial" w:hint="default"/>
      </w:rPr>
    </w:lvl>
    <w:lvl w:ilvl="4" w:tplc="AED2346A" w:tentative="1">
      <w:start w:val="1"/>
      <w:numFmt w:val="bullet"/>
      <w:lvlText w:val="–"/>
      <w:lvlJc w:val="left"/>
      <w:pPr>
        <w:tabs>
          <w:tab w:val="num" w:pos="3600"/>
        </w:tabs>
        <w:ind w:left="3600" w:hanging="360"/>
      </w:pPr>
      <w:rPr>
        <w:rFonts w:ascii="Arial" w:hAnsi="Arial" w:hint="default"/>
      </w:rPr>
    </w:lvl>
    <w:lvl w:ilvl="5" w:tplc="26561B72" w:tentative="1">
      <w:start w:val="1"/>
      <w:numFmt w:val="bullet"/>
      <w:lvlText w:val="–"/>
      <w:lvlJc w:val="left"/>
      <w:pPr>
        <w:tabs>
          <w:tab w:val="num" w:pos="4320"/>
        </w:tabs>
        <w:ind w:left="4320" w:hanging="360"/>
      </w:pPr>
      <w:rPr>
        <w:rFonts w:ascii="Arial" w:hAnsi="Arial" w:hint="default"/>
      </w:rPr>
    </w:lvl>
    <w:lvl w:ilvl="6" w:tplc="39303A14" w:tentative="1">
      <w:start w:val="1"/>
      <w:numFmt w:val="bullet"/>
      <w:lvlText w:val="–"/>
      <w:lvlJc w:val="left"/>
      <w:pPr>
        <w:tabs>
          <w:tab w:val="num" w:pos="5040"/>
        </w:tabs>
        <w:ind w:left="5040" w:hanging="360"/>
      </w:pPr>
      <w:rPr>
        <w:rFonts w:ascii="Arial" w:hAnsi="Arial" w:hint="default"/>
      </w:rPr>
    </w:lvl>
    <w:lvl w:ilvl="7" w:tplc="8F88CDB8" w:tentative="1">
      <w:start w:val="1"/>
      <w:numFmt w:val="bullet"/>
      <w:lvlText w:val="–"/>
      <w:lvlJc w:val="left"/>
      <w:pPr>
        <w:tabs>
          <w:tab w:val="num" w:pos="5760"/>
        </w:tabs>
        <w:ind w:left="5760" w:hanging="360"/>
      </w:pPr>
      <w:rPr>
        <w:rFonts w:ascii="Arial" w:hAnsi="Arial" w:hint="default"/>
      </w:rPr>
    </w:lvl>
    <w:lvl w:ilvl="8" w:tplc="94F60800" w:tentative="1">
      <w:start w:val="1"/>
      <w:numFmt w:val="bullet"/>
      <w:lvlText w:val="–"/>
      <w:lvlJc w:val="left"/>
      <w:pPr>
        <w:tabs>
          <w:tab w:val="num" w:pos="6480"/>
        </w:tabs>
        <w:ind w:left="6480" w:hanging="360"/>
      </w:pPr>
      <w:rPr>
        <w:rFonts w:ascii="Arial" w:hAnsi="Arial" w:hint="default"/>
      </w:rPr>
    </w:lvl>
  </w:abstractNum>
  <w:abstractNum w:abstractNumId="19">
    <w:nsid w:val="68B81CB6"/>
    <w:multiLevelType w:val="hybridMultilevel"/>
    <w:tmpl w:val="26141F0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CB4E10B0">
      <w:start w:val="1"/>
      <w:numFmt w:val="lowerLetter"/>
      <w:lvlText w:val="(%3)"/>
      <w:lvlJc w:val="left"/>
      <w:pPr>
        <w:tabs>
          <w:tab w:val="num" w:pos="2340"/>
        </w:tabs>
        <w:ind w:left="2340" w:hanging="360"/>
      </w:pPr>
      <w:rPr>
        <w:rFonts w:hint="default"/>
      </w:rPr>
    </w:lvl>
    <w:lvl w:ilvl="3" w:tplc="A2B80864">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7A67EA5"/>
    <w:multiLevelType w:val="hybridMultilevel"/>
    <w:tmpl w:val="3A648574"/>
    <w:lvl w:ilvl="0" w:tplc="A0A45EC2">
      <w:start w:val="1"/>
      <w:numFmt w:val="upperRoman"/>
      <w:lvlText w:val="%1."/>
      <w:lvlJc w:val="left"/>
      <w:pPr>
        <w:tabs>
          <w:tab w:val="num" w:pos="1080"/>
        </w:tabs>
        <w:ind w:left="1080" w:hanging="720"/>
      </w:pPr>
      <w:rPr>
        <w:rFonts w:hint="default"/>
      </w:rPr>
    </w:lvl>
    <w:lvl w:ilvl="1" w:tplc="556EF0A8">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B3130E"/>
    <w:multiLevelType w:val="hybridMultilevel"/>
    <w:tmpl w:val="74D6B158"/>
    <w:lvl w:ilvl="0" w:tplc="EED26C74">
      <w:start w:val="1"/>
      <w:numFmt w:val="bullet"/>
      <w:lvlText w:val="–"/>
      <w:lvlJc w:val="left"/>
      <w:pPr>
        <w:tabs>
          <w:tab w:val="num" w:pos="720"/>
        </w:tabs>
        <w:ind w:left="720" w:hanging="360"/>
      </w:pPr>
      <w:rPr>
        <w:rFonts w:ascii="Arial" w:hAnsi="Arial" w:hint="default"/>
      </w:rPr>
    </w:lvl>
    <w:lvl w:ilvl="1" w:tplc="13E21FAC">
      <w:start w:val="172"/>
      <w:numFmt w:val="bullet"/>
      <w:lvlText w:val="–"/>
      <w:lvlJc w:val="left"/>
      <w:pPr>
        <w:tabs>
          <w:tab w:val="num" w:pos="1440"/>
        </w:tabs>
        <w:ind w:left="1440" w:hanging="360"/>
      </w:pPr>
      <w:rPr>
        <w:rFonts w:ascii="Arial" w:hAnsi="Arial" w:hint="default"/>
      </w:rPr>
    </w:lvl>
    <w:lvl w:ilvl="2" w:tplc="7F9CFB16" w:tentative="1">
      <w:start w:val="1"/>
      <w:numFmt w:val="bullet"/>
      <w:lvlText w:val="–"/>
      <w:lvlJc w:val="left"/>
      <w:pPr>
        <w:tabs>
          <w:tab w:val="num" w:pos="2160"/>
        </w:tabs>
        <w:ind w:left="2160" w:hanging="360"/>
      </w:pPr>
      <w:rPr>
        <w:rFonts w:ascii="Arial" w:hAnsi="Arial" w:hint="default"/>
      </w:rPr>
    </w:lvl>
    <w:lvl w:ilvl="3" w:tplc="19949126" w:tentative="1">
      <w:start w:val="1"/>
      <w:numFmt w:val="bullet"/>
      <w:lvlText w:val="–"/>
      <w:lvlJc w:val="left"/>
      <w:pPr>
        <w:tabs>
          <w:tab w:val="num" w:pos="2880"/>
        </w:tabs>
        <w:ind w:left="2880" w:hanging="360"/>
      </w:pPr>
      <w:rPr>
        <w:rFonts w:ascii="Arial" w:hAnsi="Arial" w:hint="default"/>
      </w:rPr>
    </w:lvl>
    <w:lvl w:ilvl="4" w:tplc="E9B685D6" w:tentative="1">
      <w:start w:val="1"/>
      <w:numFmt w:val="bullet"/>
      <w:lvlText w:val="–"/>
      <w:lvlJc w:val="left"/>
      <w:pPr>
        <w:tabs>
          <w:tab w:val="num" w:pos="3600"/>
        </w:tabs>
        <w:ind w:left="3600" w:hanging="360"/>
      </w:pPr>
      <w:rPr>
        <w:rFonts w:ascii="Arial" w:hAnsi="Arial" w:hint="default"/>
      </w:rPr>
    </w:lvl>
    <w:lvl w:ilvl="5" w:tplc="FC34DC56" w:tentative="1">
      <w:start w:val="1"/>
      <w:numFmt w:val="bullet"/>
      <w:lvlText w:val="–"/>
      <w:lvlJc w:val="left"/>
      <w:pPr>
        <w:tabs>
          <w:tab w:val="num" w:pos="4320"/>
        </w:tabs>
        <w:ind w:left="4320" w:hanging="360"/>
      </w:pPr>
      <w:rPr>
        <w:rFonts w:ascii="Arial" w:hAnsi="Arial" w:hint="default"/>
      </w:rPr>
    </w:lvl>
    <w:lvl w:ilvl="6" w:tplc="480C6636" w:tentative="1">
      <w:start w:val="1"/>
      <w:numFmt w:val="bullet"/>
      <w:lvlText w:val="–"/>
      <w:lvlJc w:val="left"/>
      <w:pPr>
        <w:tabs>
          <w:tab w:val="num" w:pos="5040"/>
        </w:tabs>
        <w:ind w:left="5040" w:hanging="360"/>
      </w:pPr>
      <w:rPr>
        <w:rFonts w:ascii="Arial" w:hAnsi="Arial" w:hint="default"/>
      </w:rPr>
    </w:lvl>
    <w:lvl w:ilvl="7" w:tplc="9306F302" w:tentative="1">
      <w:start w:val="1"/>
      <w:numFmt w:val="bullet"/>
      <w:lvlText w:val="–"/>
      <w:lvlJc w:val="left"/>
      <w:pPr>
        <w:tabs>
          <w:tab w:val="num" w:pos="5760"/>
        </w:tabs>
        <w:ind w:left="5760" w:hanging="360"/>
      </w:pPr>
      <w:rPr>
        <w:rFonts w:ascii="Arial" w:hAnsi="Arial" w:hint="default"/>
      </w:rPr>
    </w:lvl>
    <w:lvl w:ilvl="8" w:tplc="5BDC92D8" w:tentative="1">
      <w:start w:val="1"/>
      <w:numFmt w:val="bullet"/>
      <w:lvlText w:val="–"/>
      <w:lvlJc w:val="left"/>
      <w:pPr>
        <w:tabs>
          <w:tab w:val="num" w:pos="6480"/>
        </w:tabs>
        <w:ind w:left="6480" w:hanging="360"/>
      </w:pPr>
      <w:rPr>
        <w:rFonts w:ascii="Arial" w:hAnsi="Arial" w:hint="default"/>
      </w:rPr>
    </w:lvl>
  </w:abstractNum>
  <w:abstractNum w:abstractNumId="22">
    <w:nsid w:val="7B0E1886"/>
    <w:multiLevelType w:val="hybridMultilevel"/>
    <w:tmpl w:val="EE9EA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0"/>
  </w:num>
  <w:num w:numId="3">
    <w:abstractNumId w:val="8"/>
  </w:num>
  <w:num w:numId="4">
    <w:abstractNumId w:val="16"/>
  </w:num>
  <w:num w:numId="5">
    <w:abstractNumId w:val="12"/>
  </w:num>
  <w:num w:numId="6">
    <w:abstractNumId w:val="15"/>
  </w:num>
  <w:num w:numId="7">
    <w:abstractNumId w:val="18"/>
  </w:num>
  <w:num w:numId="8">
    <w:abstractNumId w:val="14"/>
  </w:num>
  <w:num w:numId="9">
    <w:abstractNumId w:val="21"/>
  </w:num>
  <w:num w:numId="10">
    <w:abstractNumId w:val="2"/>
  </w:num>
  <w:num w:numId="11">
    <w:abstractNumId w:val="9"/>
  </w:num>
  <w:num w:numId="12">
    <w:abstractNumId w:val="0"/>
  </w:num>
  <w:num w:numId="13">
    <w:abstractNumId w:val="19"/>
  </w:num>
  <w:num w:numId="14">
    <w:abstractNumId w:val="3"/>
  </w:num>
  <w:num w:numId="15">
    <w:abstractNumId w:val="13"/>
  </w:num>
  <w:num w:numId="16">
    <w:abstractNumId w:val="22"/>
  </w:num>
  <w:num w:numId="17">
    <w:abstractNumId w:val="1"/>
  </w:num>
  <w:num w:numId="18">
    <w:abstractNumId w:val="11"/>
  </w:num>
  <w:num w:numId="19">
    <w:abstractNumId w:val="10"/>
  </w:num>
  <w:num w:numId="20">
    <w:abstractNumId w:val="4"/>
  </w:num>
  <w:num w:numId="21">
    <w:abstractNumId w:val="17"/>
  </w:num>
  <w:num w:numId="22">
    <w:abstractNumId w:val="7"/>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useFELayout/>
  </w:compat>
  <w:rsids>
    <w:rsidRoot w:val="007F3BA0"/>
    <w:rsid w:val="00002FF3"/>
    <w:rsid w:val="00004059"/>
    <w:rsid w:val="00004158"/>
    <w:rsid w:val="00006BC2"/>
    <w:rsid w:val="00007E5D"/>
    <w:rsid w:val="00010982"/>
    <w:rsid w:val="0001172B"/>
    <w:rsid w:val="000122B2"/>
    <w:rsid w:val="00012F71"/>
    <w:rsid w:val="000149A6"/>
    <w:rsid w:val="000152B5"/>
    <w:rsid w:val="00015F6B"/>
    <w:rsid w:val="00020461"/>
    <w:rsid w:val="00020D04"/>
    <w:rsid w:val="00021AD9"/>
    <w:rsid w:val="00021DE2"/>
    <w:rsid w:val="0002306E"/>
    <w:rsid w:val="0002310A"/>
    <w:rsid w:val="000246E4"/>
    <w:rsid w:val="000247C6"/>
    <w:rsid w:val="00024C60"/>
    <w:rsid w:val="00025C8F"/>
    <w:rsid w:val="00026009"/>
    <w:rsid w:val="0002671F"/>
    <w:rsid w:val="0003169B"/>
    <w:rsid w:val="00033D8F"/>
    <w:rsid w:val="0003587C"/>
    <w:rsid w:val="000361F6"/>
    <w:rsid w:val="00040355"/>
    <w:rsid w:val="00040AF3"/>
    <w:rsid w:val="00042FF4"/>
    <w:rsid w:val="0004415C"/>
    <w:rsid w:val="000449F1"/>
    <w:rsid w:val="00044C8C"/>
    <w:rsid w:val="00045112"/>
    <w:rsid w:val="00045E7B"/>
    <w:rsid w:val="0004660C"/>
    <w:rsid w:val="00050758"/>
    <w:rsid w:val="0005175B"/>
    <w:rsid w:val="00052199"/>
    <w:rsid w:val="00052D3F"/>
    <w:rsid w:val="00052FF4"/>
    <w:rsid w:val="0005501F"/>
    <w:rsid w:val="00055A5D"/>
    <w:rsid w:val="00055EC5"/>
    <w:rsid w:val="00056227"/>
    <w:rsid w:val="00057875"/>
    <w:rsid w:val="00064E08"/>
    <w:rsid w:val="00065564"/>
    <w:rsid w:val="00065609"/>
    <w:rsid w:val="00070606"/>
    <w:rsid w:val="0007415F"/>
    <w:rsid w:val="00074171"/>
    <w:rsid w:val="00081515"/>
    <w:rsid w:val="00083945"/>
    <w:rsid w:val="00083E2F"/>
    <w:rsid w:val="0008533B"/>
    <w:rsid w:val="00085BE7"/>
    <w:rsid w:val="000861D4"/>
    <w:rsid w:val="00086FA5"/>
    <w:rsid w:val="00087128"/>
    <w:rsid w:val="000878C3"/>
    <w:rsid w:val="00091122"/>
    <w:rsid w:val="000917BB"/>
    <w:rsid w:val="000922EE"/>
    <w:rsid w:val="0009349E"/>
    <w:rsid w:val="000938A9"/>
    <w:rsid w:val="000938DF"/>
    <w:rsid w:val="00093A99"/>
    <w:rsid w:val="00094365"/>
    <w:rsid w:val="00094A01"/>
    <w:rsid w:val="00095E7F"/>
    <w:rsid w:val="00097E41"/>
    <w:rsid w:val="000A09D6"/>
    <w:rsid w:val="000A1F27"/>
    <w:rsid w:val="000A208B"/>
    <w:rsid w:val="000A26DC"/>
    <w:rsid w:val="000A2840"/>
    <w:rsid w:val="000A2DA6"/>
    <w:rsid w:val="000A3EDF"/>
    <w:rsid w:val="000A3F39"/>
    <w:rsid w:val="000A42AD"/>
    <w:rsid w:val="000A4522"/>
    <w:rsid w:val="000A6032"/>
    <w:rsid w:val="000A6B36"/>
    <w:rsid w:val="000A7530"/>
    <w:rsid w:val="000B057D"/>
    <w:rsid w:val="000B0B9C"/>
    <w:rsid w:val="000B1585"/>
    <w:rsid w:val="000B215F"/>
    <w:rsid w:val="000B242B"/>
    <w:rsid w:val="000B41D0"/>
    <w:rsid w:val="000B44B8"/>
    <w:rsid w:val="000B47A5"/>
    <w:rsid w:val="000B48F3"/>
    <w:rsid w:val="000B49A9"/>
    <w:rsid w:val="000B511F"/>
    <w:rsid w:val="000B52A1"/>
    <w:rsid w:val="000B63F4"/>
    <w:rsid w:val="000B7E99"/>
    <w:rsid w:val="000C1001"/>
    <w:rsid w:val="000C1E75"/>
    <w:rsid w:val="000C1F3E"/>
    <w:rsid w:val="000C25E1"/>
    <w:rsid w:val="000C267A"/>
    <w:rsid w:val="000C2F76"/>
    <w:rsid w:val="000C420B"/>
    <w:rsid w:val="000C4732"/>
    <w:rsid w:val="000C54D3"/>
    <w:rsid w:val="000C6131"/>
    <w:rsid w:val="000C67D5"/>
    <w:rsid w:val="000D11BD"/>
    <w:rsid w:val="000D4482"/>
    <w:rsid w:val="000D4904"/>
    <w:rsid w:val="000D55D3"/>
    <w:rsid w:val="000D60AD"/>
    <w:rsid w:val="000E29E2"/>
    <w:rsid w:val="000E2BA8"/>
    <w:rsid w:val="000E3432"/>
    <w:rsid w:val="000E4387"/>
    <w:rsid w:val="000E5039"/>
    <w:rsid w:val="000E652A"/>
    <w:rsid w:val="000E7673"/>
    <w:rsid w:val="000E76AC"/>
    <w:rsid w:val="000F06EE"/>
    <w:rsid w:val="000F1ADB"/>
    <w:rsid w:val="000F1B67"/>
    <w:rsid w:val="000F222F"/>
    <w:rsid w:val="000F30F8"/>
    <w:rsid w:val="000F6011"/>
    <w:rsid w:val="000F6A99"/>
    <w:rsid w:val="000F6F05"/>
    <w:rsid w:val="000F743C"/>
    <w:rsid w:val="001017DC"/>
    <w:rsid w:val="00101DC7"/>
    <w:rsid w:val="00103CF1"/>
    <w:rsid w:val="00105BCC"/>
    <w:rsid w:val="00106B74"/>
    <w:rsid w:val="00107584"/>
    <w:rsid w:val="0010793D"/>
    <w:rsid w:val="00110FBB"/>
    <w:rsid w:val="0011154B"/>
    <w:rsid w:val="00111CB4"/>
    <w:rsid w:val="00113126"/>
    <w:rsid w:val="001135EC"/>
    <w:rsid w:val="00113B03"/>
    <w:rsid w:val="00113B59"/>
    <w:rsid w:val="00114793"/>
    <w:rsid w:val="00115381"/>
    <w:rsid w:val="00116F71"/>
    <w:rsid w:val="00117019"/>
    <w:rsid w:val="001170DF"/>
    <w:rsid w:val="00117A86"/>
    <w:rsid w:val="00117BA2"/>
    <w:rsid w:val="0012020A"/>
    <w:rsid w:val="0012046D"/>
    <w:rsid w:val="00120502"/>
    <w:rsid w:val="00120AF6"/>
    <w:rsid w:val="00122803"/>
    <w:rsid w:val="00123334"/>
    <w:rsid w:val="001239F0"/>
    <w:rsid w:val="00123BD3"/>
    <w:rsid w:val="00123E7B"/>
    <w:rsid w:val="00124155"/>
    <w:rsid w:val="00124AF2"/>
    <w:rsid w:val="00125CB9"/>
    <w:rsid w:val="00126239"/>
    <w:rsid w:val="001267D3"/>
    <w:rsid w:val="00130CFE"/>
    <w:rsid w:val="00130D6A"/>
    <w:rsid w:val="001311F1"/>
    <w:rsid w:val="001322AA"/>
    <w:rsid w:val="00132B5C"/>
    <w:rsid w:val="001342FD"/>
    <w:rsid w:val="00134CC5"/>
    <w:rsid w:val="00135079"/>
    <w:rsid w:val="00135915"/>
    <w:rsid w:val="00135E68"/>
    <w:rsid w:val="001372D7"/>
    <w:rsid w:val="00137D99"/>
    <w:rsid w:val="00137E1B"/>
    <w:rsid w:val="0014050C"/>
    <w:rsid w:val="0014088F"/>
    <w:rsid w:val="001408B9"/>
    <w:rsid w:val="001428E7"/>
    <w:rsid w:val="00142AD8"/>
    <w:rsid w:val="00142E01"/>
    <w:rsid w:val="00143838"/>
    <w:rsid w:val="00143B29"/>
    <w:rsid w:val="001445EC"/>
    <w:rsid w:val="001459F4"/>
    <w:rsid w:val="00146B90"/>
    <w:rsid w:val="00146B9F"/>
    <w:rsid w:val="00147461"/>
    <w:rsid w:val="00147D64"/>
    <w:rsid w:val="00147D6F"/>
    <w:rsid w:val="0015079F"/>
    <w:rsid w:val="00150BC2"/>
    <w:rsid w:val="00151D69"/>
    <w:rsid w:val="001530D3"/>
    <w:rsid w:val="001531B0"/>
    <w:rsid w:val="00154631"/>
    <w:rsid w:val="00155B7F"/>
    <w:rsid w:val="001602B4"/>
    <w:rsid w:val="001603F3"/>
    <w:rsid w:val="001607A2"/>
    <w:rsid w:val="001607B0"/>
    <w:rsid w:val="00161E35"/>
    <w:rsid w:val="001631C0"/>
    <w:rsid w:val="00163301"/>
    <w:rsid w:val="00163CAC"/>
    <w:rsid w:val="00165050"/>
    <w:rsid w:val="00165724"/>
    <w:rsid w:val="00166C15"/>
    <w:rsid w:val="001674E6"/>
    <w:rsid w:val="00172BA5"/>
    <w:rsid w:val="001740CA"/>
    <w:rsid w:val="001743BA"/>
    <w:rsid w:val="001752E9"/>
    <w:rsid w:val="001753D9"/>
    <w:rsid w:val="00175A0E"/>
    <w:rsid w:val="00175B26"/>
    <w:rsid w:val="001761E3"/>
    <w:rsid w:val="001772EF"/>
    <w:rsid w:val="0017781E"/>
    <w:rsid w:val="00180095"/>
    <w:rsid w:val="00181267"/>
    <w:rsid w:val="0018195A"/>
    <w:rsid w:val="00182C55"/>
    <w:rsid w:val="00182CE2"/>
    <w:rsid w:val="00184494"/>
    <w:rsid w:val="001866AE"/>
    <w:rsid w:val="00190537"/>
    <w:rsid w:val="00190DAD"/>
    <w:rsid w:val="001914F3"/>
    <w:rsid w:val="00192213"/>
    <w:rsid w:val="001922F9"/>
    <w:rsid w:val="00192740"/>
    <w:rsid w:val="00193D75"/>
    <w:rsid w:val="00194450"/>
    <w:rsid w:val="00194DA1"/>
    <w:rsid w:val="001A10FA"/>
    <w:rsid w:val="001A1613"/>
    <w:rsid w:val="001A1AB8"/>
    <w:rsid w:val="001A1BDB"/>
    <w:rsid w:val="001A2A0E"/>
    <w:rsid w:val="001A2ADC"/>
    <w:rsid w:val="001A3087"/>
    <w:rsid w:val="001A46A8"/>
    <w:rsid w:val="001A4B6C"/>
    <w:rsid w:val="001A6C21"/>
    <w:rsid w:val="001B144F"/>
    <w:rsid w:val="001B1ECA"/>
    <w:rsid w:val="001B290C"/>
    <w:rsid w:val="001B2AB9"/>
    <w:rsid w:val="001B46FC"/>
    <w:rsid w:val="001B4B66"/>
    <w:rsid w:val="001B723C"/>
    <w:rsid w:val="001B7406"/>
    <w:rsid w:val="001C0BB4"/>
    <w:rsid w:val="001C10B4"/>
    <w:rsid w:val="001C16F7"/>
    <w:rsid w:val="001C20E6"/>
    <w:rsid w:val="001C2AD7"/>
    <w:rsid w:val="001C2F86"/>
    <w:rsid w:val="001C3440"/>
    <w:rsid w:val="001C4223"/>
    <w:rsid w:val="001C57F8"/>
    <w:rsid w:val="001C70D1"/>
    <w:rsid w:val="001D104C"/>
    <w:rsid w:val="001D181E"/>
    <w:rsid w:val="001D3F76"/>
    <w:rsid w:val="001D5946"/>
    <w:rsid w:val="001D77F2"/>
    <w:rsid w:val="001E0889"/>
    <w:rsid w:val="001E327E"/>
    <w:rsid w:val="001E3FDB"/>
    <w:rsid w:val="001E453F"/>
    <w:rsid w:val="001E464E"/>
    <w:rsid w:val="001E475A"/>
    <w:rsid w:val="001E49B7"/>
    <w:rsid w:val="001E49ED"/>
    <w:rsid w:val="001E6ADD"/>
    <w:rsid w:val="001E7BF0"/>
    <w:rsid w:val="001F29F6"/>
    <w:rsid w:val="001F346F"/>
    <w:rsid w:val="001F3B43"/>
    <w:rsid w:val="001F4AA4"/>
    <w:rsid w:val="001F4C02"/>
    <w:rsid w:val="001F5789"/>
    <w:rsid w:val="001F5CBE"/>
    <w:rsid w:val="001F6F01"/>
    <w:rsid w:val="001F73CF"/>
    <w:rsid w:val="00201140"/>
    <w:rsid w:val="0020129C"/>
    <w:rsid w:val="00203551"/>
    <w:rsid w:val="00206115"/>
    <w:rsid w:val="00206ABC"/>
    <w:rsid w:val="002114B1"/>
    <w:rsid w:val="00212491"/>
    <w:rsid w:val="00212683"/>
    <w:rsid w:val="00213920"/>
    <w:rsid w:val="00214DBD"/>
    <w:rsid w:val="00214E67"/>
    <w:rsid w:val="00215C82"/>
    <w:rsid w:val="00217FA2"/>
    <w:rsid w:val="00220D31"/>
    <w:rsid w:val="00220E80"/>
    <w:rsid w:val="002226AC"/>
    <w:rsid w:val="00222949"/>
    <w:rsid w:val="00223140"/>
    <w:rsid w:val="00223CAC"/>
    <w:rsid w:val="0022502B"/>
    <w:rsid w:val="0022573E"/>
    <w:rsid w:val="00227B2A"/>
    <w:rsid w:val="00227B81"/>
    <w:rsid w:val="00231004"/>
    <w:rsid w:val="00231702"/>
    <w:rsid w:val="00231E87"/>
    <w:rsid w:val="002324EF"/>
    <w:rsid w:val="00232B14"/>
    <w:rsid w:val="00232CAE"/>
    <w:rsid w:val="00233B8D"/>
    <w:rsid w:val="00234AE5"/>
    <w:rsid w:val="00234AF3"/>
    <w:rsid w:val="00236F4B"/>
    <w:rsid w:val="00237A00"/>
    <w:rsid w:val="00241E3E"/>
    <w:rsid w:val="0024205B"/>
    <w:rsid w:val="002431D9"/>
    <w:rsid w:val="00243FC1"/>
    <w:rsid w:val="00246AC8"/>
    <w:rsid w:val="002474A0"/>
    <w:rsid w:val="002514CB"/>
    <w:rsid w:val="00251EC0"/>
    <w:rsid w:val="0025206B"/>
    <w:rsid w:val="00252DC7"/>
    <w:rsid w:val="00253370"/>
    <w:rsid w:val="00253770"/>
    <w:rsid w:val="002543C0"/>
    <w:rsid w:val="00255D52"/>
    <w:rsid w:val="002604BA"/>
    <w:rsid w:val="002637D8"/>
    <w:rsid w:val="0026652F"/>
    <w:rsid w:val="00266BFF"/>
    <w:rsid w:val="002677A9"/>
    <w:rsid w:val="0027164E"/>
    <w:rsid w:val="002719C1"/>
    <w:rsid w:val="002719C2"/>
    <w:rsid w:val="0027487A"/>
    <w:rsid w:val="00274A79"/>
    <w:rsid w:val="00274AC8"/>
    <w:rsid w:val="00276407"/>
    <w:rsid w:val="00276B46"/>
    <w:rsid w:val="00277466"/>
    <w:rsid w:val="00280636"/>
    <w:rsid w:val="00281672"/>
    <w:rsid w:val="00282A47"/>
    <w:rsid w:val="00282DC5"/>
    <w:rsid w:val="00283955"/>
    <w:rsid w:val="00284D23"/>
    <w:rsid w:val="00285A92"/>
    <w:rsid w:val="002860CC"/>
    <w:rsid w:val="0028704F"/>
    <w:rsid w:val="002878EE"/>
    <w:rsid w:val="00287EB3"/>
    <w:rsid w:val="00287F70"/>
    <w:rsid w:val="00290860"/>
    <w:rsid w:val="00290C3C"/>
    <w:rsid w:val="002926B1"/>
    <w:rsid w:val="00292E57"/>
    <w:rsid w:val="00293FBA"/>
    <w:rsid w:val="00295B00"/>
    <w:rsid w:val="00295FA3"/>
    <w:rsid w:val="002975F3"/>
    <w:rsid w:val="002976FE"/>
    <w:rsid w:val="002A2DB5"/>
    <w:rsid w:val="002A6D8E"/>
    <w:rsid w:val="002B0185"/>
    <w:rsid w:val="002B1035"/>
    <w:rsid w:val="002B2065"/>
    <w:rsid w:val="002B245F"/>
    <w:rsid w:val="002B251A"/>
    <w:rsid w:val="002B28B9"/>
    <w:rsid w:val="002B2D9A"/>
    <w:rsid w:val="002B2DE4"/>
    <w:rsid w:val="002B471B"/>
    <w:rsid w:val="002B4D9F"/>
    <w:rsid w:val="002C0527"/>
    <w:rsid w:val="002C08D8"/>
    <w:rsid w:val="002C1FA5"/>
    <w:rsid w:val="002C250E"/>
    <w:rsid w:val="002C2AF3"/>
    <w:rsid w:val="002C5835"/>
    <w:rsid w:val="002C605A"/>
    <w:rsid w:val="002C6EEA"/>
    <w:rsid w:val="002C74ED"/>
    <w:rsid w:val="002D003B"/>
    <w:rsid w:val="002D01DD"/>
    <w:rsid w:val="002D09C4"/>
    <w:rsid w:val="002D0CDE"/>
    <w:rsid w:val="002D1767"/>
    <w:rsid w:val="002D1B1C"/>
    <w:rsid w:val="002D2025"/>
    <w:rsid w:val="002D2F26"/>
    <w:rsid w:val="002D41F5"/>
    <w:rsid w:val="002D51A9"/>
    <w:rsid w:val="002D6E9D"/>
    <w:rsid w:val="002E0407"/>
    <w:rsid w:val="002E3139"/>
    <w:rsid w:val="002E333C"/>
    <w:rsid w:val="002E3380"/>
    <w:rsid w:val="002E3389"/>
    <w:rsid w:val="002E4735"/>
    <w:rsid w:val="002E49D2"/>
    <w:rsid w:val="002E5028"/>
    <w:rsid w:val="002E5335"/>
    <w:rsid w:val="002E5376"/>
    <w:rsid w:val="002F0CB7"/>
    <w:rsid w:val="002F11B7"/>
    <w:rsid w:val="002F190B"/>
    <w:rsid w:val="002F1C48"/>
    <w:rsid w:val="002F27C5"/>
    <w:rsid w:val="002F2DB1"/>
    <w:rsid w:val="002F2FBE"/>
    <w:rsid w:val="002F32B3"/>
    <w:rsid w:val="002F3F4B"/>
    <w:rsid w:val="002F3FB5"/>
    <w:rsid w:val="002F5768"/>
    <w:rsid w:val="002F669E"/>
    <w:rsid w:val="002F742D"/>
    <w:rsid w:val="002F7AA8"/>
    <w:rsid w:val="0030072E"/>
    <w:rsid w:val="00300984"/>
    <w:rsid w:val="00300E01"/>
    <w:rsid w:val="00302DBF"/>
    <w:rsid w:val="00304494"/>
    <w:rsid w:val="003046DA"/>
    <w:rsid w:val="00304887"/>
    <w:rsid w:val="00304A28"/>
    <w:rsid w:val="00305D97"/>
    <w:rsid w:val="00306E42"/>
    <w:rsid w:val="00307291"/>
    <w:rsid w:val="003072AC"/>
    <w:rsid w:val="00311D7B"/>
    <w:rsid w:val="0031253B"/>
    <w:rsid w:val="00312B74"/>
    <w:rsid w:val="00312D9E"/>
    <w:rsid w:val="00313191"/>
    <w:rsid w:val="003150B8"/>
    <w:rsid w:val="00315351"/>
    <w:rsid w:val="003169EE"/>
    <w:rsid w:val="003177A2"/>
    <w:rsid w:val="00317808"/>
    <w:rsid w:val="00320B12"/>
    <w:rsid w:val="00322334"/>
    <w:rsid w:val="00323525"/>
    <w:rsid w:val="00323CBA"/>
    <w:rsid w:val="003244F9"/>
    <w:rsid w:val="00324B1A"/>
    <w:rsid w:val="0032668D"/>
    <w:rsid w:val="0032741A"/>
    <w:rsid w:val="00330F6D"/>
    <w:rsid w:val="00331B12"/>
    <w:rsid w:val="0033275C"/>
    <w:rsid w:val="003330A2"/>
    <w:rsid w:val="00333B8B"/>
    <w:rsid w:val="00334067"/>
    <w:rsid w:val="00336467"/>
    <w:rsid w:val="0033672C"/>
    <w:rsid w:val="003367E7"/>
    <w:rsid w:val="00337179"/>
    <w:rsid w:val="00337B8F"/>
    <w:rsid w:val="003415B2"/>
    <w:rsid w:val="00341645"/>
    <w:rsid w:val="00342070"/>
    <w:rsid w:val="00342106"/>
    <w:rsid w:val="00343DF5"/>
    <w:rsid w:val="00344A17"/>
    <w:rsid w:val="00345056"/>
    <w:rsid w:val="00346770"/>
    <w:rsid w:val="00346A3E"/>
    <w:rsid w:val="00347661"/>
    <w:rsid w:val="00350541"/>
    <w:rsid w:val="00350685"/>
    <w:rsid w:val="00350704"/>
    <w:rsid w:val="00351394"/>
    <w:rsid w:val="0035159C"/>
    <w:rsid w:val="003543EF"/>
    <w:rsid w:val="00354693"/>
    <w:rsid w:val="0035501C"/>
    <w:rsid w:val="00356F14"/>
    <w:rsid w:val="00357443"/>
    <w:rsid w:val="00360AB3"/>
    <w:rsid w:val="003622FB"/>
    <w:rsid w:val="00362471"/>
    <w:rsid w:val="00364732"/>
    <w:rsid w:val="0036630D"/>
    <w:rsid w:val="00367B51"/>
    <w:rsid w:val="00372109"/>
    <w:rsid w:val="00373A60"/>
    <w:rsid w:val="00373D62"/>
    <w:rsid w:val="00374B07"/>
    <w:rsid w:val="00380604"/>
    <w:rsid w:val="003824B2"/>
    <w:rsid w:val="00383196"/>
    <w:rsid w:val="003834B2"/>
    <w:rsid w:val="003836A0"/>
    <w:rsid w:val="0038547E"/>
    <w:rsid w:val="003909A1"/>
    <w:rsid w:val="0039134F"/>
    <w:rsid w:val="00391E97"/>
    <w:rsid w:val="003921DA"/>
    <w:rsid w:val="00392415"/>
    <w:rsid w:val="00394E47"/>
    <w:rsid w:val="00396002"/>
    <w:rsid w:val="00396FEF"/>
    <w:rsid w:val="0039715F"/>
    <w:rsid w:val="00397393"/>
    <w:rsid w:val="003A06C9"/>
    <w:rsid w:val="003A12FF"/>
    <w:rsid w:val="003A2BF1"/>
    <w:rsid w:val="003A4384"/>
    <w:rsid w:val="003A5952"/>
    <w:rsid w:val="003A5CC4"/>
    <w:rsid w:val="003A6F53"/>
    <w:rsid w:val="003A7830"/>
    <w:rsid w:val="003B2392"/>
    <w:rsid w:val="003B2C66"/>
    <w:rsid w:val="003B4225"/>
    <w:rsid w:val="003B5064"/>
    <w:rsid w:val="003B588D"/>
    <w:rsid w:val="003B60E3"/>
    <w:rsid w:val="003B75E7"/>
    <w:rsid w:val="003B77D2"/>
    <w:rsid w:val="003C0B19"/>
    <w:rsid w:val="003C278D"/>
    <w:rsid w:val="003C36F2"/>
    <w:rsid w:val="003C3EFE"/>
    <w:rsid w:val="003C5DEE"/>
    <w:rsid w:val="003D164E"/>
    <w:rsid w:val="003D348A"/>
    <w:rsid w:val="003D4BD6"/>
    <w:rsid w:val="003D5272"/>
    <w:rsid w:val="003D7602"/>
    <w:rsid w:val="003D7782"/>
    <w:rsid w:val="003E0739"/>
    <w:rsid w:val="003E0A6F"/>
    <w:rsid w:val="003E0EF0"/>
    <w:rsid w:val="003E2B3F"/>
    <w:rsid w:val="003E3A51"/>
    <w:rsid w:val="003E46D2"/>
    <w:rsid w:val="003E64FA"/>
    <w:rsid w:val="003E6E6F"/>
    <w:rsid w:val="003F143F"/>
    <w:rsid w:val="003F1A8E"/>
    <w:rsid w:val="003F2C64"/>
    <w:rsid w:val="003F38B3"/>
    <w:rsid w:val="003F652C"/>
    <w:rsid w:val="0040298C"/>
    <w:rsid w:val="004045CF"/>
    <w:rsid w:val="004065BA"/>
    <w:rsid w:val="00406632"/>
    <w:rsid w:val="00406D47"/>
    <w:rsid w:val="00410607"/>
    <w:rsid w:val="00412D8A"/>
    <w:rsid w:val="0041356F"/>
    <w:rsid w:val="00416DF2"/>
    <w:rsid w:val="004172C8"/>
    <w:rsid w:val="004175FD"/>
    <w:rsid w:val="004203F3"/>
    <w:rsid w:val="004220B2"/>
    <w:rsid w:val="004224CB"/>
    <w:rsid w:val="00424160"/>
    <w:rsid w:val="00424A82"/>
    <w:rsid w:val="004250FD"/>
    <w:rsid w:val="00425BA1"/>
    <w:rsid w:val="0042716E"/>
    <w:rsid w:val="00430452"/>
    <w:rsid w:val="00431C44"/>
    <w:rsid w:val="0043376B"/>
    <w:rsid w:val="00433CD1"/>
    <w:rsid w:val="00433EC7"/>
    <w:rsid w:val="00433F08"/>
    <w:rsid w:val="00434C1E"/>
    <w:rsid w:val="0043542B"/>
    <w:rsid w:val="004362A4"/>
    <w:rsid w:val="0043631E"/>
    <w:rsid w:val="00436CB8"/>
    <w:rsid w:val="00437792"/>
    <w:rsid w:val="00440374"/>
    <w:rsid w:val="004421A2"/>
    <w:rsid w:val="00442BEF"/>
    <w:rsid w:val="004434EA"/>
    <w:rsid w:val="00443A16"/>
    <w:rsid w:val="0044436E"/>
    <w:rsid w:val="00445A43"/>
    <w:rsid w:val="004461D7"/>
    <w:rsid w:val="00446F90"/>
    <w:rsid w:val="00447364"/>
    <w:rsid w:val="00447704"/>
    <w:rsid w:val="00450C04"/>
    <w:rsid w:val="00450F80"/>
    <w:rsid w:val="00452BCB"/>
    <w:rsid w:val="00452E6A"/>
    <w:rsid w:val="004534BE"/>
    <w:rsid w:val="00453896"/>
    <w:rsid w:val="0045428E"/>
    <w:rsid w:val="004542D3"/>
    <w:rsid w:val="0045510D"/>
    <w:rsid w:val="00456550"/>
    <w:rsid w:val="00457272"/>
    <w:rsid w:val="00461C9C"/>
    <w:rsid w:val="00462042"/>
    <w:rsid w:val="004635F6"/>
    <w:rsid w:val="0046485F"/>
    <w:rsid w:val="00464A60"/>
    <w:rsid w:val="004651FA"/>
    <w:rsid w:val="00465270"/>
    <w:rsid w:val="00465F4E"/>
    <w:rsid w:val="00467C2C"/>
    <w:rsid w:val="0047239A"/>
    <w:rsid w:val="00472C7E"/>
    <w:rsid w:val="00474851"/>
    <w:rsid w:val="00474ED6"/>
    <w:rsid w:val="00475638"/>
    <w:rsid w:val="00475EC9"/>
    <w:rsid w:val="0047623B"/>
    <w:rsid w:val="004767B5"/>
    <w:rsid w:val="004778CE"/>
    <w:rsid w:val="00477B41"/>
    <w:rsid w:val="00477D54"/>
    <w:rsid w:val="00480040"/>
    <w:rsid w:val="00483B58"/>
    <w:rsid w:val="00483FF2"/>
    <w:rsid w:val="004844A8"/>
    <w:rsid w:val="00484CE1"/>
    <w:rsid w:val="00486442"/>
    <w:rsid w:val="00487378"/>
    <w:rsid w:val="00487BC8"/>
    <w:rsid w:val="00487D96"/>
    <w:rsid w:val="004905A7"/>
    <w:rsid w:val="00490951"/>
    <w:rsid w:val="004909C3"/>
    <w:rsid w:val="00490B0A"/>
    <w:rsid w:val="004918CF"/>
    <w:rsid w:val="0049392B"/>
    <w:rsid w:val="0049412F"/>
    <w:rsid w:val="0049581A"/>
    <w:rsid w:val="00495879"/>
    <w:rsid w:val="004966A0"/>
    <w:rsid w:val="00496DB6"/>
    <w:rsid w:val="00497510"/>
    <w:rsid w:val="00497928"/>
    <w:rsid w:val="004A06F5"/>
    <w:rsid w:val="004A0DC4"/>
    <w:rsid w:val="004A173E"/>
    <w:rsid w:val="004A28F3"/>
    <w:rsid w:val="004A2AC7"/>
    <w:rsid w:val="004A2F8D"/>
    <w:rsid w:val="004A5126"/>
    <w:rsid w:val="004A6159"/>
    <w:rsid w:val="004A6AF5"/>
    <w:rsid w:val="004A6DC9"/>
    <w:rsid w:val="004A7A88"/>
    <w:rsid w:val="004B080F"/>
    <w:rsid w:val="004B14EA"/>
    <w:rsid w:val="004B1606"/>
    <w:rsid w:val="004B1A1D"/>
    <w:rsid w:val="004B2231"/>
    <w:rsid w:val="004B28E3"/>
    <w:rsid w:val="004B2ABA"/>
    <w:rsid w:val="004B3895"/>
    <w:rsid w:val="004B4648"/>
    <w:rsid w:val="004B48F4"/>
    <w:rsid w:val="004B595E"/>
    <w:rsid w:val="004B63B0"/>
    <w:rsid w:val="004B676C"/>
    <w:rsid w:val="004B729D"/>
    <w:rsid w:val="004B7767"/>
    <w:rsid w:val="004B77BD"/>
    <w:rsid w:val="004B79B3"/>
    <w:rsid w:val="004C007A"/>
    <w:rsid w:val="004C1C41"/>
    <w:rsid w:val="004C410F"/>
    <w:rsid w:val="004C4CCD"/>
    <w:rsid w:val="004C5661"/>
    <w:rsid w:val="004C56F2"/>
    <w:rsid w:val="004C5F7C"/>
    <w:rsid w:val="004D0435"/>
    <w:rsid w:val="004D0DD3"/>
    <w:rsid w:val="004D294B"/>
    <w:rsid w:val="004D4A31"/>
    <w:rsid w:val="004D5636"/>
    <w:rsid w:val="004D6FAF"/>
    <w:rsid w:val="004E055E"/>
    <w:rsid w:val="004E10C2"/>
    <w:rsid w:val="004E1365"/>
    <w:rsid w:val="004E1E6A"/>
    <w:rsid w:val="004E2622"/>
    <w:rsid w:val="004E30A5"/>
    <w:rsid w:val="004E409C"/>
    <w:rsid w:val="004E54AA"/>
    <w:rsid w:val="004E5C59"/>
    <w:rsid w:val="004E62C1"/>
    <w:rsid w:val="004E7097"/>
    <w:rsid w:val="004F09EA"/>
    <w:rsid w:val="004F139C"/>
    <w:rsid w:val="004F1D79"/>
    <w:rsid w:val="004F2C9D"/>
    <w:rsid w:val="004F417C"/>
    <w:rsid w:val="004F443A"/>
    <w:rsid w:val="004F446D"/>
    <w:rsid w:val="004F5D5E"/>
    <w:rsid w:val="004F6812"/>
    <w:rsid w:val="004F6EEB"/>
    <w:rsid w:val="004F7B9B"/>
    <w:rsid w:val="004F7F23"/>
    <w:rsid w:val="00500227"/>
    <w:rsid w:val="0050052F"/>
    <w:rsid w:val="0050097E"/>
    <w:rsid w:val="00500DE8"/>
    <w:rsid w:val="0050134D"/>
    <w:rsid w:val="00501FC8"/>
    <w:rsid w:val="00502EA3"/>
    <w:rsid w:val="00503518"/>
    <w:rsid w:val="00503AF5"/>
    <w:rsid w:val="00505253"/>
    <w:rsid w:val="005062A9"/>
    <w:rsid w:val="005066B1"/>
    <w:rsid w:val="00507095"/>
    <w:rsid w:val="00510545"/>
    <w:rsid w:val="00510EB0"/>
    <w:rsid w:val="00511755"/>
    <w:rsid w:val="00511F7E"/>
    <w:rsid w:val="00513933"/>
    <w:rsid w:val="00514573"/>
    <w:rsid w:val="0051662D"/>
    <w:rsid w:val="0051681A"/>
    <w:rsid w:val="0051707C"/>
    <w:rsid w:val="005175D2"/>
    <w:rsid w:val="00521957"/>
    <w:rsid w:val="0052358E"/>
    <w:rsid w:val="0052596A"/>
    <w:rsid w:val="0052615A"/>
    <w:rsid w:val="005264E5"/>
    <w:rsid w:val="00527BBD"/>
    <w:rsid w:val="005300FA"/>
    <w:rsid w:val="00530593"/>
    <w:rsid w:val="00530CCF"/>
    <w:rsid w:val="0053123B"/>
    <w:rsid w:val="00531B3B"/>
    <w:rsid w:val="00532DAC"/>
    <w:rsid w:val="00542FDC"/>
    <w:rsid w:val="005434A7"/>
    <w:rsid w:val="005434BD"/>
    <w:rsid w:val="0054374B"/>
    <w:rsid w:val="00543A36"/>
    <w:rsid w:val="005457E8"/>
    <w:rsid w:val="00546074"/>
    <w:rsid w:val="00547C92"/>
    <w:rsid w:val="00551354"/>
    <w:rsid w:val="00553D95"/>
    <w:rsid w:val="005545D1"/>
    <w:rsid w:val="005549FE"/>
    <w:rsid w:val="00554A43"/>
    <w:rsid w:val="00554D76"/>
    <w:rsid w:val="00560215"/>
    <w:rsid w:val="005604C6"/>
    <w:rsid w:val="005622B3"/>
    <w:rsid w:val="00562A27"/>
    <w:rsid w:val="00562F54"/>
    <w:rsid w:val="0056363C"/>
    <w:rsid w:val="0056533A"/>
    <w:rsid w:val="00566080"/>
    <w:rsid w:val="00566239"/>
    <w:rsid w:val="00566A09"/>
    <w:rsid w:val="005708F5"/>
    <w:rsid w:val="00570DE8"/>
    <w:rsid w:val="00573B9A"/>
    <w:rsid w:val="00574072"/>
    <w:rsid w:val="00575428"/>
    <w:rsid w:val="005768EF"/>
    <w:rsid w:val="00576F6D"/>
    <w:rsid w:val="00580390"/>
    <w:rsid w:val="00583869"/>
    <w:rsid w:val="0058405F"/>
    <w:rsid w:val="005848CD"/>
    <w:rsid w:val="00585CFB"/>
    <w:rsid w:val="00587E00"/>
    <w:rsid w:val="00590490"/>
    <w:rsid w:val="005912E9"/>
    <w:rsid w:val="005941E7"/>
    <w:rsid w:val="00594376"/>
    <w:rsid w:val="005957EA"/>
    <w:rsid w:val="00595EDF"/>
    <w:rsid w:val="00596671"/>
    <w:rsid w:val="00596762"/>
    <w:rsid w:val="00596B81"/>
    <w:rsid w:val="00596DB8"/>
    <w:rsid w:val="0059700E"/>
    <w:rsid w:val="00597063"/>
    <w:rsid w:val="005A0113"/>
    <w:rsid w:val="005A0A21"/>
    <w:rsid w:val="005A12F4"/>
    <w:rsid w:val="005A19D7"/>
    <w:rsid w:val="005A6D74"/>
    <w:rsid w:val="005A72D6"/>
    <w:rsid w:val="005B04EA"/>
    <w:rsid w:val="005B16CA"/>
    <w:rsid w:val="005B2262"/>
    <w:rsid w:val="005B266E"/>
    <w:rsid w:val="005B34C6"/>
    <w:rsid w:val="005B3BAC"/>
    <w:rsid w:val="005B4213"/>
    <w:rsid w:val="005B5336"/>
    <w:rsid w:val="005B61E2"/>
    <w:rsid w:val="005B6842"/>
    <w:rsid w:val="005B7AA2"/>
    <w:rsid w:val="005C00B8"/>
    <w:rsid w:val="005C0E03"/>
    <w:rsid w:val="005C1CB3"/>
    <w:rsid w:val="005C1E87"/>
    <w:rsid w:val="005C27A6"/>
    <w:rsid w:val="005C299F"/>
    <w:rsid w:val="005C2AE0"/>
    <w:rsid w:val="005C2E0B"/>
    <w:rsid w:val="005C515A"/>
    <w:rsid w:val="005C5A42"/>
    <w:rsid w:val="005C5B84"/>
    <w:rsid w:val="005C7711"/>
    <w:rsid w:val="005D05AD"/>
    <w:rsid w:val="005D0A8F"/>
    <w:rsid w:val="005D180D"/>
    <w:rsid w:val="005D1830"/>
    <w:rsid w:val="005D314D"/>
    <w:rsid w:val="005D3491"/>
    <w:rsid w:val="005D3CBB"/>
    <w:rsid w:val="005D3E50"/>
    <w:rsid w:val="005D4F89"/>
    <w:rsid w:val="005D7F66"/>
    <w:rsid w:val="005E124D"/>
    <w:rsid w:val="005E153C"/>
    <w:rsid w:val="005E29E8"/>
    <w:rsid w:val="005E33FE"/>
    <w:rsid w:val="005E343A"/>
    <w:rsid w:val="005E451C"/>
    <w:rsid w:val="005E4DBA"/>
    <w:rsid w:val="005E5202"/>
    <w:rsid w:val="005E5946"/>
    <w:rsid w:val="005E6699"/>
    <w:rsid w:val="005E6A76"/>
    <w:rsid w:val="005E6FFE"/>
    <w:rsid w:val="005F03A8"/>
    <w:rsid w:val="005F0A64"/>
    <w:rsid w:val="005F1B23"/>
    <w:rsid w:val="005F1C11"/>
    <w:rsid w:val="005F2912"/>
    <w:rsid w:val="005F3053"/>
    <w:rsid w:val="005F4106"/>
    <w:rsid w:val="005F60B9"/>
    <w:rsid w:val="005F6971"/>
    <w:rsid w:val="005F6E0C"/>
    <w:rsid w:val="005F6F70"/>
    <w:rsid w:val="005F784B"/>
    <w:rsid w:val="00600D05"/>
    <w:rsid w:val="0060135A"/>
    <w:rsid w:val="0060196D"/>
    <w:rsid w:val="00605EA2"/>
    <w:rsid w:val="006063F8"/>
    <w:rsid w:val="00610CAE"/>
    <w:rsid w:val="00612CCD"/>
    <w:rsid w:val="00614093"/>
    <w:rsid w:val="006145CC"/>
    <w:rsid w:val="00615AD7"/>
    <w:rsid w:val="00616871"/>
    <w:rsid w:val="00616BC4"/>
    <w:rsid w:val="006178BA"/>
    <w:rsid w:val="00621348"/>
    <w:rsid w:val="00621DDE"/>
    <w:rsid w:val="00622338"/>
    <w:rsid w:val="00622DA1"/>
    <w:rsid w:val="0062448E"/>
    <w:rsid w:val="00624A1C"/>
    <w:rsid w:val="00626EF6"/>
    <w:rsid w:val="00627735"/>
    <w:rsid w:val="00631125"/>
    <w:rsid w:val="006317A2"/>
    <w:rsid w:val="00631F99"/>
    <w:rsid w:val="0063239A"/>
    <w:rsid w:val="006329EC"/>
    <w:rsid w:val="00632C85"/>
    <w:rsid w:val="00633CEF"/>
    <w:rsid w:val="006348B5"/>
    <w:rsid w:val="00637FA6"/>
    <w:rsid w:val="00640273"/>
    <w:rsid w:val="00640283"/>
    <w:rsid w:val="00640397"/>
    <w:rsid w:val="0064131C"/>
    <w:rsid w:val="006418BF"/>
    <w:rsid w:val="006423F2"/>
    <w:rsid w:val="00644610"/>
    <w:rsid w:val="00644BF6"/>
    <w:rsid w:val="00645F0F"/>
    <w:rsid w:val="00646674"/>
    <w:rsid w:val="00647171"/>
    <w:rsid w:val="00647416"/>
    <w:rsid w:val="0065012D"/>
    <w:rsid w:val="006514BA"/>
    <w:rsid w:val="006519C4"/>
    <w:rsid w:val="00653631"/>
    <w:rsid w:val="00654699"/>
    <w:rsid w:val="00655391"/>
    <w:rsid w:val="00655884"/>
    <w:rsid w:val="00655C36"/>
    <w:rsid w:val="00657444"/>
    <w:rsid w:val="00657887"/>
    <w:rsid w:val="00657FA0"/>
    <w:rsid w:val="00662359"/>
    <w:rsid w:val="006650BC"/>
    <w:rsid w:val="0066510A"/>
    <w:rsid w:val="006659DC"/>
    <w:rsid w:val="00666979"/>
    <w:rsid w:val="006676E8"/>
    <w:rsid w:val="00671B33"/>
    <w:rsid w:val="00672127"/>
    <w:rsid w:val="006730C8"/>
    <w:rsid w:val="006731DA"/>
    <w:rsid w:val="0067338B"/>
    <w:rsid w:val="00675AE9"/>
    <w:rsid w:val="00677408"/>
    <w:rsid w:val="00680937"/>
    <w:rsid w:val="00680F39"/>
    <w:rsid w:val="0068318E"/>
    <w:rsid w:val="0068436A"/>
    <w:rsid w:val="006843CC"/>
    <w:rsid w:val="0068494A"/>
    <w:rsid w:val="00684F09"/>
    <w:rsid w:val="0068723B"/>
    <w:rsid w:val="006915D4"/>
    <w:rsid w:val="006933F7"/>
    <w:rsid w:val="00694690"/>
    <w:rsid w:val="00694BD2"/>
    <w:rsid w:val="00695E31"/>
    <w:rsid w:val="0069630D"/>
    <w:rsid w:val="00697131"/>
    <w:rsid w:val="00697E4E"/>
    <w:rsid w:val="006A0474"/>
    <w:rsid w:val="006A1011"/>
    <w:rsid w:val="006A158D"/>
    <w:rsid w:val="006A1A5A"/>
    <w:rsid w:val="006A1BA5"/>
    <w:rsid w:val="006A2A7A"/>
    <w:rsid w:val="006A2EAB"/>
    <w:rsid w:val="006A3338"/>
    <w:rsid w:val="006A4857"/>
    <w:rsid w:val="006A6080"/>
    <w:rsid w:val="006A6779"/>
    <w:rsid w:val="006A68D9"/>
    <w:rsid w:val="006A6FD7"/>
    <w:rsid w:val="006B08B6"/>
    <w:rsid w:val="006B0E9D"/>
    <w:rsid w:val="006B25EE"/>
    <w:rsid w:val="006B51F3"/>
    <w:rsid w:val="006B5884"/>
    <w:rsid w:val="006B5D90"/>
    <w:rsid w:val="006B7029"/>
    <w:rsid w:val="006B7946"/>
    <w:rsid w:val="006C07BF"/>
    <w:rsid w:val="006C0A7D"/>
    <w:rsid w:val="006C0E6F"/>
    <w:rsid w:val="006C168D"/>
    <w:rsid w:val="006C1EE4"/>
    <w:rsid w:val="006C3B9F"/>
    <w:rsid w:val="006C4351"/>
    <w:rsid w:val="006C442E"/>
    <w:rsid w:val="006C524F"/>
    <w:rsid w:val="006C529E"/>
    <w:rsid w:val="006C5AE4"/>
    <w:rsid w:val="006C666D"/>
    <w:rsid w:val="006C70DA"/>
    <w:rsid w:val="006D0B65"/>
    <w:rsid w:val="006D10CE"/>
    <w:rsid w:val="006D2ECF"/>
    <w:rsid w:val="006D3CE2"/>
    <w:rsid w:val="006D4708"/>
    <w:rsid w:val="006D4AD7"/>
    <w:rsid w:val="006D5190"/>
    <w:rsid w:val="006D57D0"/>
    <w:rsid w:val="006D59C8"/>
    <w:rsid w:val="006D5C30"/>
    <w:rsid w:val="006D5F93"/>
    <w:rsid w:val="006D79E2"/>
    <w:rsid w:val="006D7FEA"/>
    <w:rsid w:val="006E00E5"/>
    <w:rsid w:val="006E063F"/>
    <w:rsid w:val="006E0C5D"/>
    <w:rsid w:val="006E1697"/>
    <w:rsid w:val="006E2629"/>
    <w:rsid w:val="006E31FD"/>
    <w:rsid w:val="006E366C"/>
    <w:rsid w:val="006E36DC"/>
    <w:rsid w:val="006E45F2"/>
    <w:rsid w:val="006E4CDE"/>
    <w:rsid w:val="006E4DE7"/>
    <w:rsid w:val="006E619B"/>
    <w:rsid w:val="006E6B58"/>
    <w:rsid w:val="006E6F81"/>
    <w:rsid w:val="006E70B7"/>
    <w:rsid w:val="006E70FD"/>
    <w:rsid w:val="006E79B1"/>
    <w:rsid w:val="006E7FA5"/>
    <w:rsid w:val="006F08CE"/>
    <w:rsid w:val="006F12E3"/>
    <w:rsid w:val="006F17AF"/>
    <w:rsid w:val="006F18E6"/>
    <w:rsid w:val="006F1F56"/>
    <w:rsid w:val="006F2167"/>
    <w:rsid w:val="006F2290"/>
    <w:rsid w:val="006F4977"/>
    <w:rsid w:val="006F49CE"/>
    <w:rsid w:val="006F6BF0"/>
    <w:rsid w:val="00700340"/>
    <w:rsid w:val="00700B45"/>
    <w:rsid w:val="007012F2"/>
    <w:rsid w:val="00701718"/>
    <w:rsid w:val="00701EFD"/>
    <w:rsid w:val="0070238E"/>
    <w:rsid w:val="007055CA"/>
    <w:rsid w:val="0070594A"/>
    <w:rsid w:val="00707CAF"/>
    <w:rsid w:val="00711B2D"/>
    <w:rsid w:val="00711B42"/>
    <w:rsid w:val="0071290A"/>
    <w:rsid w:val="00712B7D"/>
    <w:rsid w:val="007142C7"/>
    <w:rsid w:val="007144DF"/>
    <w:rsid w:val="00716FE5"/>
    <w:rsid w:val="0071726B"/>
    <w:rsid w:val="007175C2"/>
    <w:rsid w:val="0072038C"/>
    <w:rsid w:val="00720B68"/>
    <w:rsid w:val="00721C27"/>
    <w:rsid w:val="00722A02"/>
    <w:rsid w:val="00722E09"/>
    <w:rsid w:val="007239A5"/>
    <w:rsid w:val="007241F5"/>
    <w:rsid w:val="007256F9"/>
    <w:rsid w:val="00725DCF"/>
    <w:rsid w:val="0072632E"/>
    <w:rsid w:val="00726898"/>
    <w:rsid w:val="007279D6"/>
    <w:rsid w:val="0073049F"/>
    <w:rsid w:val="0073051D"/>
    <w:rsid w:val="00731506"/>
    <w:rsid w:val="007319BC"/>
    <w:rsid w:val="00732B8E"/>
    <w:rsid w:val="007340F8"/>
    <w:rsid w:val="00734273"/>
    <w:rsid w:val="00735AA2"/>
    <w:rsid w:val="0073669F"/>
    <w:rsid w:val="00736B78"/>
    <w:rsid w:val="0073721E"/>
    <w:rsid w:val="00737F44"/>
    <w:rsid w:val="00740852"/>
    <w:rsid w:val="00740AD9"/>
    <w:rsid w:val="00741DBA"/>
    <w:rsid w:val="00742507"/>
    <w:rsid w:val="00744A7B"/>
    <w:rsid w:val="00744D17"/>
    <w:rsid w:val="00744F1A"/>
    <w:rsid w:val="00745014"/>
    <w:rsid w:val="00752B74"/>
    <w:rsid w:val="00753AC2"/>
    <w:rsid w:val="00753D89"/>
    <w:rsid w:val="00754A51"/>
    <w:rsid w:val="00754A58"/>
    <w:rsid w:val="0075514F"/>
    <w:rsid w:val="00756201"/>
    <w:rsid w:val="007562EA"/>
    <w:rsid w:val="00756F9F"/>
    <w:rsid w:val="00760F7F"/>
    <w:rsid w:val="00761003"/>
    <w:rsid w:val="00763660"/>
    <w:rsid w:val="0076399C"/>
    <w:rsid w:val="00764758"/>
    <w:rsid w:val="00766891"/>
    <w:rsid w:val="00766B9D"/>
    <w:rsid w:val="00766FF0"/>
    <w:rsid w:val="00770AE0"/>
    <w:rsid w:val="007723E3"/>
    <w:rsid w:val="007762EB"/>
    <w:rsid w:val="00776E58"/>
    <w:rsid w:val="0078176F"/>
    <w:rsid w:val="00781805"/>
    <w:rsid w:val="00783673"/>
    <w:rsid w:val="00783792"/>
    <w:rsid w:val="00783C86"/>
    <w:rsid w:val="0078470B"/>
    <w:rsid w:val="00785550"/>
    <w:rsid w:val="007856DC"/>
    <w:rsid w:val="007860E1"/>
    <w:rsid w:val="007869E5"/>
    <w:rsid w:val="00786BCF"/>
    <w:rsid w:val="00787C21"/>
    <w:rsid w:val="00790F5F"/>
    <w:rsid w:val="00791435"/>
    <w:rsid w:val="0079284D"/>
    <w:rsid w:val="00795E5F"/>
    <w:rsid w:val="007978A6"/>
    <w:rsid w:val="007978E5"/>
    <w:rsid w:val="007A396B"/>
    <w:rsid w:val="007A5818"/>
    <w:rsid w:val="007A636F"/>
    <w:rsid w:val="007A6EE5"/>
    <w:rsid w:val="007B0230"/>
    <w:rsid w:val="007B0805"/>
    <w:rsid w:val="007B0AB7"/>
    <w:rsid w:val="007B1BA0"/>
    <w:rsid w:val="007B2CD3"/>
    <w:rsid w:val="007B41D0"/>
    <w:rsid w:val="007B5850"/>
    <w:rsid w:val="007B69BA"/>
    <w:rsid w:val="007B75CE"/>
    <w:rsid w:val="007B7D15"/>
    <w:rsid w:val="007C0F16"/>
    <w:rsid w:val="007C20C2"/>
    <w:rsid w:val="007C2DE0"/>
    <w:rsid w:val="007C43DF"/>
    <w:rsid w:val="007D141E"/>
    <w:rsid w:val="007D2B96"/>
    <w:rsid w:val="007D47DC"/>
    <w:rsid w:val="007D5D64"/>
    <w:rsid w:val="007D6FA8"/>
    <w:rsid w:val="007D7CF1"/>
    <w:rsid w:val="007E0026"/>
    <w:rsid w:val="007E101B"/>
    <w:rsid w:val="007E19DC"/>
    <w:rsid w:val="007E5CBB"/>
    <w:rsid w:val="007E64B7"/>
    <w:rsid w:val="007F1B4A"/>
    <w:rsid w:val="007F3480"/>
    <w:rsid w:val="007F35A4"/>
    <w:rsid w:val="007F3BA0"/>
    <w:rsid w:val="007F3BC1"/>
    <w:rsid w:val="007F57CF"/>
    <w:rsid w:val="007F5C94"/>
    <w:rsid w:val="007F63DC"/>
    <w:rsid w:val="007F787A"/>
    <w:rsid w:val="007F7D4C"/>
    <w:rsid w:val="007F7FBC"/>
    <w:rsid w:val="008001C4"/>
    <w:rsid w:val="00801BE8"/>
    <w:rsid w:val="0080409B"/>
    <w:rsid w:val="00804645"/>
    <w:rsid w:val="00804894"/>
    <w:rsid w:val="00804CD0"/>
    <w:rsid w:val="0080673A"/>
    <w:rsid w:val="00806C9A"/>
    <w:rsid w:val="0080737E"/>
    <w:rsid w:val="008113D9"/>
    <w:rsid w:val="00812097"/>
    <w:rsid w:val="00813F8B"/>
    <w:rsid w:val="00820049"/>
    <w:rsid w:val="00820209"/>
    <w:rsid w:val="0082241F"/>
    <w:rsid w:val="00822875"/>
    <w:rsid w:val="008251E6"/>
    <w:rsid w:val="0082564E"/>
    <w:rsid w:val="00825D74"/>
    <w:rsid w:val="0082602F"/>
    <w:rsid w:val="00830147"/>
    <w:rsid w:val="0083107F"/>
    <w:rsid w:val="0083240F"/>
    <w:rsid w:val="008328C8"/>
    <w:rsid w:val="00833635"/>
    <w:rsid w:val="00834864"/>
    <w:rsid w:val="00834A5B"/>
    <w:rsid w:val="00836D5D"/>
    <w:rsid w:val="0084081F"/>
    <w:rsid w:val="00840FB7"/>
    <w:rsid w:val="008420D9"/>
    <w:rsid w:val="00842191"/>
    <w:rsid w:val="00842C69"/>
    <w:rsid w:val="00842DFE"/>
    <w:rsid w:val="008435D8"/>
    <w:rsid w:val="008444CE"/>
    <w:rsid w:val="00845133"/>
    <w:rsid w:val="0084514A"/>
    <w:rsid w:val="0084551F"/>
    <w:rsid w:val="0084607B"/>
    <w:rsid w:val="0084622E"/>
    <w:rsid w:val="00847D7B"/>
    <w:rsid w:val="008501A5"/>
    <w:rsid w:val="008502A3"/>
    <w:rsid w:val="0085063C"/>
    <w:rsid w:val="00850B77"/>
    <w:rsid w:val="0085179A"/>
    <w:rsid w:val="00852451"/>
    <w:rsid w:val="0085301F"/>
    <w:rsid w:val="00853358"/>
    <w:rsid w:val="008537D5"/>
    <w:rsid w:val="008538E3"/>
    <w:rsid w:val="00853984"/>
    <w:rsid w:val="0085423A"/>
    <w:rsid w:val="0085620F"/>
    <w:rsid w:val="00856C9B"/>
    <w:rsid w:val="00857423"/>
    <w:rsid w:val="00860CE4"/>
    <w:rsid w:val="00860F69"/>
    <w:rsid w:val="00862E90"/>
    <w:rsid w:val="0086385B"/>
    <w:rsid w:val="00865018"/>
    <w:rsid w:val="00865E70"/>
    <w:rsid w:val="0086755E"/>
    <w:rsid w:val="008729CF"/>
    <w:rsid w:val="0087406E"/>
    <w:rsid w:val="00875BF3"/>
    <w:rsid w:val="0087607B"/>
    <w:rsid w:val="00881E43"/>
    <w:rsid w:val="00882254"/>
    <w:rsid w:val="0088249A"/>
    <w:rsid w:val="008832D9"/>
    <w:rsid w:val="00884838"/>
    <w:rsid w:val="00887E0E"/>
    <w:rsid w:val="0089023E"/>
    <w:rsid w:val="0089096A"/>
    <w:rsid w:val="00891D77"/>
    <w:rsid w:val="00892269"/>
    <w:rsid w:val="0089238C"/>
    <w:rsid w:val="00892FBE"/>
    <w:rsid w:val="00894CF7"/>
    <w:rsid w:val="008951D7"/>
    <w:rsid w:val="00895992"/>
    <w:rsid w:val="00896B13"/>
    <w:rsid w:val="008978C4"/>
    <w:rsid w:val="008A1FC6"/>
    <w:rsid w:val="008A2DEF"/>
    <w:rsid w:val="008A3786"/>
    <w:rsid w:val="008A4123"/>
    <w:rsid w:val="008A445C"/>
    <w:rsid w:val="008A4C1C"/>
    <w:rsid w:val="008A64A9"/>
    <w:rsid w:val="008A64F6"/>
    <w:rsid w:val="008A6589"/>
    <w:rsid w:val="008A7806"/>
    <w:rsid w:val="008B01DF"/>
    <w:rsid w:val="008B0407"/>
    <w:rsid w:val="008B0B56"/>
    <w:rsid w:val="008B0D72"/>
    <w:rsid w:val="008B0F64"/>
    <w:rsid w:val="008B0FA5"/>
    <w:rsid w:val="008B19FA"/>
    <w:rsid w:val="008B23EB"/>
    <w:rsid w:val="008B35D8"/>
    <w:rsid w:val="008B415F"/>
    <w:rsid w:val="008B45F9"/>
    <w:rsid w:val="008B57B3"/>
    <w:rsid w:val="008B6DE2"/>
    <w:rsid w:val="008B76C1"/>
    <w:rsid w:val="008C0450"/>
    <w:rsid w:val="008C09DF"/>
    <w:rsid w:val="008C0A92"/>
    <w:rsid w:val="008C0FFB"/>
    <w:rsid w:val="008C21B6"/>
    <w:rsid w:val="008C33F7"/>
    <w:rsid w:val="008C4B5F"/>
    <w:rsid w:val="008D1E85"/>
    <w:rsid w:val="008D3100"/>
    <w:rsid w:val="008D38EA"/>
    <w:rsid w:val="008D3F1D"/>
    <w:rsid w:val="008D4971"/>
    <w:rsid w:val="008D4BE0"/>
    <w:rsid w:val="008D5AB0"/>
    <w:rsid w:val="008D7BF5"/>
    <w:rsid w:val="008E002D"/>
    <w:rsid w:val="008E0B90"/>
    <w:rsid w:val="008E0F5C"/>
    <w:rsid w:val="008E312C"/>
    <w:rsid w:val="008E3855"/>
    <w:rsid w:val="008E3C38"/>
    <w:rsid w:val="008E3ED0"/>
    <w:rsid w:val="008E4221"/>
    <w:rsid w:val="008E4849"/>
    <w:rsid w:val="008E511D"/>
    <w:rsid w:val="008E6128"/>
    <w:rsid w:val="008E7C2D"/>
    <w:rsid w:val="008F03EF"/>
    <w:rsid w:val="008F096E"/>
    <w:rsid w:val="008F114C"/>
    <w:rsid w:val="008F1386"/>
    <w:rsid w:val="008F1BF0"/>
    <w:rsid w:val="008F24EB"/>
    <w:rsid w:val="008F2E76"/>
    <w:rsid w:val="008F2F0C"/>
    <w:rsid w:val="008F3B22"/>
    <w:rsid w:val="008F5A6C"/>
    <w:rsid w:val="008F678C"/>
    <w:rsid w:val="008F79AC"/>
    <w:rsid w:val="0090290B"/>
    <w:rsid w:val="00902CD4"/>
    <w:rsid w:val="0090305B"/>
    <w:rsid w:val="00903426"/>
    <w:rsid w:val="0090540B"/>
    <w:rsid w:val="00905A5D"/>
    <w:rsid w:val="0090664A"/>
    <w:rsid w:val="00906BB1"/>
    <w:rsid w:val="00906C25"/>
    <w:rsid w:val="0090714F"/>
    <w:rsid w:val="0091016C"/>
    <w:rsid w:val="0091060C"/>
    <w:rsid w:val="009111F8"/>
    <w:rsid w:val="009124CF"/>
    <w:rsid w:val="00912B9F"/>
    <w:rsid w:val="0091309C"/>
    <w:rsid w:val="00913558"/>
    <w:rsid w:val="0091366F"/>
    <w:rsid w:val="009137AD"/>
    <w:rsid w:val="00913A32"/>
    <w:rsid w:val="009143F2"/>
    <w:rsid w:val="009148EB"/>
    <w:rsid w:val="00914AEC"/>
    <w:rsid w:val="00914E05"/>
    <w:rsid w:val="00916414"/>
    <w:rsid w:val="00917001"/>
    <w:rsid w:val="00920233"/>
    <w:rsid w:val="00920BF6"/>
    <w:rsid w:val="00921C1E"/>
    <w:rsid w:val="00922373"/>
    <w:rsid w:val="00922927"/>
    <w:rsid w:val="00922D22"/>
    <w:rsid w:val="0092480C"/>
    <w:rsid w:val="00924A8F"/>
    <w:rsid w:val="009251EC"/>
    <w:rsid w:val="009267F6"/>
    <w:rsid w:val="00926E26"/>
    <w:rsid w:val="00927914"/>
    <w:rsid w:val="00931199"/>
    <w:rsid w:val="00931538"/>
    <w:rsid w:val="009325D1"/>
    <w:rsid w:val="00933715"/>
    <w:rsid w:val="009338CF"/>
    <w:rsid w:val="009344C6"/>
    <w:rsid w:val="009344DB"/>
    <w:rsid w:val="00934796"/>
    <w:rsid w:val="009347F8"/>
    <w:rsid w:val="0093499B"/>
    <w:rsid w:val="009364E3"/>
    <w:rsid w:val="00940780"/>
    <w:rsid w:val="00943150"/>
    <w:rsid w:val="00944D6D"/>
    <w:rsid w:val="00947141"/>
    <w:rsid w:val="00951883"/>
    <w:rsid w:val="00952F75"/>
    <w:rsid w:val="00953ECE"/>
    <w:rsid w:val="00955DD2"/>
    <w:rsid w:val="0095721C"/>
    <w:rsid w:val="00957E0D"/>
    <w:rsid w:val="009620B7"/>
    <w:rsid w:val="00964C3F"/>
    <w:rsid w:val="00966534"/>
    <w:rsid w:val="00966777"/>
    <w:rsid w:val="00966D49"/>
    <w:rsid w:val="00966F95"/>
    <w:rsid w:val="0097038F"/>
    <w:rsid w:val="0097044D"/>
    <w:rsid w:val="00970E69"/>
    <w:rsid w:val="0097112C"/>
    <w:rsid w:val="00973698"/>
    <w:rsid w:val="00973ADC"/>
    <w:rsid w:val="00974E71"/>
    <w:rsid w:val="00975F54"/>
    <w:rsid w:val="00977AD5"/>
    <w:rsid w:val="00977C11"/>
    <w:rsid w:val="00981DCF"/>
    <w:rsid w:val="00983259"/>
    <w:rsid w:val="00983A7D"/>
    <w:rsid w:val="00985784"/>
    <w:rsid w:val="009863EB"/>
    <w:rsid w:val="00986735"/>
    <w:rsid w:val="00986FED"/>
    <w:rsid w:val="00990688"/>
    <w:rsid w:val="0099201B"/>
    <w:rsid w:val="009923DD"/>
    <w:rsid w:val="00993B54"/>
    <w:rsid w:val="00993C64"/>
    <w:rsid w:val="00993FF2"/>
    <w:rsid w:val="00996BC4"/>
    <w:rsid w:val="009A064A"/>
    <w:rsid w:val="009A57A9"/>
    <w:rsid w:val="009A59E7"/>
    <w:rsid w:val="009B0B29"/>
    <w:rsid w:val="009B102E"/>
    <w:rsid w:val="009B31AA"/>
    <w:rsid w:val="009B5840"/>
    <w:rsid w:val="009B5AA8"/>
    <w:rsid w:val="009B6A8A"/>
    <w:rsid w:val="009C00DE"/>
    <w:rsid w:val="009C0E10"/>
    <w:rsid w:val="009C1D33"/>
    <w:rsid w:val="009C2D14"/>
    <w:rsid w:val="009C36EF"/>
    <w:rsid w:val="009C5CC0"/>
    <w:rsid w:val="009C7022"/>
    <w:rsid w:val="009D043C"/>
    <w:rsid w:val="009D07B2"/>
    <w:rsid w:val="009D6C02"/>
    <w:rsid w:val="009D6DA1"/>
    <w:rsid w:val="009E19F0"/>
    <w:rsid w:val="009E1F68"/>
    <w:rsid w:val="009E353C"/>
    <w:rsid w:val="009E3B78"/>
    <w:rsid w:val="009E471D"/>
    <w:rsid w:val="009E5BB9"/>
    <w:rsid w:val="009E6F18"/>
    <w:rsid w:val="009E7C96"/>
    <w:rsid w:val="009F05F2"/>
    <w:rsid w:val="009F0748"/>
    <w:rsid w:val="009F16E8"/>
    <w:rsid w:val="009F2894"/>
    <w:rsid w:val="009F3BFD"/>
    <w:rsid w:val="009F4DBB"/>
    <w:rsid w:val="009F61CF"/>
    <w:rsid w:val="009F648B"/>
    <w:rsid w:val="009F7D05"/>
    <w:rsid w:val="00A0034E"/>
    <w:rsid w:val="00A00D99"/>
    <w:rsid w:val="00A01400"/>
    <w:rsid w:val="00A03B80"/>
    <w:rsid w:val="00A0405B"/>
    <w:rsid w:val="00A04581"/>
    <w:rsid w:val="00A050E7"/>
    <w:rsid w:val="00A05131"/>
    <w:rsid w:val="00A07359"/>
    <w:rsid w:val="00A07967"/>
    <w:rsid w:val="00A10DFE"/>
    <w:rsid w:val="00A1101C"/>
    <w:rsid w:val="00A111EE"/>
    <w:rsid w:val="00A12BAB"/>
    <w:rsid w:val="00A13CE2"/>
    <w:rsid w:val="00A14793"/>
    <w:rsid w:val="00A14E9F"/>
    <w:rsid w:val="00A15410"/>
    <w:rsid w:val="00A164C7"/>
    <w:rsid w:val="00A170C3"/>
    <w:rsid w:val="00A20B3A"/>
    <w:rsid w:val="00A2185D"/>
    <w:rsid w:val="00A21CD5"/>
    <w:rsid w:val="00A22204"/>
    <w:rsid w:val="00A2280F"/>
    <w:rsid w:val="00A22DFA"/>
    <w:rsid w:val="00A2364D"/>
    <w:rsid w:val="00A26D6E"/>
    <w:rsid w:val="00A270A9"/>
    <w:rsid w:val="00A27134"/>
    <w:rsid w:val="00A3066F"/>
    <w:rsid w:val="00A30A93"/>
    <w:rsid w:val="00A3156B"/>
    <w:rsid w:val="00A3161F"/>
    <w:rsid w:val="00A31839"/>
    <w:rsid w:val="00A318E6"/>
    <w:rsid w:val="00A321F0"/>
    <w:rsid w:val="00A32A4F"/>
    <w:rsid w:val="00A3328B"/>
    <w:rsid w:val="00A33754"/>
    <w:rsid w:val="00A35A61"/>
    <w:rsid w:val="00A363A7"/>
    <w:rsid w:val="00A37C08"/>
    <w:rsid w:val="00A40698"/>
    <w:rsid w:val="00A44681"/>
    <w:rsid w:val="00A4546D"/>
    <w:rsid w:val="00A46AF5"/>
    <w:rsid w:val="00A46D14"/>
    <w:rsid w:val="00A509AC"/>
    <w:rsid w:val="00A51163"/>
    <w:rsid w:val="00A523AD"/>
    <w:rsid w:val="00A52CCF"/>
    <w:rsid w:val="00A55E5E"/>
    <w:rsid w:val="00A569A3"/>
    <w:rsid w:val="00A56DBF"/>
    <w:rsid w:val="00A57830"/>
    <w:rsid w:val="00A605A0"/>
    <w:rsid w:val="00A6060C"/>
    <w:rsid w:val="00A61632"/>
    <w:rsid w:val="00A622E2"/>
    <w:rsid w:val="00A65A55"/>
    <w:rsid w:val="00A65C73"/>
    <w:rsid w:val="00A6606D"/>
    <w:rsid w:val="00A664CA"/>
    <w:rsid w:val="00A666C4"/>
    <w:rsid w:val="00A67B9B"/>
    <w:rsid w:val="00A70142"/>
    <w:rsid w:val="00A70665"/>
    <w:rsid w:val="00A72FC8"/>
    <w:rsid w:val="00A72FF5"/>
    <w:rsid w:val="00A7405D"/>
    <w:rsid w:val="00A76D04"/>
    <w:rsid w:val="00A77F02"/>
    <w:rsid w:val="00A81024"/>
    <w:rsid w:val="00A8104D"/>
    <w:rsid w:val="00A813DC"/>
    <w:rsid w:val="00A817F5"/>
    <w:rsid w:val="00A83D66"/>
    <w:rsid w:val="00A844F7"/>
    <w:rsid w:val="00A845B7"/>
    <w:rsid w:val="00A84D67"/>
    <w:rsid w:val="00A85298"/>
    <w:rsid w:val="00A86B39"/>
    <w:rsid w:val="00A875F4"/>
    <w:rsid w:val="00A87962"/>
    <w:rsid w:val="00A87EB3"/>
    <w:rsid w:val="00A90052"/>
    <w:rsid w:val="00A932FB"/>
    <w:rsid w:val="00A935DB"/>
    <w:rsid w:val="00A94910"/>
    <w:rsid w:val="00A95C8B"/>
    <w:rsid w:val="00A977E0"/>
    <w:rsid w:val="00AA1240"/>
    <w:rsid w:val="00AA2847"/>
    <w:rsid w:val="00AA2CD5"/>
    <w:rsid w:val="00AA3E37"/>
    <w:rsid w:val="00AA652A"/>
    <w:rsid w:val="00AA6678"/>
    <w:rsid w:val="00AA6905"/>
    <w:rsid w:val="00AA6FCD"/>
    <w:rsid w:val="00AA7A05"/>
    <w:rsid w:val="00AB182F"/>
    <w:rsid w:val="00AB226D"/>
    <w:rsid w:val="00AB331E"/>
    <w:rsid w:val="00AB382D"/>
    <w:rsid w:val="00AB43A1"/>
    <w:rsid w:val="00AB7E23"/>
    <w:rsid w:val="00AC0738"/>
    <w:rsid w:val="00AC0CE8"/>
    <w:rsid w:val="00AC25AF"/>
    <w:rsid w:val="00AC28B1"/>
    <w:rsid w:val="00AC290D"/>
    <w:rsid w:val="00AC2A76"/>
    <w:rsid w:val="00AC31B6"/>
    <w:rsid w:val="00AC4E84"/>
    <w:rsid w:val="00AC5E36"/>
    <w:rsid w:val="00AC5F1C"/>
    <w:rsid w:val="00AC7348"/>
    <w:rsid w:val="00AD158F"/>
    <w:rsid w:val="00AD1756"/>
    <w:rsid w:val="00AD2471"/>
    <w:rsid w:val="00AD367C"/>
    <w:rsid w:val="00AD3ECE"/>
    <w:rsid w:val="00AD4792"/>
    <w:rsid w:val="00AD6378"/>
    <w:rsid w:val="00AD7E8B"/>
    <w:rsid w:val="00AE00A1"/>
    <w:rsid w:val="00AE16BE"/>
    <w:rsid w:val="00AE1A97"/>
    <w:rsid w:val="00AE1DB2"/>
    <w:rsid w:val="00AE2985"/>
    <w:rsid w:val="00AE3334"/>
    <w:rsid w:val="00AE4CA1"/>
    <w:rsid w:val="00AE5718"/>
    <w:rsid w:val="00AE5DC2"/>
    <w:rsid w:val="00AE6703"/>
    <w:rsid w:val="00AE674C"/>
    <w:rsid w:val="00AE7176"/>
    <w:rsid w:val="00AF092F"/>
    <w:rsid w:val="00AF119B"/>
    <w:rsid w:val="00AF3259"/>
    <w:rsid w:val="00AF34AA"/>
    <w:rsid w:val="00AF37F8"/>
    <w:rsid w:val="00AF3DC1"/>
    <w:rsid w:val="00AF481F"/>
    <w:rsid w:val="00AF5B5B"/>
    <w:rsid w:val="00AF5CCA"/>
    <w:rsid w:val="00B00E1D"/>
    <w:rsid w:val="00B01A41"/>
    <w:rsid w:val="00B030D7"/>
    <w:rsid w:val="00B032AF"/>
    <w:rsid w:val="00B0357A"/>
    <w:rsid w:val="00B046D3"/>
    <w:rsid w:val="00B047A0"/>
    <w:rsid w:val="00B06770"/>
    <w:rsid w:val="00B12D54"/>
    <w:rsid w:val="00B13DD6"/>
    <w:rsid w:val="00B163FD"/>
    <w:rsid w:val="00B169E9"/>
    <w:rsid w:val="00B16BB7"/>
    <w:rsid w:val="00B17262"/>
    <w:rsid w:val="00B17FEC"/>
    <w:rsid w:val="00B20515"/>
    <w:rsid w:val="00B234D0"/>
    <w:rsid w:val="00B2373C"/>
    <w:rsid w:val="00B23A1C"/>
    <w:rsid w:val="00B25A73"/>
    <w:rsid w:val="00B25A9D"/>
    <w:rsid w:val="00B26F4D"/>
    <w:rsid w:val="00B31DE2"/>
    <w:rsid w:val="00B32BF1"/>
    <w:rsid w:val="00B3313B"/>
    <w:rsid w:val="00B3470D"/>
    <w:rsid w:val="00B35D7E"/>
    <w:rsid w:val="00B35FCE"/>
    <w:rsid w:val="00B36DEA"/>
    <w:rsid w:val="00B36EBD"/>
    <w:rsid w:val="00B37749"/>
    <w:rsid w:val="00B37DE0"/>
    <w:rsid w:val="00B41B34"/>
    <w:rsid w:val="00B421B4"/>
    <w:rsid w:val="00B4505D"/>
    <w:rsid w:val="00B45120"/>
    <w:rsid w:val="00B45477"/>
    <w:rsid w:val="00B46A2C"/>
    <w:rsid w:val="00B470E6"/>
    <w:rsid w:val="00B47863"/>
    <w:rsid w:val="00B47F28"/>
    <w:rsid w:val="00B50008"/>
    <w:rsid w:val="00B5146B"/>
    <w:rsid w:val="00B519F8"/>
    <w:rsid w:val="00B51B00"/>
    <w:rsid w:val="00B535EB"/>
    <w:rsid w:val="00B54C3A"/>
    <w:rsid w:val="00B55C36"/>
    <w:rsid w:val="00B566AB"/>
    <w:rsid w:val="00B566C3"/>
    <w:rsid w:val="00B56ED0"/>
    <w:rsid w:val="00B56FCB"/>
    <w:rsid w:val="00B575EE"/>
    <w:rsid w:val="00B57675"/>
    <w:rsid w:val="00B57BC1"/>
    <w:rsid w:val="00B57E04"/>
    <w:rsid w:val="00B61CC2"/>
    <w:rsid w:val="00B62167"/>
    <w:rsid w:val="00B65503"/>
    <w:rsid w:val="00B6696C"/>
    <w:rsid w:val="00B669D9"/>
    <w:rsid w:val="00B67B02"/>
    <w:rsid w:val="00B67D7F"/>
    <w:rsid w:val="00B67DD9"/>
    <w:rsid w:val="00B713FE"/>
    <w:rsid w:val="00B716AA"/>
    <w:rsid w:val="00B7322C"/>
    <w:rsid w:val="00B73599"/>
    <w:rsid w:val="00B73961"/>
    <w:rsid w:val="00B7594D"/>
    <w:rsid w:val="00B75A0B"/>
    <w:rsid w:val="00B75A3A"/>
    <w:rsid w:val="00B75FC4"/>
    <w:rsid w:val="00B77B94"/>
    <w:rsid w:val="00B77EB0"/>
    <w:rsid w:val="00B8255A"/>
    <w:rsid w:val="00B8362B"/>
    <w:rsid w:val="00B84330"/>
    <w:rsid w:val="00B913D1"/>
    <w:rsid w:val="00B92C52"/>
    <w:rsid w:val="00B92F3D"/>
    <w:rsid w:val="00B9494B"/>
    <w:rsid w:val="00B95C8F"/>
    <w:rsid w:val="00B96B14"/>
    <w:rsid w:val="00B96DB0"/>
    <w:rsid w:val="00B972E2"/>
    <w:rsid w:val="00B97CC6"/>
    <w:rsid w:val="00BA00A9"/>
    <w:rsid w:val="00BA0B79"/>
    <w:rsid w:val="00BA0BDA"/>
    <w:rsid w:val="00BA1076"/>
    <w:rsid w:val="00BA1B24"/>
    <w:rsid w:val="00BA46AA"/>
    <w:rsid w:val="00BA4A6A"/>
    <w:rsid w:val="00BA6125"/>
    <w:rsid w:val="00BA6657"/>
    <w:rsid w:val="00BA6738"/>
    <w:rsid w:val="00BA6E4E"/>
    <w:rsid w:val="00BA7744"/>
    <w:rsid w:val="00BB08DB"/>
    <w:rsid w:val="00BB2D4F"/>
    <w:rsid w:val="00BB39AE"/>
    <w:rsid w:val="00BB3B5D"/>
    <w:rsid w:val="00BB3D91"/>
    <w:rsid w:val="00BB4101"/>
    <w:rsid w:val="00BB55E5"/>
    <w:rsid w:val="00BB61DC"/>
    <w:rsid w:val="00BB659F"/>
    <w:rsid w:val="00BB6CC9"/>
    <w:rsid w:val="00BB74C6"/>
    <w:rsid w:val="00BB789F"/>
    <w:rsid w:val="00BB7C58"/>
    <w:rsid w:val="00BC014D"/>
    <w:rsid w:val="00BC0ED2"/>
    <w:rsid w:val="00BC230C"/>
    <w:rsid w:val="00BC2E8A"/>
    <w:rsid w:val="00BC322F"/>
    <w:rsid w:val="00BC3618"/>
    <w:rsid w:val="00BC3622"/>
    <w:rsid w:val="00BC4F5A"/>
    <w:rsid w:val="00BC7E37"/>
    <w:rsid w:val="00BD0522"/>
    <w:rsid w:val="00BD0E8F"/>
    <w:rsid w:val="00BD37BE"/>
    <w:rsid w:val="00BD46CB"/>
    <w:rsid w:val="00BD54B8"/>
    <w:rsid w:val="00BD6F4E"/>
    <w:rsid w:val="00BD7A3D"/>
    <w:rsid w:val="00BE0185"/>
    <w:rsid w:val="00BE1E6A"/>
    <w:rsid w:val="00BE1F1C"/>
    <w:rsid w:val="00BE5C2C"/>
    <w:rsid w:val="00BE6922"/>
    <w:rsid w:val="00BF15D1"/>
    <w:rsid w:val="00BF19D1"/>
    <w:rsid w:val="00BF3145"/>
    <w:rsid w:val="00BF7632"/>
    <w:rsid w:val="00BF7972"/>
    <w:rsid w:val="00BF7BA7"/>
    <w:rsid w:val="00C00628"/>
    <w:rsid w:val="00C030E9"/>
    <w:rsid w:val="00C03A93"/>
    <w:rsid w:val="00C03FFF"/>
    <w:rsid w:val="00C042CD"/>
    <w:rsid w:val="00C0467D"/>
    <w:rsid w:val="00C05114"/>
    <w:rsid w:val="00C07B2D"/>
    <w:rsid w:val="00C13749"/>
    <w:rsid w:val="00C138F3"/>
    <w:rsid w:val="00C145D7"/>
    <w:rsid w:val="00C14924"/>
    <w:rsid w:val="00C156FA"/>
    <w:rsid w:val="00C15BB1"/>
    <w:rsid w:val="00C173BC"/>
    <w:rsid w:val="00C20005"/>
    <w:rsid w:val="00C20056"/>
    <w:rsid w:val="00C21536"/>
    <w:rsid w:val="00C2187B"/>
    <w:rsid w:val="00C2212C"/>
    <w:rsid w:val="00C22F8B"/>
    <w:rsid w:val="00C230A3"/>
    <w:rsid w:val="00C231D0"/>
    <w:rsid w:val="00C2363F"/>
    <w:rsid w:val="00C2429A"/>
    <w:rsid w:val="00C248F0"/>
    <w:rsid w:val="00C249AB"/>
    <w:rsid w:val="00C25477"/>
    <w:rsid w:val="00C267C0"/>
    <w:rsid w:val="00C26950"/>
    <w:rsid w:val="00C30889"/>
    <w:rsid w:val="00C30925"/>
    <w:rsid w:val="00C3107C"/>
    <w:rsid w:val="00C31A4B"/>
    <w:rsid w:val="00C33322"/>
    <w:rsid w:val="00C33576"/>
    <w:rsid w:val="00C36095"/>
    <w:rsid w:val="00C361EB"/>
    <w:rsid w:val="00C36A34"/>
    <w:rsid w:val="00C371FF"/>
    <w:rsid w:val="00C372C8"/>
    <w:rsid w:val="00C374BD"/>
    <w:rsid w:val="00C379A4"/>
    <w:rsid w:val="00C4024D"/>
    <w:rsid w:val="00C40464"/>
    <w:rsid w:val="00C414D0"/>
    <w:rsid w:val="00C44757"/>
    <w:rsid w:val="00C44956"/>
    <w:rsid w:val="00C46270"/>
    <w:rsid w:val="00C46AD6"/>
    <w:rsid w:val="00C4782F"/>
    <w:rsid w:val="00C50B9D"/>
    <w:rsid w:val="00C536AE"/>
    <w:rsid w:val="00C54229"/>
    <w:rsid w:val="00C546B5"/>
    <w:rsid w:val="00C552EE"/>
    <w:rsid w:val="00C55EA4"/>
    <w:rsid w:val="00C5621B"/>
    <w:rsid w:val="00C56F83"/>
    <w:rsid w:val="00C6134F"/>
    <w:rsid w:val="00C616A5"/>
    <w:rsid w:val="00C61DB1"/>
    <w:rsid w:val="00C62CE8"/>
    <w:rsid w:val="00C62E78"/>
    <w:rsid w:val="00C675DB"/>
    <w:rsid w:val="00C702AA"/>
    <w:rsid w:val="00C709B1"/>
    <w:rsid w:val="00C743C7"/>
    <w:rsid w:val="00C758CE"/>
    <w:rsid w:val="00C75DA3"/>
    <w:rsid w:val="00C7762C"/>
    <w:rsid w:val="00C779E0"/>
    <w:rsid w:val="00C77B52"/>
    <w:rsid w:val="00C805D5"/>
    <w:rsid w:val="00C8198A"/>
    <w:rsid w:val="00C819C4"/>
    <w:rsid w:val="00C82C80"/>
    <w:rsid w:val="00C83533"/>
    <w:rsid w:val="00C84255"/>
    <w:rsid w:val="00C84CCC"/>
    <w:rsid w:val="00C86272"/>
    <w:rsid w:val="00C8661F"/>
    <w:rsid w:val="00C871D6"/>
    <w:rsid w:val="00C87350"/>
    <w:rsid w:val="00C9044B"/>
    <w:rsid w:val="00C91CBE"/>
    <w:rsid w:val="00C93924"/>
    <w:rsid w:val="00C93C91"/>
    <w:rsid w:val="00C93DFB"/>
    <w:rsid w:val="00C95890"/>
    <w:rsid w:val="00CA252E"/>
    <w:rsid w:val="00CA2567"/>
    <w:rsid w:val="00CA2B4B"/>
    <w:rsid w:val="00CA32D7"/>
    <w:rsid w:val="00CA339A"/>
    <w:rsid w:val="00CA6563"/>
    <w:rsid w:val="00CA6731"/>
    <w:rsid w:val="00CB0042"/>
    <w:rsid w:val="00CB744B"/>
    <w:rsid w:val="00CB7FB7"/>
    <w:rsid w:val="00CC02EA"/>
    <w:rsid w:val="00CC0334"/>
    <w:rsid w:val="00CC034E"/>
    <w:rsid w:val="00CC1048"/>
    <w:rsid w:val="00CC26A0"/>
    <w:rsid w:val="00CC3278"/>
    <w:rsid w:val="00CC5193"/>
    <w:rsid w:val="00CC68F0"/>
    <w:rsid w:val="00CD591A"/>
    <w:rsid w:val="00CD5C3B"/>
    <w:rsid w:val="00CD620A"/>
    <w:rsid w:val="00CD6A1C"/>
    <w:rsid w:val="00CE1595"/>
    <w:rsid w:val="00CE207C"/>
    <w:rsid w:val="00CE2612"/>
    <w:rsid w:val="00CE3223"/>
    <w:rsid w:val="00CE3A64"/>
    <w:rsid w:val="00CE413B"/>
    <w:rsid w:val="00CE4D2C"/>
    <w:rsid w:val="00CE5960"/>
    <w:rsid w:val="00CE6CEA"/>
    <w:rsid w:val="00CE7326"/>
    <w:rsid w:val="00CF037D"/>
    <w:rsid w:val="00CF09DE"/>
    <w:rsid w:val="00CF16E0"/>
    <w:rsid w:val="00CF1FBD"/>
    <w:rsid w:val="00CF2897"/>
    <w:rsid w:val="00CF5A76"/>
    <w:rsid w:val="00CF5A80"/>
    <w:rsid w:val="00CF6BB5"/>
    <w:rsid w:val="00CF6DA7"/>
    <w:rsid w:val="00CF761B"/>
    <w:rsid w:val="00D00026"/>
    <w:rsid w:val="00D002CF"/>
    <w:rsid w:val="00D026CA"/>
    <w:rsid w:val="00D02ED0"/>
    <w:rsid w:val="00D10747"/>
    <w:rsid w:val="00D10F08"/>
    <w:rsid w:val="00D1164B"/>
    <w:rsid w:val="00D129F2"/>
    <w:rsid w:val="00D15113"/>
    <w:rsid w:val="00D15595"/>
    <w:rsid w:val="00D1577F"/>
    <w:rsid w:val="00D171B3"/>
    <w:rsid w:val="00D17CEC"/>
    <w:rsid w:val="00D2007D"/>
    <w:rsid w:val="00D22AD8"/>
    <w:rsid w:val="00D244A6"/>
    <w:rsid w:val="00D24A93"/>
    <w:rsid w:val="00D2528B"/>
    <w:rsid w:val="00D264EC"/>
    <w:rsid w:val="00D26F13"/>
    <w:rsid w:val="00D277FE"/>
    <w:rsid w:val="00D31CF9"/>
    <w:rsid w:val="00D32532"/>
    <w:rsid w:val="00D33EA3"/>
    <w:rsid w:val="00D34D59"/>
    <w:rsid w:val="00D35024"/>
    <w:rsid w:val="00D35282"/>
    <w:rsid w:val="00D35DC2"/>
    <w:rsid w:val="00D35E17"/>
    <w:rsid w:val="00D36417"/>
    <w:rsid w:val="00D36CB3"/>
    <w:rsid w:val="00D4213E"/>
    <w:rsid w:val="00D42DC2"/>
    <w:rsid w:val="00D43930"/>
    <w:rsid w:val="00D448EB"/>
    <w:rsid w:val="00D45837"/>
    <w:rsid w:val="00D46EF4"/>
    <w:rsid w:val="00D52232"/>
    <w:rsid w:val="00D5268F"/>
    <w:rsid w:val="00D5308A"/>
    <w:rsid w:val="00D532B7"/>
    <w:rsid w:val="00D53725"/>
    <w:rsid w:val="00D53975"/>
    <w:rsid w:val="00D5566B"/>
    <w:rsid w:val="00D55FF4"/>
    <w:rsid w:val="00D561F0"/>
    <w:rsid w:val="00D572A8"/>
    <w:rsid w:val="00D57621"/>
    <w:rsid w:val="00D61104"/>
    <w:rsid w:val="00D62F70"/>
    <w:rsid w:val="00D643CE"/>
    <w:rsid w:val="00D644A1"/>
    <w:rsid w:val="00D649DF"/>
    <w:rsid w:val="00D65DD6"/>
    <w:rsid w:val="00D661A0"/>
    <w:rsid w:val="00D67265"/>
    <w:rsid w:val="00D70046"/>
    <w:rsid w:val="00D7072B"/>
    <w:rsid w:val="00D70A4D"/>
    <w:rsid w:val="00D71DA1"/>
    <w:rsid w:val="00D72134"/>
    <w:rsid w:val="00D72290"/>
    <w:rsid w:val="00D72687"/>
    <w:rsid w:val="00D7315E"/>
    <w:rsid w:val="00D73537"/>
    <w:rsid w:val="00D73725"/>
    <w:rsid w:val="00D74BB5"/>
    <w:rsid w:val="00D752F4"/>
    <w:rsid w:val="00D758AC"/>
    <w:rsid w:val="00D75CD8"/>
    <w:rsid w:val="00D763DB"/>
    <w:rsid w:val="00D76946"/>
    <w:rsid w:val="00D76D36"/>
    <w:rsid w:val="00D804FB"/>
    <w:rsid w:val="00D8056C"/>
    <w:rsid w:val="00D805F3"/>
    <w:rsid w:val="00D808AB"/>
    <w:rsid w:val="00D80CD4"/>
    <w:rsid w:val="00D813A4"/>
    <w:rsid w:val="00D81898"/>
    <w:rsid w:val="00D838BC"/>
    <w:rsid w:val="00D854FD"/>
    <w:rsid w:val="00D85579"/>
    <w:rsid w:val="00D8784A"/>
    <w:rsid w:val="00D87ABB"/>
    <w:rsid w:val="00D87D0B"/>
    <w:rsid w:val="00D90644"/>
    <w:rsid w:val="00D90664"/>
    <w:rsid w:val="00D907BA"/>
    <w:rsid w:val="00D90F50"/>
    <w:rsid w:val="00D93C35"/>
    <w:rsid w:val="00D944D0"/>
    <w:rsid w:val="00D94A2D"/>
    <w:rsid w:val="00D95FDE"/>
    <w:rsid w:val="00D9661F"/>
    <w:rsid w:val="00D96DD3"/>
    <w:rsid w:val="00D974E1"/>
    <w:rsid w:val="00DA03E4"/>
    <w:rsid w:val="00DA0E9F"/>
    <w:rsid w:val="00DA0ED7"/>
    <w:rsid w:val="00DA0FD7"/>
    <w:rsid w:val="00DA1766"/>
    <w:rsid w:val="00DA4431"/>
    <w:rsid w:val="00DA4C7C"/>
    <w:rsid w:val="00DA579D"/>
    <w:rsid w:val="00DA5944"/>
    <w:rsid w:val="00DA6CC8"/>
    <w:rsid w:val="00DA7AA6"/>
    <w:rsid w:val="00DB0087"/>
    <w:rsid w:val="00DB0955"/>
    <w:rsid w:val="00DB0C89"/>
    <w:rsid w:val="00DB13AB"/>
    <w:rsid w:val="00DB1593"/>
    <w:rsid w:val="00DB16C8"/>
    <w:rsid w:val="00DB17C1"/>
    <w:rsid w:val="00DB2BF4"/>
    <w:rsid w:val="00DB3602"/>
    <w:rsid w:val="00DB3B4B"/>
    <w:rsid w:val="00DB4C88"/>
    <w:rsid w:val="00DB55E3"/>
    <w:rsid w:val="00DB56DB"/>
    <w:rsid w:val="00DC22C3"/>
    <w:rsid w:val="00DC2321"/>
    <w:rsid w:val="00DC2FFA"/>
    <w:rsid w:val="00DC3D56"/>
    <w:rsid w:val="00DC60E1"/>
    <w:rsid w:val="00DC66A8"/>
    <w:rsid w:val="00DC678C"/>
    <w:rsid w:val="00DD1368"/>
    <w:rsid w:val="00DD3629"/>
    <w:rsid w:val="00DD481E"/>
    <w:rsid w:val="00DD51B3"/>
    <w:rsid w:val="00DD63AF"/>
    <w:rsid w:val="00DD64FD"/>
    <w:rsid w:val="00DD724C"/>
    <w:rsid w:val="00DD7786"/>
    <w:rsid w:val="00DE1079"/>
    <w:rsid w:val="00DE161E"/>
    <w:rsid w:val="00DE1CF4"/>
    <w:rsid w:val="00DE2435"/>
    <w:rsid w:val="00DE3074"/>
    <w:rsid w:val="00DE5A13"/>
    <w:rsid w:val="00DE5D57"/>
    <w:rsid w:val="00DE5F12"/>
    <w:rsid w:val="00DE6A71"/>
    <w:rsid w:val="00DE6E11"/>
    <w:rsid w:val="00DF0072"/>
    <w:rsid w:val="00DF01DA"/>
    <w:rsid w:val="00DF15A5"/>
    <w:rsid w:val="00DF1ED2"/>
    <w:rsid w:val="00DF2F4E"/>
    <w:rsid w:val="00DF4005"/>
    <w:rsid w:val="00DF46C7"/>
    <w:rsid w:val="00DF495E"/>
    <w:rsid w:val="00DF646B"/>
    <w:rsid w:val="00DF6E1A"/>
    <w:rsid w:val="00DF749E"/>
    <w:rsid w:val="00DF7B9B"/>
    <w:rsid w:val="00E0063F"/>
    <w:rsid w:val="00E00884"/>
    <w:rsid w:val="00E026B6"/>
    <w:rsid w:val="00E032C8"/>
    <w:rsid w:val="00E035E4"/>
    <w:rsid w:val="00E03A9A"/>
    <w:rsid w:val="00E04683"/>
    <w:rsid w:val="00E04F74"/>
    <w:rsid w:val="00E053DD"/>
    <w:rsid w:val="00E06295"/>
    <w:rsid w:val="00E06AD3"/>
    <w:rsid w:val="00E06C1A"/>
    <w:rsid w:val="00E10168"/>
    <w:rsid w:val="00E10B27"/>
    <w:rsid w:val="00E11B7F"/>
    <w:rsid w:val="00E13367"/>
    <w:rsid w:val="00E13C21"/>
    <w:rsid w:val="00E13D83"/>
    <w:rsid w:val="00E1462C"/>
    <w:rsid w:val="00E14CD2"/>
    <w:rsid w:val="00E2191B"/>
    <w:rsid w:val="00E2220E"/>
    <w:rsid w:val="00E22A9B"/>
    <w:rsid w:val="00E23269"/>
    <w:rsid w:val="00E24E4B"/>
    <w:rsid w:val="00E25033"/>
    <w:rsid w:val="00E264A0"/>
    <w:rsid w:val="00E30C5A"/>
    <w:rsid w:val="00E30CDA"/>
    <w:rsid w:val="00E341F6"/>
    <w:rsid w:val="00E34503"/>
    <w:rsid w:val="00E34587"/>
    <w:rsid w:val="00E34E32"/>
    <w:rsid w:val="00E36838"/>
    <w:rsid w:val="00E36BB6"/>
    <w:rsid w:val="00E425C1"/>
    <w:rsid w:val="00E43014"/>
    <w:rsid w:val="00E44F9E"/>
    <w:rsid w:val="00E454F8"/>
    <w:rsid w:val="00E45601"/>
    <w:rsid w:val="00E45F24"/>
    <w:rsid w:val="00E46048"/>
    <w:rsid w:val="00E46E50"/>
    <w:rsid w:val="00E47F29"/>
    <w:rsid w:val="00E52F0F"/>
    <w:rsid w:val="00E54F19"/>
    <w:rsid w:val="00E55977"/>
    <w:rsid w:val="00E55B12"/>
    <w:rsid w:val="00E55CA5"/>
    <w:rsid w:val="00E5667D"/>
    <w:rsid w:val="00E571AB"/>
    <w:rsid w:val="00E576B8"/>
    <w:rsid w:val="00E57F42"/>
    <w:rsid w:val="00E608B3"/>
    <w:rsid w:val="00E62135"/>
    <w:rsid w:val="00E62853"/>
    <w:rsid w:val="00E62F3D"/>
    <w:rsid w:val="00E636B9"/>
    <w:rsid w:val="00E63CF1"/>
    <w:rsid w:val="00E64200"/>
    <w:rsid w:val="00E6473E"/>
    <w:rsid w:val="00E64FDD"/>
    <w:rsid w:val="00E660D6"/>
    <w:rsid w:val="00E663EF"/>
    <w:rsid w:val="00E66B12"/>
    <w:rsid w:val="00E7005B"/>
    <w:rsid w:val="00E719D5"/>
    <w:rsid w:val="00E71D5B"/>
    <w:rsid w:val="00E7212E"/>
    <w:rsid w:val="00E72C80"/>
    <w:rsid w:val="00E73284"/>
    <w:rsid w:val="00E75EA3"/>
    <w:rsid w:val="00E77680"/>
    <w:rsid w:val="00E77B98"/>
    <w:rsid w:val="00E77D7D"/>
    <w:rsid w:val="00E81CC3"/>
    <w:rsid w:val="00E83962"/>
    <w:rsid w:val="00E8420C"/>
    <w:rsid w:val="00E843A9"/>
    <w:rsid w:val="00E84E6F"/>
    <w:rsid w:val="00E856AC"/>
    <w:rsid w:val="00E86359"/>
    <w:rsid w:val="00E86B1E"/>
    <w:rsid w:val="00E90C69"/>
    <w:rsid w:val="00E90D8F"/>
    <w:rsid w:val="00E9131C"/>
    <w:rsid w:val="00E914CF"/>
    <w:rsid w:val="00E91977"/>
    <w:rsid w:val="00E92A4C"/>
    <w:rsid w:val="00E94BE4"/>
    <w:rsid w:val="00E960B0"/>
    <w:rsid w:val="00E96B8F"/>
    <w:rsid w:val="00E977F1"/>
    <w:rsid w:val="00EA2AF1"/>
    <w:rsid w:val="00EA3932"/>
    <w:rsid w:val="00EA4459"/>
    <w:rsid w:val="00EA4AC3"/>
    <w:rsid w:val="00EA5250"/>
    <w:rsid w:val="00EA5CCF"/>
    <w:rsid w:val="00EA7EC9"/>
    <w:rsid w:val="00EB046C"/>
    <w:rsid w:val="00EB13D2"/>
    <w:rsid w:val="00EB1FD1"/>
    <w:rsid w:val="00EB21DD"/>
    <w:rsid w:val="00EB3122"/>
    <w:rsid w:val="00EB3B21"/>
    <w:rsid w:val="00EB3BBD"/>
    <w:rsid w:val="00EB4017"/>
    <w:rsid w:val="00EB4836"/>
    <w:rsid w:val="00EB59D2"/>
    <w:rsid w:val="00EB6019"/>
    <w:rsid w:val="00EB60A3"/>
    <w:rsid w:val="00EB6821"/>
    <w:rsid w:val="00EB72A9"/>
    <w:rsid w:val="00EC0C11"/>
    <w:rsid w:val="00EC25A7"/>
    <w:rsid w:val="00EC3271"/>
    <w:rsid w:val="00EC64F4"/>
    <w:rsid w:val="00EC7A41"/>
    <w:rsid w:val="00ED0A56"/>
    <w:rsid w:val="00ED1BAC"/>
    <w:rsid w:val="00ED1F49"/>
    <w:rsid w:val="00ED2400"/>
    <w:rsid w:val="00ED26D4"/>
    <w:rsid w:val="00ED2BCA"/>
    <w:rsid w:val="00ED3CA7"/>
    <w:rsid w:val="00ED4221"/>
    <w:rsid w:val="00ED5FAB"/>
    <w:rsid w:val="00ED6C3F"/>
    <w:rsid w:val="00EE063F"/>
    <w:rsid w:val="00EE0679"/>
    <w:rsid w:val="00EE3523"/>
    <w:rsid w:val="00EE4265"/>
    <w:rsid w:val="00EE43E3"/>
    <w:rsid w:val="00EE4FAB"/>
    <w:rsid w:val="00EE6205"/>
    <w:rsid w:val="00EE7AA5"/>
    <w:rsid w:val="00EF1824"/>
    <w:rsid w:val="00EF1C66"/>
    <w:rsid w:val="00EF20AA"/>
    <w:rsid w:val="00EF2F48"/>
    <w:rsid w:val="00EF40E6"/>
    <w:rsid w:val="00EF56B3"/>
    <w:rsid w:val="00EF58D6"/>
    <w:rsid w:val="00EF7390"/>
    <w:rsid w:val="00F008FF"/>
    <w:rsid w:val="00F00BCD"/>
    <w:rsid w:val="00F039E4"/>
    <w:rsid w:val="00F052D0"/>
    <w:rsid w:val="00F0562C"/>
    <w:rsid w:val="00F06032"/>
    <w:rsid w:val="00F06BC1"/>
    <w:rsid w:val="00F073E4"/>
    <w:rsid w:val="00F07AB6"/>
    <w:rsid w:val="00F11DE5"/>
    <w:rsid w:val="00F12038"/>
    <w:rsid w:val="00F128F4"/>
    <w:rsid w:val="00F12C4F"/>
    <w:rsid w:val="00F13978"/>
    <w:rsid w:val="00F150EA"/>
    <w:rsid w:val="00F17280"/>
    <w:rsid w:val="00F17CEB"/>
    <w:rsid w:val="00F2058B"/>
    <w:rsid w:val="00F2081C"/>
    <w:rsid w:val="00F20AA8"/>
    <w:rsid w:val="00F21849"/>
    <w:rsid w:val="00F219DE"/>
    <w:rsid w:val="00F23F84"/>
    <w:rsid w:val="00F2448E"/>
    <w:rsid w:val="00F26A6D"/>
    <w:rsid w:val="00F26DDC"/>
    <w:rsid w:val="00F26E9D"/>
    <w:rsid w:val="00F26ED1"/>
    <w:rsid w:val="00F277F7"/>
    <w:rsid w:val="00F27F1E"/>
    <w:rsid w:val="00F316CB"/>
    <w:rsid w:val="00F32238"/>
    <w:rsid w:val="00F32242"/>
    <w:rsid w:val="00F322BB"/>
    <w:rsid w:val="00F32339"/>
    <w:rsid w:val="00F33031"/>
    <w:rsid w:val="00F332AD"/>
    <w:rsid w:val="00F3410C"/>
    <w:rsid w:val="00F3594C"/>
    <w:rsid w:val="00F35D68"/>
    <w:rsid w:val="00F37641"/>
    <w:rsid w:val="00F3773B"/>
    <w:rsid w:val="00F41A49"/>
    <w:rsid w:val="00F41CE9"/>
    <w:rsid w:val="00F42D25"/>
    <w:rsid w:val="00F42E7B"/>
    <w:rsid w:val="00F4480D"/>
    <w:rsid w:val="00F45359"/>
    <w:rsid w:val="00F477BA"/>
    <w:rsid w:val="00F47BEB"/>
    <w:rsid w:val="00F5187D"/>
    <w:rsid w:val="00F5190C"/>
    <w:rsid w:val="00F523A7"/>
    <w:rsid w:val="00F52C6B"/>
    <w:rsid w:val="00F53A0D"/>
    <w:rsid w:val="00F5545E"/>
    <w:rsid w:val="00F556F2"/>
    <w:rsid w:val="00F569C5"/>
    <w:rsid w:val="00F56EBE"/>
    <w:rsid w:val="00F60714"/>
    <w:rsid w:val="00F60F3B"/>
    <w:rsid w:val="00F61E05"/>
    <w:rsid w:val="00F639B4"/>
    <w:rsid w:val="00F63A8B"/>
    <w:rsid w:val="00F64AD7"/>
    <w:rsid w:val="00F64C03"/>
    <w:rsid w:val="00F64CEC"/>
    <w:rsid w:val="00F653A6"/>
    <w:rsid w:val="00F757E4"/>
    <w:rsid w:val="00F75F69"/>
    <w:rsid w:val="00F802B7"/>
    <w:rsid w:val="00F80EA8"/>
    <w:rsid w:val="00F824E6"/>
    <w:rsid w:val="00F83278"/>
    <w:rsid w:val="00F842A1"/>
    <w:rsid w:val="00F8608E"/>
    <w:rsid w:val="00F937D0"/>
    <w:rsid w:val="00F93F9E"/>
    <w:rsid w:val="00F959C5"/>
    <w:rsid w:val="00F966B1"/>
    <w:rsid w:val="00F97238"/>
    <w:rsid w:val="00F97A56"/>
    <w:rsid w:val="00F97D6E"/>
    <w:rsid w:val="00FA0376"/>
    <w:rsid w:val="00FA3506"/>
    <w:rsid w:val="00FA3F3B"/>
    <w:rsid w:val="00FA4E94"/>
    <w:rsid w:val="00FA5008"/>
    <w:rsid w:val="00FA5714"/>
    <w:rsid w:val="00FA6AA2"/>
    <w:rsid w:val="00FA6B27"/>
    <w:rsid w:val="00FA7355"/>
    <w:rsid w:val="00FA7530"/>
    <w:rsid w:val="00FA7CC6"/>
    <w:rsid w:val="00FB0AA7"/>
    <w:rsid w:val="00FB0FFC"/>
    <w:rsid w:val="00FB1171"/>
    <w:rsid w:val="00FB151D"/>
    <w:rsid w:val="00FB1E8A"/>
    <w:rsid w:val="00FB1ED7"/>
    <w:rsid w:val="00FB3187"/>
    <w:rsid w:val="00FB332D"/>
    <w:rsid w:val="00FB61B9"/>
    <w:rsid w:val="00FC0A4A"/>
    <w:rsid w:val="00FC0CC6"/>
    <w:rsid w:val="00FC1EB6"/>
    <w:rsid w:val="00FC26EE"/>
    <w:rsid w:val="00FC28C8"/>
    <w:rsid w:val="00FC2C06"/>
    <w:rsid w:val="00FC3083"/>
    <w:rsid w:val="00FC4083"/>
    <w:rsid w:val="00FC4299"/>
    <w:rsid w:val="00FD0ABE"/>
    <w:rsid w:val="00FD244E"/>
    <w:rsid w:val="00FD3561"/>
    <w:rsid w:val="00FD359A"/>
    <w:rsid w:val="00FD38E8"/>
    <w:rsid w:val="00FD47EC"/>
    <w:rsid w:val="00FD569E"/>
    <w:rsid w:val="00FD59D7"/>
    <w:rsid w:val="00FD6BE7"/>
    <w:rsid w:val="00FD73D2"/>
    <w:rsid w:val="00FD74F6"/>
    <w:rsid w:val="00FE02B2"/>
    <w:rsid w:val="00FE079D"/>
    <w:rsid w:val="00FE1BB3"/>
    <w:rsid w:val="00FE1BDA"/>
    <w:rsid w:val="00FE2514"/>
    <w:rsid w:val="00FE3421"/>
    <w:rsid w:val="00FE3EFB"/>
    <w:rsid w:val="00FE4551"/>
    <w:rsid w:val="00FE4766"/>
    <w:rsid w:val="00FE582A"/>
    <w:rsid w:val="00FE7495"/>
    <w:rsid w:val="00FE7A64"/>
    <w:rsid w:val="00FF20EA"/>
    <w:rsid w:val="00FF22F4"/>
    <w:rsid w:val="00FF7517"/>
    <w:rsid w:val="00FF7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sz w:val="24"/>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03169B"/>
    <w:pPr>
      <w:tabs>
        <w:tab w:val="center" w:pos="4320"/>
        <w:tab w:val="right" w:pos="8640"/>
      </w:tabs>
    </w:pPr>
  </w:style>
  <w:style w:type="character" w:styleId="PageNumber">
    <w:name w:val="page number"/>
    <w:basedOn w:val="DefaultParagraphFont"/>
    <w:rsid w:val="0003169B"/>
  </w:style>
  <w:style w:type="paragraph" w:styleId="FootnoteText">
    <w:name w:val="footnote text"/>
    <w:basedOn w:val="Normal"/>
    <w:semiHidden/>
    <w:rsid w:val="008B6DE2"/>
    <w:rPr>
      <w:sz w:val="20"/>
      <w:szCs w:val="20"/>
    </w:rPr>
  </w:style>
  <w:style w:type="character" w:styleId="FootnoteReference">
    <w:name w:val="footnote reference"/>
    <w:basedOn w:val="DefaultParagraphFont"/>
    <w:semiHidden/>
    <w:rsid w:val="008B6DE2"/>
    <w:rPr>
      <w:vertAlign w:val="superscript"/>
    </w:rPr>
  </w:style>
  <w:style w:type="table" w:styleId="TableGrid">
    <w:name w:val="Table Grid"/>
    <w:basedOn w:val="TableNormal"/>
    <w:rsid w:val="00FB1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06BC2"/>
    <w:pPr>
      <w:autoSpaceDE w:val="0"/>
      <w:autoSpaceDN w:val="0"/>
      <w:adjustRightInd w:val="0"/>
    </w:pPr>
    <w:rPr>
      <w:rFonts w:ascii="Arial" w:hAnsi="Arial" w:cs="Arial"/>
      <w:color w:val="000000"/>
      <w:sz w:val="24"/>
      <w:szCs w:val="24"/>
      <w:lang w:eastAsia="ko-KR"/>
    </w:rPr>
  </w:style>
  <w:style w:type="paragraph" w:customStyle="1" w:styleId="BULLET">
    <w:name w:val="BULLET"/>
    <w:basedOn w:val="Default"/>
    <w:next w:val="Default"/>
    <w:rsid w:val="00006BC2"/>
    <w:rPr>
      <w:rFonts w:cs="Arial Unicode MS"/>
      <w:color w:val="auto"/>
    </w:rPr>
  </w:style>
  <w:style w:type="paragraph" w:styleId="BodyText">
    <w:name w:val="Body Text"/>
    <w:basedOn w:val="Normal"/>
    <w:rsid w:val="00341645"/>
    <w:pPr>
      <w:jc w:val="both"/>
    </w:pPr>
    <w:rPr>
      <w:rFonts w:eastAsia="Times New Roman" w:cs="Times New Roman"/>
      <w:lang w:eastAsia="en-US" w:bidi="ar-SA"/>
    </w:rPr>
  </w:style>
  <w:style w:type="paragraph" w:styleId="NormalWeb">
    <w:name w:val="Normal (Web)"/>
    <w:basedOn w:val="Normal"/>
    <w:rsid w:val="00452E6A"/>
    <w:pPr>
      <w:spacing w:before="100" w:beforeAutospacing="1" w:after="100" w:afterAutospacing="1"/>
    </w:pPr>
    <w:rPr>
      <w:rFonts w:eastAsia="Times New Roman" w:cs="Times New Roman"/>
      <w:lang w:eastAsia="en-US" w:bidi="ar-SA"/>
    </w:rPr>
  </w:style>
  <w:style w:type="paragraph" w:styleId="BalloonText">
    <w:name w:val="Balloon Text"/>
    <w:basedOn w:val="Normal"/>
    <w:semiHidden/>
    <w:rsid w:val="00CE413B"/>
    <w:rPr>
      <w:rFonts w:ascii="Tahoma" w:hAnsi="Tahoma" w:cs="Tahoma"/>
      <w:sz w:val="16"/>
      <w:szCs w:val="16"/>
    </w:rPr>
  </w:style>
  <w:style w:type="paragraph" w:styleId="Header">
    <w:name w:val="header"/>
    <w:basedOn w:val="Normal"/>
    <w:rsid w:val="00CE1595"/>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978924948">
      <w:bodyDiv w:val="1"/>
      <w:marLeft w:val="0"/>
      <w:marRight w:val="0"/>
      <w:marTop w:val="0"/>
      <w:marBottom w:val="0"/>
      <w:divBdr>
        <w:top w:val="none" w:sz="0" w:space="0" w:color="auto"/>
        <w:left w:val="none" w:sz="0" w:space="0" w:color="auto"/>
        <w:bottom w:val="none" w:sz="0" w:space="0" w:color="auto"/>
        <w:right w:val="none" w:sz="0" w:space="0" w:color="auto"/>
      </w:divBdr>
      <w:divsChild>
        <w:div w:id="1802579539">
          <w:marLeft w:val="0"/>
          <w:marRight w:val="0"/>
          <w:marTop w:val="0"/>
          <w:marBottom w:val="0"/>
          <w:divBdr>
            <w:top w:val="none" w:sz="0" w:space="0" w:color="auto"/>
            <w:left w:val="none" w:sz="0" w:space="0" w:color="auto"/>
            <w:bottom w:val="none" w:sz="0" w:space="0" w:color="auto"/>
            <w:right w:val="none" w:sz="0" w:space="0" w:color="auto"/>
          </w:divBdr>
          <w:divsChild>
            <w:div w:id="266810761">
              <w:marLeft w:val="0"/>
              <w:marRight w:val="0"/>
              <w:marTop w:val="0"/>
              <w:marBottom w:val="0"/>
              <w:divBdr>
                <w:top w:val="none" w:sz="0" w:space="0" w:color="auto"/>
                <w:left w:val="none" w:sz="0" w:space="0" w:color="auto"/>
                <w:bottom w:val="none" w:sz="0" w:space="0" w:color="auto"/>
                <w:right w:val="none" w:sz="0" w:space="0" w:color="auto"/>
              </w:divBdr>
            </w:div>
            <w:div w:id="775951187">
              <w:marLeft w:val="0"/>
              <w:marRight w:val="0"/>
              <w:marTop w:val="0"/>
              <w:marBottom w:val="0"/>
              <w:divBdr>
                <w:top w:val="none" w:sz="0" w:space="0" w:color="auto"/>
                <w:left w:val="none" w:sz="0" w:space="0" w:color="auto"/>
                <w:bottom w:val="none" w:sz="0" w:space="0" w:color="auto"/>
                <w:right w:val="none" w:sz="0" w:space="0" w:color="auto"/>
              </w:divBdr>
            </w:div>
            <w:div w:id="796217183">
              <w:marLeft w:val="0"/>
              <w:marRight w:val="0"/>
              <w:marTop w:val="0"/>
              <w:marBottom w:val="0"/>
              <w:divBdr>
                <w:top w:val="none" w:sz="0" w:space="0" w:color="auto"/>
                <w:left w:val="none" w:sz="0" w:space="0" w:color="auto"/>
                <w:bottom w:val="none" w:sz="0" w:space="0" w:color="auto"/>
                <w:right w:val="none" w:sz="0" w:space="0" w:color="auto"/>
              </w:divBdr>
            </w:div>
            <w:div w:id="1619215109">
              <w:marLeft w:val="0"/>
              <w:marRight w:val="0"/>
              <w:marTop w:val="0"/>
              <w:marBottom w:val="0"/>
              <w:divBdr>
                <w:top w:val="none" w:sz="0" w:space="0" w:color="auto"/>
                <w:left w:val="none" w:sz="0" w:space="0" w:color="auto"/>
                <w:bottom w:val="none" w:sz="0" w:space="0" w:color="auto"/>
                <w:right w:val="none" w:sz="0" w:space="0" w:color="auto"/>
              </w:divBdr>
            </w:div>
            <w:div w:id="16726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313">
      <w:bodyDiv w:val="1"/>
      <w:marLeft w:val="0"/>
      <w:marRight w:val="0"/>
      <w:marTop w:val="0"/>
      <w:marBottom w:val="0"/>
      <w:divBdr>
        <w:top w:val="none" w:sz="0" w:space="0" w:color="auto"/>
        <w:left w:val="none" w:sz="0" w:space="0" w:color="auto"/>
        <w:bottom w:val="none" w:sz="0" w:space="0" w:color="auto"/>
        <w:right w:val="none" w:sz="0" w:space="0" w:color="auto"/>
      </w:divBdr>
      <w:divsChild>
        <w:div w:id="1496604210">
          <w:marLeft w:val="0"/>
          <w:marRight w:val="0"/>
          <w:marTop w:val="0"/>
          <w:marBottom w:val="0"/>
          <w:divBdr>
            <w:top w:val="none" w:sz="0" w:space="0" w:color="auto"/>
            <w:left w:val="none" w:sz="0" w:space="0" w:color="auto"/>
            <w:bottom w:val="none" w:sz="0" w:space="0" w:color="auto"/>
            <w:right w:val="none" w:sz="0" w:space="0" w:color="auto"/>
          </w:divBdr>
          <w:divsChild>
            <w:div w:id="1082607500">
              <w:marLeft w:val="0"/>
              <w:marRight w:val="0"/>
              <w:marTop w:val="0"/>
              <w:marBottom w:val="0"/>
              <w:divBdr>
                <w:top w:val="none" w:sz="0" w:space="0" w:color="auto"/>
                <w:left w:val="none" w:sz="0" w:space="0" w:color="auto"/>
                <w:bottom w:val="none" w:sz="0" w:space="0" w:color="auto"/>
                <w:right w:val="none" w:sz="0" w:space="0" w:color="auto"/>
              </w:divBdr>
            </w:div>
            <w:div w:id="1187674550">
              <w:marLeft w:val="0"/>
              <w:marRight w:val="0"/>
              <w:marTop w:val="0"/>
              <w:marBottom w:val="0"/>
              <w:divBdr>
                <w:top w:val="none" w:sz="0" w:space="0" w:color="auto"/>
                <w:left w:val="none" w:sz="0" w:space="0" w:color="auto"/>
                <w:bottom w:val="none" w:sz="0" w:space="0" w:color="auto"/>
                <w:right w:val="none" w:sz="0" w:space="0" w:color="auto"/>
              </w:divBdr>
            </w:div>
            <w:div w:id="1768429862">
              <w:marLeft w:val="0"/>
              <w:marRight w:val="0"/>
              <w:marTop w:val="0"/>
              <w:marBottom w:val="0"/>
              <w:divBdr>
                <w:top w:val="none" w:sz="0" w:space="0" w:color="auto"/>
                <w:left w:val="none" w:sz="0" w:space="0" w:color="auto"/>
                <w:bottom w:val="none" w:sz="0" w:space="0" w:color="auto"/>
                <w:right w:val="none" w:sz="0" w:space="0" w:color="auto"/>
              </w:divBdr>
            </w:div>
            <w:div w:id="1823544298">
              <w:marLeft w:val="0"/>
              <w:marRight w:val="0"/>
              <w:marTop w:val="0"/>
              <w:marBottom w:val="0"/>
              <w:divBdr>
                <w:top w:val="none" w:sz="0" w:space="0" w:color="auto"/>
                <w:left w:val="none" w:sz="0" w:space="0" w:color="auto"/>
                <w:bottom w:val="none" w:sz="0" w:space="0" w:color="auto"/>
                <w:right w:val="none" w:sz="0" w:space="0" w:color="auto"/>
              </w:divBdr>
            </w:div>
            <w:div w:id="20291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7000">
      <w:bodyDiv w:val="1"/>
      <w:marLeft w:val="0"/>
      <w:marRight w:val="0"/>
      <w:marTop w:val="0"/>
      <w:marBottom w:val="0"/>
      <w:divBdr>
        <w:top w:val="none" w:sz="0" w:space="0" w:color="auto"/>
        <w:left w:val="none" w:sz="0" w:space="0" w:color="auto"/>
        <w:bottom w:val="none" w:sz="0" w:space="0" w:color="auto"/>
        <w:right w:val="none" w:sz="0" w:space="0" w:color="auto"/>
      </w:divBdr>
      <w:divsChild>
        <w:div w:id="51007566">
          <w:marLeft w:val="0"/>
          <w:marRight w:val="0"/>
          <w:marTop w:val="0"/>
          <w:marBottom w:val="0"/>
          <w:divBdr>
            <w:top w:val="none" w:sz="0" w:space="0" w:color="auto"/>
            <w:left w:val="none" w:sz="0" w:space="0" w:color="auto"/>
            <w:bottom w:val="none" w:sz="0" w:space="0" w:color="auto"/>
            <w:right w:val="none" w:sz="0" w:space="0" w:color="auto"/>
          </w:divBdr>
        </w:div>
      </w:divsChild>
    </w:div>
    <w:div w:id="1520510547">
      <w:bodyDiv w:val="1"/>
      <w:marLeft w:val="0"/>
      <w:marRight w:val="0"/>
      <w:marTop w:val="0"/>
      <w:marBottom w:val="0"/>
      <w:divBdr>
        <w:top w:val="none" w:sz="0" w:space="0" w:color="auto"/>
        <w:left w:val="none" w:sz="0" w:space="0" w:color="auto"/>
        <w:bottom w:val="none" w:sz="0" w:space="0" w:color="auto"/>
        <w:right w:val="none" w:sz="0" w:space="0" w:color="auto"/>
      </w:divBdr>
      <w:divsChild>
        <w:div w:id="1093355310">
          <w:marLeft w:val="0"/>
          <w:marRight w:val="0"/>
          <w:marTop w:val="0"/>
          <w:marBottom w:val="0"/>
          <w:divBdr>
            <w:top w:val="none" w:sz="0" w:space="0" w:color="auto"/>
            <w:left w:val="none" w:sz="0" w:space="0" w:color="auto"/>
            <w:bottom w:val="none" w:sz="0" w:space="0" w:color="auto"/>
            <w:right w:val="none" w:sz="0" w:space="0" w:color="auto"/>
          </w:divBdr>
        </w:div>
      </w:divsChild>
    </w:div>
    <w:div w:id="1563708533">
      <w:bodyDiv w:val="1"/>
      <w:marLeft w:val="0"/>
      <w:marRight w:val="0"/>
      <w:marTop w:val="0"/>
      <w:marBottom w:val="0"/>
      <w:divBdr>
        <w:top w:val="none" w:sz="0" w:space="0" w:color="auto"/>
        <w:left w:val="none" w:sz="0" w:space="0" w:color="auto"/>
        <w:bottom w:val="none" w:sz="0" w:space="0" w:color="auto"/>
        <w:right w:val="none" w:sz="0" w:space="0" w:color="auto"/>
      </w:divBdr>
      <w:divsChild>
        <w:div w:id="244191719">
          <w:marLeft w:val="0"/>
          <w:marRight w:val="0"/>
          <w:marTop w:val="0"/>
          <w:marBottom w:val="0"/>
          <w:divBdr>
            <w:top w:val="none" w:sz="0" w:space="0" w:color="auto"/>
            <w:left w:val="none" w:sz="0" w:space="0" w:color="auto"/>
            <w:bottom w:val="none" w:sz="0" w:space="0" w:color="auto"/>
            <w:right w:val="none" w:sz="0" w:space="0" w:color="auto"/>
          </w:divBdr>
          <w:divsChild>
            <w:div w:id="441726076">
              <w:marLeft w:val="0"/>
              <w:marRight w:val="0"/>
              <w:marTop w:val="0"/>
              <w:marBottom w:val="0"/>
              <w:divBdr>
                <w:top w:val="none" w:sz="0" w:space="0" w:color="auto"/>
                <w:left w:val="none" w:sz="0" w:space="0" w:color="auto"/>
                <w:bottom w:val="none" w:sz="0" w:space="0" w:color="auto"/>
                <w:right w:val="none" w:sz="0" w:space="0" w:color="auto"/>
              </w:divBdr>
            </w:div>
            <w:div w:id="843059318">
              <w:marLeft w:val="0"/>
              <w:marRight w:val="0"/>
              <w:marTop w:val="0"/>
              <w:marBottom w:val="0"/>
              <w:divBdr>
                <w:top w:val="none" w:sz="0" w:space="0" w:color="auto"/>
                <w:left w:val="none" w:sz="0" w:space="0" w:color="auto"/>
                <w:bottom w:val="none" w:sz="0" w:space="0" w:color="auto"/>
                <w:right w:val="none" w:sz="0" w:space="0" w:color="auto"/>
              </w:divBdr>
            </w:div>
            <w:div w:id="1618948377">
              <w:marLeft w:val="0"/>
              <w:marRight w:val="0"/>
              <w:marTop w:val="0"/>
              <w:marBottom w:val="0"/>
              <w:divBdr>
                <w:top w:val="none" w:sz="0" w:space="0" w:color="auto"/>
                <w:left w:val="none" w:sz="0" w:space="0" w:color="auto"/>
                <w:bottom w:val="none" w:sz="0" w:space="0" w:color="auto"/>
                <w:right w:val="none" w:sz="0" w:space="0" w:color="auto"/>
              </w:divBdr>
            </w:div>
            <w:div w:id="2136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140">
      <w:bodyDiv w:val="1"/>
      <w:marLeft w:val="0"/>
      <w:marRight w:val="0"/>
      <w:marTop w:val="0"/>
      <w:marBottom w:val="0"/>
      <w:divBdr>
        <w:top w:val="none" w:sz="0" w:space="0" w:color="auto"/>
        <w:left w:val="none" w:sz="0" w:space="0" w:color="auto"/>
        <w:bottom w:val="none" w:sz="0" w:space="0" w:color="auto"/>
        <w:right w:val="none" w:sz="0" w:space="0" w:color="auto"/>
      </w:divBdr>
      <w:divsChild>
        <w:div w:id="1084499810">
          <w:marLeft w:val="0"/>
          <w:marRight w:val="0"/>
          <w:marTop w:val="0"/>
          <w:marBottom w:val="0"/>
          <w:divBdr>
            <w:top w:val="none" w:sz="0" w:space="0" w:color="auto"/>
            <w:left w:val="none" w:sz="0" w:space="0" w:color="auto"/>
            <w:bottom w:val="none" w:sz="0" w:space="0" w:color="auto"/>
            <w:right w:val="none" w:sz="0" w:space="0" w:color="auto"/>
          </w:divBdr>
          <w:divsChild>
            <w:div w:id="5135967">
              <w:marLeft w:val="0"/>
              <w:marRight w:val="0"/>
              <w:marTop w:val="0"/>
              <w:marBottom w:val="0"/>
              <w:divBdr>
                <w:top w:val="none" w:sz="0" w:space="0" w:color="auto"/>
                <w:left w:val="none" w:sz="0" w:space="0" w:color="auto"/>
                <w:bottom w:val="none" w:sz="0" w:space="0" w:color="auto"/>
                <w:right w:val="none" w:sz="0" w:space="0" w:color="auto"/>
              </w:divBdr>
            </w:div>
            <w:div w:id="94330378">
              <w:marLeft w:val="0"/>
              <w:marRight w:val="0"/>
              <w:marTop w:val="0"/>
              <w:marBottom w:val="0"/>
              <w:divBdr>
                <w:top w:val="none" w:sz="0" w:space="0" w:color="auto"/>
                <w:left w:val="none" w:sz="0" w:space="0" w:color="auto"/>
                <w:bottom w:val="none" w:sz="0" w:space="0" w:color="auto"/>
                <w:right w:val="none" w:sz="0" w:space="0" w:color="auto"/>
              </w:divBdr>
            </w:div>
            <w:div w:id="844518102">
              <w:marLeft w:val="0"/>
              <w:marRight w:val="0"/>
              <w:marTop w:val="0"/>
              <w:marBottom w:val="0"/>
              <w:divBdr>
                <w:top w:val="none" w:sz="0" w:space="0" w:color="auto"/>
                <w:left w:val="none" w:sz="0" w:space="0" w:color="auto"/>
                <w:bottom w:val="none" w:sz="0" w:space="0" w:color="auto"/>
                <w:right w:val="none" w:sz="0" w:space="0" w:color="auto"/>
              </w:divBdr>
            </w:div>
            <w:div w:id="14589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511">
      <w:bodyDiv w:val="1"/>
      <w:marLeft w:val="0"/>
      <w:marRight w:val="0"/>
      <w:marTop w:val="0"/>
      <w:marBottom w:val="0"/>
      <w:divBdr>
        <w:top w:val="none" w:sz="0" w:space="0" w:color="auto"/>
        <w:left w:val="none" w:sz="0" w:space="0" w:color="auto"/>
        <w:bottom w:val="none" w:sz="0" w:space="0" w:color="auto"/>
        <w:right w:val="none" w:sz="0" w:space="0" w:color="auto"/>
      </w:divBdr>
      <w:divsChild>
        <w:div w:id="440498344">
          <w:marLeft w:val="0"/>
          <w:marRight w:val="0"/>
          <w:marTop w:val="0"/>
          <w:marBottom w:val="0"/>
          <w:divBdr>
            <w:top w:val="none" w:sz="0" w:space="0" w:color="auto"/>
            <w:left w:val="none" w:sz="0" w:space="0" w:color="auto"/>
            <w:bottom w:val="none" w:sz="0" w:space="0" w:color="auto"/>
            <w:right w:val="none" w:sz="0" w:space="0" w:color="auto"/>
          </w:divBdr>
          <w:divsChild>
            <w:div w:id="300040231">
              <w:marLeft w:val="0"/>
              <w:marRight w:val="0"/>
              <w:marTop w:val="0"/>
              <w:marBottom w:val="0"/>
              <w:divBdr>
                <w:top w:val="none" w:sz="0" w:space="0" w:color="auto"/>
                <w:left w:val="none" w:sz="0" w:space="0" w:color="auto"/>
                <w:bottom w:val="none" w:sz="0" w:space="0" w:color="auto"/>
                <w:right w:val="none" w:sz="0" w:space="0" w:color="auto"/>
              </w:divBdr>
            </w:div>
            <w:div w:id="930822272">
              <w:marLeft w:val="0"/>
              <w:marRight w:val="0"/>
              <w:marTop w:val="0"/>
              <w:marBottom w:val="0"/>
              <w:divBdr>
                <w:top w:val="none" w:sz="0" w:space="0" w:color="auto"/>
                <w:left w:val="none" w:sz="0" w:space="0" w:color="auto"/>
                <w:bottom w:val="none" w:sz="0" w:space="0" w:color="auto"/>
                <w:right w:val="none" w:sz="0" w:space="0" w:color="auto"/>
              </w:divBdr>
            </w:div>
            <w:div w:id="1042901070">
              <w:marLeft w:val="0"/>
              <w:marRight w:val="0"/>
              <w:marTop w:val="0"/>
              <w:marBottom w:val="0"/>
              <w:divBdr>
                <w:top w:val="none" w:sz="0" w:space="0" w:color="auto"/>
                <w:left w:val="none" w:sz="0" w:space="0" w:color="auto"/>
                <w:bottom w:val="none" w:sz="0" w:space="0" w:color="auto"/>
                <w:right w:val="none" w:sz="0" w:space="0" w:color="auto"/>
              </w:divBdr>
            </w:div>
            <w:div w:id="19746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 Global Financial Crisis and Its Impact on Philippine Tourism:</vt:lpstr>
    </vt:vector>
  </TitlesOfParts>
  <Company>The World Bank Group</Company>
  <LinksUpToDate>false</LinksUpToDate>
  <CharactersWithSpaces>27678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Financial Crisis and Its Impact on Philippine Tourism:</dc:title>
  <dc:creator>crodolfo</dc:creator>
  <cp:lastModifiedBy>AManalo</cp:lastModifiedBy>
  <cp:revision>2</cp:revision>
  <cp:lastPrinted>2009-04-22T10:42:00Z</cp:lastPrinted>
  <dcterms:created xsi:type="dcterms:W3CDTF">2009-05-04T10:44:00Z</dcterms:created>
  <dcterms:modified xsi:type="dcterms:W3CDTF">2009-05-04T10:44:00Z</dcterms:modified>
</cp:coreProperties>
</file>