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B6" w:rsidRPr="00C023B6" w:rsidRDefault="00C023B6" w:rsidP="00AC31C2">
      <w:pPr>
        <w:shd w:val="clear" w:color="auto" w:fill="FFFFFF"/>
        <w:spacing w:after="72" w:line="360" w:lineRule="auto"/>
        <w:jc w:val="center"/>
        <w:outlineLvl w:val="0"/>
        <w:rPr>
          <w:rFonts w:asciiTheme="minorHAnsi" w:hAnsiTheme="minorHAnsi" w:cs="Calibri"/>
          <w:b/>
          <w:kern w:val="36"/>
          <w:sz w:val="24"/>
          <w:szCs w:val="24"/>
        </w:rPr>
      </w:pPr>
      <w:r w:rsidRPr="00C023B6">
        <w:rPr>
          <w:rFonts w:asciiTheme="minorHAnsi" w:hAnsiTheme="minorHAnsi" w:cs="Calibri"/>
          <w:b/>
          <w:kern w:val="36"/>
          <w:sz w:val="24"/>
          <w:szCs w:val="24"/>
        </w:rPr>
        <w:t>DEPARTMENT OF CAREER DEVELOPMENT</w:t>
      </w:r>
    </w:p>
    <w:p w:rsidR="00C023B6" w:rsidRPr="00C023B6" w:rsidRDefault="00C023B6" w:rsidP="00AC31C2">
      <w:pPr>
        <w:shd w:val="clear" w:color="auto" w:fill="FFFFFF"/>
        <w:spacing w:after="72" w:line="360" w:lineRule="auto"/>
        <w:jc w:val="center"/>
        <w:outlineLvl w:val="0"/>
        <w:rPr>
          <w:rFonts w:asciiTheme="minorHAnsi" w:hAnsiTheme="minorHAnsi" w:cs="Calibri"/>
          <w:b/>
          <w:kern w:val="36"/>
          <w:sz w:val="24"/>
          <w:szCs w:val="24"/>
          <w:u w:val="single"/>
        </w:rPr>
      </w:pPr>
      <w:r>
        <w:rPr>
          <w:rFonts w:asciiTheme="minorHAnsi" w:hAnsiTheme="minorHAnsi" w:cs="Calibri"/>
          <w:b/>
          <w:kern w:val="36"/>
          <w:sz w:val="24"/>
          <w:szCs w:val="24"/>
          <w:u w:val="single"/>
        </w:rPr>
        <w:t>THE ECONOMIC TIMES</w:t>
      </w:r>
    </w:p>
    <w:p w:rsidR="00C023B6" w:rsidRPr="00C023B6" w:rsidRDefault="00510E7B" w:rsidP="00AC31C2">
      <w:pPr>
        <w:shd w:val="clear" w:color="auto" w:fill="FFFFFF"/>
        <w:spacing w:after="72" w:line="360" w:lineRule="auto"/>
        <w:jc w:val="center"/>
        <w:outlineLvl w:val="0"/>
        <w:rPr>
          <w:rFonts w:asciiTheme="minorHAnsi" w:hAnsiTheme="minorHAnsi" w:cs="Calibri"/>
          <w:b/>
          <w:kern w:val="36"/>
          <w:sz w:val="24"/>
          <w:szCs w:val="24"/>
          <w:u w:val="single"/>
        </w:rPr>
      </w:pPr>
      <w:r>
        <w:rPr>
          <w:rFonts w:asciiTheme="minorHAnsi" w:hAnsiTheme="minorHAnsi" w:cs="Calibri"/>
          <w:b/>
          <w:kern w:val="36"/>
          <w:sz w:val="24"/>
          <w:szCs w:val="24"/>
          <w:u w:val="single"/>
        </w:rPr>
        <w:t>INDIAN FISCAL</w:t>
      </w:r>
      <w:r w:rsidR="00C023B6">
        <w:rPr>
          <w:rFonts w:asciiTheme="minorHAnsi" w:hAnsiTheme="minorHAnsi" w:cs="Calibri"/>
          <w:b/>
          <w:kern w:val="36"/>
          <w:sz w:val="24"/>
          <w:szCs w:val="24"/>
          <w:u w:val="single"/>
        </w:rPr>
        <w:t xml:space="preserve"> </w:t>
      </w:r>
      <w:r w:rsidR="00C023B6" w:rsidRPr="00C023B6">
        <w:rPr>
          <w:rFonts w:asciiTheme="minorHAnsi" w:hAnsiTheme="minorHAnsi" w:cs="Calibri"/>
          <w:b/>
          <w:kern w:val="36"/>
          <w:sz w:val="24"/>
          <w:szCs w:val="24"/>
          <w:u w:val="single"/>
        </w:rPr>
        <w:t>POLICY</w:t>
      </w:r>
    </w:p>
    <w:p w:rsidR="00C023B6" w:rsidRPr="00C023B6" w:rsidRDefault="00C023B6" w:rsidP="00AC31C2">
      <w:pPr>
        <w:shd w:val="clear" w:color="auto" w:fill="FFFFFF"/>
        <w:spacing w:after="72" w:line="360" w:lineRule="auto"/>
        <w:jc w:val="both"/>
        <w:outlineLvl w:val="0"/>
        <w:rPr>
          <w:rFonts w:asciiTheme="minorHAnsi" w:hAnsiTheme="minorHAnsi" w:cs="Calibri"/>
          <w:b/>
          <w:kern w:val="36"/>
          <w:sz w:val="24"/>
          <w:szCs w:val="24"/>
          <w:u w:val="single"/>
        </w:rPr>
      </w:pPr>
    </w:p>
    <w:p w:rsidR="00484BBB" w:rsidRPr="004C1CCF" w:rsidRDefault="00C023B6" w:rsidP="00AC31C2">
      <w:pPr>
        <w:shd w:val="clear" w:color="auto" w:fill="FFFFFF"/>
        <w:spacing w:before="40" w:after="40"/>
        <w:jc w:val="both"/>
        <w:outlineLvl w:val="1"/>
        <w:rPr>
          <w:rFonts w:ascii="Lato" w:hAnsi="Lato"/>
          <w:color w:val="2B2B2B"/>
          <w:sz w:val="21"/>
          <w:szCs w:val="21"/>
        </w:rPr>
      </w:pPr>
      <w:r w:rsidRPr="00C023B6">
        <w:rPr>
          <w:rFonts w:asciiTheme="minorHAnsi" w:hAnsiTheme="minorHAnsi"/>
          <w:b/>
          <w:u w:val="single"/>
        </w:rPr>
        <w:t>ABOUT:</w:t>
      </w:r>
      <w:r w:rsidRPr="00C023B6">
        <w:rPr>
          <w:rFonts w:asciiTheme="minorHAnsi" w:hAnsiTheme="minorHAnsi"/>
        </w:rPr>
        <w:t xml:space="preserve"> </w:t>
      </w:r>
      <w:r w:rsidR="00484BBB">
        <w:rPr>
          <w:rFonts w:ascii="Lato" w:hAnsi="Lato"/>
          <w:color w:val="2B2B2B"/>
          <w:sz w:val="21"/>
          <w:szCs w:val="21"/>
        </w:rPr>
        <w:t>SEBI</w:t>
      </w:r>
      <w:r w:rsidR="00484BBB" w:rsidRPr="004C1CCF">
        <w:rPr>
          <w:rFonts w:ascii="Lato" w:hAnsi="Lato"/>
          <w:color w:val="2B2B2B"/>
          <w:sz w:val="21"/>
          <w:szCs w:val="21"/>
        </w:rPr>
        <w:t xml:space="preserve"> needs to revamp norms for institutional and non-institutional investors</w:t>
      </w:r>
    </w:p>
    <w:p w:rsidR="00C023B6" w:rsidRPr="00C023B6" w:rsidRDefault="00C023B6" w:rsidP="00AC31C2">
      <w:pPr>
        <w:jc w:val="both"/>
        <w:rPr>
          <w:rFonts w:asciiTheme="minorHAnsi" w:hAnsiTheme="minorHAnsi"/>
        </w:rPr>
      </w:pPr>
    </w:p>
    <w:p w:rsidR="00484BBB" w:rsidRPr="00484BBB" w:rsidRDefault="00C023B6" w:rsidP="00AC31C2">
      <w:pPr>
        <w:shd w:val="clear" w:color="auto" w:fill="FFFFFF"/>
        <w:spacing w:after="0"/>
        <w:jc w:val="both"/>
        <w:rPr>
          <w:rFonts w:asciiTheme="minorHAnsi" w:hAnsiTheme="minorHAnsi"/>
          <w:color w:val="2B2B2B"/>
        </w:rPr>
      </w:pPr>
      <w:r w:rsidRPr="00C023B6">
        <w:rPr>
          <w:rFonts w:asciiTheme="minorHAnsi" w:hAnsiTheme="minorHAnsi"/>
          <w:b/>
          <w:color w:val="2B2B2B"/>
          <w:u w:val="single"/>
        </w:rPr>
        <w:t>SYNOPSIS:</w:t>
      </w:r>
      <w:r>
        <w:rPr>
          <w:rFonts w:asciiTheme="minorHAnsi" w:hAnsiTheme="minorHAnsi"/>
          <w:color w:val="2B2B2B"/>
        </w:rPr>
        <w:t xml:space="preserve"> </w:t>
      </w:r>
      <w:r w:rsidR="00484BBB" w:rsidRPr="00484BBB">
        <w:rPr>
          <w:rFonts w:asciiTheme="minorHAnsi" w:hAnsiTheme="minorHAnsi"/>
          <w:color w:val="2B2B2B"/>
        </w:rPr>
        <w:t>With startups, tech entrepreneurship and new business models growing by the day, th</w:t>
      </w:r>
      <w:r w:rsidR="00484BBB">
        <w:rPr>
          <w:rFonts w:asciiTheme="minorHAnsi" w:hAnsiTheme="minorHAnsi"/>
          <w:color w:val="2B2B2B"/>
        </w:rPr>
        <w:t>e capital market regulator, SEBI</w:t>
      </w:r>
      <w:r w:rsidR="00484BBB" w:rsidRPr="00484BBB">
        <w:rPr>
          <w:rFonts w:asciiTheme="minorHAnsi" w:hAnsiTheme="minorHAnsi"/>
          <w:color w:val="2B2B2B"/>
        </w:rPr>
        <w:t>, has put out a discussion paper seeking to revamp rules for the Institutional Trading Platform (ITP), which allows small and medium enterprises (SMEs) to list and issue capital without an initial public offering (IPO).</w:t>
      </w:r>
    </w:p>
    <w:p w:rsidR="00484BBB" w:rsidRDefault="00484BBB" w:rsidP="00AC31C2">
      <w:pPr>
        <w:shd w:val="clear" w:color="auto" w:fill="FFFFFF"/>
        <w:spacing w:before="160" w:after="0" w:line="360" w:lineRule="auto"/>
        <w:jc w:val="both"/>
        <w:rPr>
          <w:rFonts w:asciiTheme="minorHAnsi" w:hAnsiTheme="minorHAnsi"/>
          <w:color w:val="2B2B2B"/>
        </w:rPr>
      </w:pPr>
      <w:r>
        <w:rPr>
          <w:rFonts w:asciiTheme="minorHAnsi" w:hAnsiTheme="minorHAnsi"/>
          <w:color w:val="2B2B2B"/>
        </w:rPr>
        <w:t>KEY HIGHLIGHTS</w:t>
      </w:r>
    </w:p>
    <w:p w:rsidR="00484BBB" w:rsidRDefault="00484BBB" w:rsidP="00AC31C2">
      <w:pPr>
        <w:pStyle w:val="ListParagraph"/>
        <w:numPr>
          <w:ilvl w:val="0"/>
          <w:numId w:val="7"/>
        </w:numPr>
        <w:shd w:val="clear" w:color="auto" w:fill="FFFFFF"/>
        <w:spacing w:before="160" w:after="0" w:line="360" w:lineRule="auto"/>
        <w:jc w:val="both"/>
        <w:rPr>
          <w:rFonts w:asciiTheme="minorHAnsi" w:hAnsiTheme="minorHAnsi"/>
          <w:color w:val="2B2B2B"/>
        </w:rPr>
      </w:pPr>
      <w:r w:rsidRPr="00484BBB">
        <w:rPr>
          <w:rFonts w:asciiTheme="minorHAnsi" w:hAnsiTheme="minorHAnsi"/>
          <w:color w:val="2B2B2B"/>
        </w:rPr>
        <w:t>The ITP framework makes possible trading in specified securities of SMEs for informed investors, either institutional or non-institutional, to arrive at better valuation.</w:t>
      </w:r>
    </w:p>
    <w:p w:rsidR="00484BBB" w:rsidRDefault="00084116" w:rsidP="00AC31C2">
      <w:pPr>
        <w:pStyle w:val="ListParagraph"/>
        <w:numPr>
          <w:ilvl w:val="0"/>
          <w:numId w:val="7"/>
        </w:numPr>
        <w:shd w:val="clear" w:color="auto" w:fill="FFFFFF"/>
        <w:spacing w:before="160" w:after="0" w:line="360" w:lineRule="auto"/>
        <w:jc w:val="both"/>
        <w:rPr>
          <w:rFonts w:asciiTheme="minorHAnsi" w:hAnsiTheme="minorHAnsi"/>
          <w:color w:val="2B2B2B"/>
        </w:rPr>
      </w:pPr>
      <w:r w:rsidRPr="00084116">
        <w:rPr>
          <w:rFonts w:asciiTheme="minorHAnsi" w:hAnsiTheme="minorHAnsi"/>
          <w:b/>
          <w:color w:val="2B2B2B"/>
          <w:u w:val="single"/>
        </w:rPr>
        <w:t>The Norms:</w:t>
      </w:r>
      <w:r>
        <w:rPr>
          <w:rFonts w:asciiTheme="minorHAnsi" w:hAnsiTheme="minorHAnsi"/>
          <w:color w:val="2B2B2B"/>
        </w:rPr>
        <w:t xml:space="preserve"> </w:t>
      </w:r>
      <w:r w:rsidR="00484BBB" w:rsidRPr="00484BBB">
        <w:rPr>
          <w:rFonts w:asciiTheme="minorHAnsi" w:hAnsiTheme="minorHAnsi"/>
          <w:color w:val="2B2B2B"/>
        </w:rPr>
        <w:t>the norms stipulate that 75 per cent of the net offer needs to be allocated to institutional investors, with remaining 25 per cent earmarked for the non-institutional type.</w:t>
      </w:r>
    </w:p>
    <w:p w:rsidR="00484BBB" w:rsidRDefault="00084116" w:rsidP="00AC31C2">
      <w:pPr>
        <w:pStyle w:val="ListParagraph"/>
        <w:numPr>
          <w:ilvl w:val="0"/>
          <w:numId w:val="7"/>
        </w:numPr>
        <w:shd w:val="clear" w:color="auto" w:fill="FFFFFF"/>
        <w:spacing w:before="160" w:after="0" w:line="360" w:lineRule="auto"/>
        <w:jc w:val="both"/>
        <w:rPr>
          <w:rFonts w:asciiTheme="minorHAnsi" w:hAnsiTheme="minorHAnsi"/>
          <w:color w:val="2B2B2B"/>
        </w:rPr>
      </w:pPr>
      <w:r w:rsidRPr="00084116">
        <w:rPr>
          <w:rFonts w:asciiTheme="minorHAnsi" w:hAnsiTheme="minorHAnsi"/>
          <w:b/>
          <w:color w:val="2B2B2B"/>
          <w:u w:val="single"/>
        </w:rPr>
        <w:t xml:space="preserve">Revisions by </w:t>
      </w:r>
      <w:r w:rsidR="00484BBB" w:rsidRPr="00084116">
        <w:rPr>
          <w:rFonts w:asciiTheme="minorHAnsi" w:hAnsiTheme="minorHAnsi"/>
          <w:b/>
          <w:color w:val="2B2B2B"/>
          <w:u w:val="single"/>
        </w:rPr>
        <w:t>SEBI</w:t>
      </w:r>
      <w:r>
        <w:rPr>
          <w:rFonts w:asciiTheme="minorHAnsi" w:hAnsiTheme="minorHAnsi"/>
          <w:color w:val="2B2B2B"/>
        </w:rPr>
        <w:t>: SEBI</w:t>
      </w:r>
      <w:r w:rsidR="00484BBB" w:rsidRPr="00484BBB">
        <w:rPr>
          <w:rFonts w:asciiTheme="minorHAnsi" w:hAnsiTheme="minorHAnsi"/>
          <w:color w:val="2B2B2B"/>
        </w:rPr>
        <w:t xml:space="preserve"> has sought to revise this to ‘not less than 50 per cent’ for institutional investors, and ‘not more than 50 per cent’ for non-institutional investors.</w:t>
      </w:r>
    </w:p>
    <w:p w:rsidR="00484BBB" w:rsidRDefault="00C4494A" w:rsidP="00AC31C2">
      <w:pPr>
        <w:pStyle w:val="ListParagraph"/>
        <w:numPr>
          <w:ilvl w:val="0"/>
          <w:numId w:val="7"/>
        </w:numPr>
        <w:shd w:val="clear" w:color="auto" w:fill="FFFFFF"/>
        <w:spacing w:before="160" w:after="0" w:line="360" w:lineRule="auto"/>
        <w:jc w:val="both"/>
        <w:rPr>
          <w:rFonts w:asciiTheme="minorHAnsi" w:hAnsiTheme="minorHAnsi"/>
          <w:color w:val="2B2B2B"/>
        </w:rPr>
      </w:pPr>
      <w:r w:rsidRPr="00C4494A">
        <w:rPr>
          <w:rFonts w:asciiTheme="minorHAnsi" w:hAnsiTheme="minorHAnsi"/>
          <w:b/>
          <w:color w:val="2B2B2B"/>
          <w:u w:val="single"/>
        </w:rPr>
        <w:t>Barriers:</w:t>
      </w:r>
      <w:r>
        <w:rPr>
          <w:rFonts w:asciiTheme="minorHAnsi" w:hAnsiTheme="minorHAnsi"/>
          <w:color w:val="2B2B2B"/>
        </w:rPr>
        <w:t xml:space="preserve"> </w:t>
      </w:r>
      <w:r w:rsidR="00484BBB" w:rsidRPr="00484BBB">
        <w:rPr>
          <w:rFonts w:asciiTheme="minorHAnsi" w:hAnsiTheme="minorHAnsi"/>
          <w:color w:val="2B2B2B"/>
        </w:rPr>
        <w:t>They are barriers that distort valuation. Rightly, the paper seeks to junk the present cap on post-issue capital, which mandates that no person, individually or collectively with persons acting in concert, shall hold 25 per cent or higher stake in an entity on ITP.</w:t>
      </w:r>
    </w:p>
    <w:p w:rsidR="00484BBB" w:rsidRDefault="00C4494A" w:rsidP="00AC31C2">
      <w:pPr>
        <w:pStyle w:val="ListParagraph"/>
        <w:numPr>
          <w:ilvl w:val="0"/>
          <w:numId w:val="7"/>
        </w:numPr>
        <w:shd w:val="clear" w:color="auto" w:fill="FFFFFF"/>
        <w:spacing w:before="160" w:after="0" w:line="360" w:lineRule="auto"/>
        <w:jc w:val="both"/>
        <w:rPr>
          <w:rFonts w:asciiTheme="minorHAnsi" w:hAnsiTheme="minorHAnsi"/>
          <w:color w:val="2B2B2B"/>
        </w:rPr>
      </w:pPr>
      <w:r w:rsidRPr="00C4494A">
        <w:rPr>
          <w:rFonts w:asciiTheme="minorHAnsi" w:hAnsiTheme="minorHAnsi"/>
          <w:b/>
          <w:color w:val="2B2B2B"/>
          <w:u w:val="single"/>
        </w:rPr>
        <w:t>Raising the ceiling:</w:t>
      </w:r>
      <w:r>
        <w:rPr>
          <w:rFonts w:asciiTheme="minorHAnsi" w:hAnsiTheme="minorHAnsi"/>
          <w:color w:val="2B2B2B"/>
        </w:rPr>
        <w:t xml:space="preserve"> </w:t>
      </w:r>
      <w:r w:rsidR="00084116">
        <w:rPr>
          <w:rFonts w:asciiTheme="minorHAnsi" w:hAnsiTheme="minorHAnsi"/>
          <w:color w:val="2B2B2B"/>
        </w:rPr>
        <w:t>T</w:t>
      </w:r>
      <w:r w:rsidR="00484BBB">
        <w:rPr>
          <w:rFonts w:asciiTheme="minorHAnsi" w:hAnsiTheme="minorHAnsi"/>
          <w:color w:val="2B2B2B"/>
        </w:rPr>
        <w:t>he SEBI</w:t>
      </w:r>
      <w:r w:rsidR="00484BBB" w:rsidRPr="00484BBB">
        <w:rPr>
          <w:rFonts w:asciiTheme="minorHAnsi" w:hAnsiTheme="minorHAnsi"/>
          <w:color w:val="2B2B2B"/>
        </w:rPr>
        <w:t xml:space="preserve"> paper seeks to raise the ceiling on allotment to individual institutional investors from 10 per cent to 25 per cent.</w:t>
      </w:r>
    </w:p>
    <w:p w:rsidR="00484BBB" w:rsidRDefault="00C4494A" w:rsidP="00AC31C2">
      <w:pPr>
        <w:pStyle w:val="ListParagraph"/>
        <w:numPr>
          <w:ilvl w:val="0"/>
          <w:numId w:val="7"/>
        </w:numPr>
        <w:shd w:val="clear" w:color="auto" w:fill="FFFFFF"/>
        <w:spacing w:before="160" w:after="0" w:line="360" w:lineRule="auto"/>
        <w:jc w:val="both"/>
        <w:rPr>
          <w:rFonts w:asciiTheme="minorHAnsi" w:hAnsiTheme="minorHAnsi"/>
          <w:color w:val="2B2B2B"/>
        </w:rPr>
      </w:pPr>
      <w:r>
        <w:rPr>
          <w:rFonts w:asciiTheme="minorHAnsi" w:hAnsiTheme="minorHAnsi"/>
          <w:color w:val="2B2B2B"/>
        </w:rPr>
        <w:t>R</w:t>
      </w:r>
      <w:r w:rsidR="00484BBB" w:rsidRPr="00484BBB">
        <w:rPr>
          <w:rFonts w:asciiTheme="minorHAnsi" w:hAnsiTheme="minorHAnsi"/>
          <w:color w:val="2B2B2B"/>
        </w:rPr>
        <w:t xml:space="preserve">aising the limit to 15 per cent would be more market friendly, especially as the definition of institutional investor is sought to be broadened to include family trusts and s, etc, with net worth of more than Rs 500 crore. </w:t>
      </w:r>
    </w:p>
    <w:p w:rsidR="00484BBB" w:rsidRPr="00484BBB" w:rsidRDefault="00484BBB" w:rsidP="00AC31C2">
      <w:pPr>
        <w:pStyle w:val="ListParagraph"/>
        <w:numPr>
          <w:ilvl w:val="0"/>
          <w:numId w:val="7"/>
        </w:numPr>
        <w:shd w:val="clear" w:color="auto" w:fill="FFFFFF"/>
        <w:spacing w:before="160" w:after="0" w:line="360" w:lineRule="auto"/>
        <w:jc w:val="both"/>
        <w:rPr>
          <w:rFonts w:asciiTheme="minorHAnsi" w:hAnsiTheme="minorHAnsi"/>
          <w:color w:val="2B2B2B"/>
        </w:rPr>
      </w:pPr>
      <w:r w:rsidRPr="00484BBB">
        <w:rPr>
          <w:rFonts w:asciiTheme="minorHAnsi" w:hAnsiTheme="minorHAnsi"/>
          <w:color w:val="2B2B2B"/>
        </w:rPr>
        <w:t>Further, while there is now no scope for market making on ITP, the move to mandate doing so for issue sizes of less than Rs 100 crore and a minimum period of three years is sensible and forward looking.</w:t>
      </w:r>
    </w:p>
    <w:p w:rsidR="00AC31C2" w:rsidRDefault="00AC31C2" w:rsidP="00AC31C2">
      <w:pPr>
        <w:shd w:val="clear" w:color="auto" w:fill="FFFFFF"/>
        <w:spacing w:after="0" w:line="360" w:lineRule="auto"/>
        <w:jc w:val="both"/>
        <w:rPr>
          <w:rFonts w:asciiTheme="minorHAnsi" w:hAnsiTheme="minorHAnsi"/>
        </w:rPr>
      </w:pPr>
    </w:p>
    <w:p w:rsidR="00AC31C2" w:rsidRDefault="00AC31C2" w:rsidP="00AC31C2">
      <w:pPr>
        <w:shd w:val="clear" w:color="auto" w:fill="FFFFFF"/>
        <w:spacing w:after="0" w:line="360" w:lineRule="auto"/>
        <w:jc w:val="both"/>
        <w:rPr>
          <w:rFonts w:asciiTheme="minorHAnsi" w:hAnsiTheme="minorHAnsi"/>
        </w:rPr>
      </w:pPr>
    </w:p>
    <w:p w:rsidR="00484BBB" w:rsidRDefault="00C4494A" w:rsidP="00AC31C2">
      <w:pPr>
        <w:shd w:val="clear" w:color="auto" w:fill="FFFFFF"/>
        <w:spacing w:after="0" w:line="360" w:lineRule="auto"/>
        <w:jc w:val="both"/>
        <w:rPr>
          <w:rFonts w:asciiTheme="minorHAnsi" w:hAnsiTheme="minorHAnsi"/>
        </w:rPr>
      </w:pPr>
      <w:r>
        <w:rPr>
          <w:rFonts w:asciiTheme="minorHAnsi" w:hAnsiTheme="minorHAnsi"/>
        </w:rPr>
        <w:lastRenderedPageBreak/>
        <w:t>KEY WORDS</w:t>
      </w:r>
    </w:p>
    <w:p w:rsidR="00C4494A" w:rsidRDefault="00C4494A" w:rsidP="00AC31C2">
      <w:pPr>
        <w:shd w:val="clear" w:color="auto" w:fill="FFFFFF"/>
        <w:spacing w:after="0" w:line="360" w:lineRule="auto"/>
        <w:jc w:val="both"/>
        <w:rPr>
          <w:rFonts w:asciiTheme="minorHAnsi" w:hAnsiTheme="minorHAnsi"/>
        </w:rPr>
      </w:pPr>
    </w:p>
    <w:p w:rsidR="00C4494A" w:rsidRPr="00084116" w:rsidRDefault="00084116" w:rsidP="00AC31C2">
      <w:pPr>
        <w:pStyle w:val="ListParagraph"/>
        <w:numPr>
          <w:ilvl w:val="0"/>
          <w:numId w:val="8"/>
        </w:numPr>
        <w:shd w:val="clear" w:color="auto" w:fill="FFFFFF"/>
        <w:spacing w:after="0" w:line="360" w:lineRule="auto"/>
        <w:jc w:val="both"/>
        <w:rPr>
          <w:rFonts w:asciiTheme="minorHAnsi" w:hAnsiTheme="minorHAnsi"/>
        </w:rPr>
      </w:pPr>
      <w:r w:rsidRPr="003C7AEB">
        <w:rPr>
          <w:rFonts w:asciiTheme="minorHAnsi" w:hAnsiTheme="minorHAnsi"/>
          <w:u w:val="single"/>
        </w:rPr>
        <w:t>SEBI:</w:t>
      </w:r>
      <w:r>
        <w:rPr>
          <w:rFonts w:asciiTheme="minorHAnsi" w:hAnsiTheme="minorHAnsi"/>
        </w:rPr>
        <w:t xml:space="preserve"> </w:t>
      </w:r>
      <w:r w:rsidRPr="00084116">
        <w:rPr>
          <w:rFonts w:asciiTheme="minorHAnsi" w:hAnsiTheme="minorHAnsi" w:cs="Arial"/>
          <w:shd w:val="clear" w:color="auto" w:fill="FFFFFF"/>
        </w:rPr>
        <w:t>The</w:t>
      </w:r>
      <w:r w:rsidRPr="00084116">
        <w:rPr>
          <w:rStyle w:val="apple-converted-space"/>
          <w:rFonts w:asciiTheme="minorHAnsi" w:hAnsiTheme="minorHAnsi" w:cs="Arial"/>
          <w:shd w:val="clear" w:color="auto" w:fill="FFFFFF"/>
        </w:rPr>
        <w:t> </w:t>
      </w:r>
      <w:r w:rsidRPr="00084116">
        <w:rPr>
          <w:rFonts w:asciiTheme="minorHAnsi" w:hAnsiTheme="minorHAnsi" w:cs="Arial"/>
          <w:b/>
          <w:bCs/>
          <w:shd w:val="clear" w:color="auto" w:fill="FFFFFF"/>
        </w:rPr>
        <w:t>Securities and Exchange Board of India</w:t>
      </w:r>
      <w:r w:rsidRPr="00084116">
        <w:rPr>
          <w:rStyle w:val="apple-converted-space"/>
          <w:rFonts w:asciiTheme="minorHAnsi" w:hAnsiTheme="minorHAnsi" w:cs="Arial"/>
          <w:shd w:val="clear" w:color="auto" w:fill="FFFFFF"/>
        </w:rPr>
        <w:t> </w:t>
      </w:r>
      <w:r w:rsidRPr="00084116">
        <w:rPr>
          <w:rFonts w:asciiTheme="minorHAnsi" w:hAnsiTheme="minorHAnsi" w:cs="Arial"/>
          <w:shd w:val="clear" w:color="auto" w:fill="FFFFFF"/>
        </w:rPr>
        <w:t>(</w:t>
      </w:r>
      <w:r w:rsidRPr="00084116">
        <w:rPr>
          <w:rFonts w:asciiTheme="minorHAnsi" w:hAnsiTheme="minorHAnsi" w:cs="Arial"/>
          <w:b/>
          <w:bCs/>
          <w:shd w:val="clear" w:color="auto" w:fill="FFFFFF"/>
        </w:rPr>
        <w:t>SEBI</w:t>
      </w:r>
      <w:r w:rsidRPr="00084116">
        <w:rPr>
          <w:rFonts w:asciiTheme="minorHAnsi" w:hAnsiTheme="minorHAnsi" w:cs="Arial"/>
          <w:shd w:val="clear" w:color="auto" w:fill="FFFFFF"/>
        </w:rPr>
        <w:t>) is the</w:t>
      </w:r>
      <w:r w:rsidRPr="00084116">
        <w:rPr>
          <w:rStyle w:val="apple-converted-space"/>
          <w:rFonts w:asciiTheme="minorHAnsi" w:hAnsiTheme="minorHAnsi" w:cs="Arial"/>
          <w:shd w:val="clear" w:color="auto" w:fill="FFFFFF"/>
        </w:rPr>
        <w:t> </w:t>
      </w:r>
      <w:hyperlink r:id="rId7" w:tooltip="Regulatory agency" w:history="1">
        <w:r w:rsidRPr="00084116">
          <w:rPr>
            <w:rStyle w:val="Hyperlink"/>
            <w:rFonts w:asciiTheme="minorHAnsi" w:hAnsiTheme="minorHAnsi" w:cs="Arial"/>
            <w:color w:val="auto"/>
            <w:u w:val="none"/>
            <w:shd w:val="clear" w:color="auto" w:fill="FFFFFF"/>
          </w:rPr>
          <w:t>regulator</w:t>
        </w:r>
      </w:hyperlink>
      <w:r w:rsidRPr="00084116">
        <w:rPr>
          <w:rStyle w:val="apple-converted-space"/>
          <w:rFonts w:asciiTheme="minorHAnsi" w:hAnsiTheme="minorHAnsi" w:cs="Arial"/>
          <w:shd w:val="clear" w:color="auto" w:fill="FFFFFF"/>
        </w:rPr>
        <w:t> </w:t>
      </w:r>
      <w:r w:rsidRPr="00084116">
        <w:rPr>
          <w:rFonts w:asciiTheme="minorHAnsi" w:hAnsiTheme="minorHAnsi" w:cs="Arial"/>
          <w:shd w:val="clear" w:color="auto" w:fill="FFFFFF"/>
        </w:rPr>
        <w:t>for the</w:t>
      </w:r>
      <w:r w:rsidRPr="00084116">
        <w:rPr>
          <w:rStyle w:val="apple-converted-space"/>
          <w:rFonts w:asciiTheme="minorHAnsi" w:hAnsiTheme="minorHAnsi" w:cs="Arial"/>
          <w:shd w:val="clear" w:color="auto" w:fill="FFFFFF"/>
        </w:rPr>
        <w:t> </w:t>
      </w:r>
      <w:hyperlink r:id="rId8" w:tooltip="Securities" w:history="1">
        <w:r w:rsidRPr="00084116">
          <w:rPr>
            <w:rStyle w:val="Hyperlink"/>
            <w:rFonts w:asciiTheme="minorHAnsi" w:hAnsiTheme="minorHAnsi" w:cs="Arial"/>
            <w:color w:val="auto"/>
            <w:u w:val="none"/>
            <w:shd w:val="clear" w:color="auto" w:fill="FFFFFF"/>
          </w:rPr>
          <w:t>securities</w:t>
        </w:r>
      </w:hyperlink>
      <w:r w:rsidRPr="00084116">
        <w:rPr>
          <w:rStyle w:val="apple-converted-space"/>
          <w:rFonts w:asciiTheme="minorHAnsi" w:hAnsiTheme="minorHAnsi" w:cs="Arial"/>
          <w:shd w:val="clear" w:color="auto" w:fill="FFFFFF"/>
        </w:rPr>
        <w:t> </w:t>
      </w:r>
      <w:r w:rsidRPr="00084116">
        <w:rPr>
          <w:rFonts w:asciiTheme="minorHAnsi" w:hAnsiTheme="minorHAnsi" w:cs="Arial"/>
          <w:shd w:val="clear" w:color="auto" w:fill="FFFFFF"/>
        </w:rPr>
        <w:t>market in India. It was established in the year 1988 and given statutory powers on 12 April 1992 through the</w:t>
      </w:r>
      <w:r w:rsidRPr="00084116">
        <w:rPr>
          <w:rStyle w:val="apple-converted-space"/>
          <w:rFonts w:asciiTheme="minorHAnsi" w:hAnsiTheme="minorHAnsi" w:cs="Arial"/>
          <w:shd w:val="clear" w:color="auto" w:fill="FFFFFF"/>
        </w:rPr>
        <w:t> </w:t>
      </w:r>
      <w:hyperlink r:id="rId9" w:tooltip="Securities and Exchange Board of India Act, 1992" w:history="1">
        <w:r w:rsidRPr="00084116">
          <w:rPr>
            <w:rStyle w:val="Hyperlink"/>
            <w:rFonts w:asciiTheme="minorHAnsi" w:hAnsiTheme="minorHAnsi" w:cs="Arial"/>
            <w:color w:val="auto"/>
            <w:u w:val="none"/>
            <w:shd w:val="clear" w:color="auto" w:fill="FFFFFF"/>
          </w:rPr>
          <w:t>SEBI Act, 1992</w:t>
        </w:r>
      </w:hyperlink>
      <w:r w:rsidRPr="00084116">
        <w:rPr>
          <w:rFonts w:asciiTheme="minorHAnsi" w:hAnsiTheme="minorHAnsi" w:cs="Arial"/>
          <w:shd w:val="clear" w:color="auto" w:fill="FFFFFF"/>
        </w:rPr>
        <w:t>.</w:t>
      </w:r>
      <w:r w:rsidRPr="00084116">
        <w:rPr>
          <w:rFonts w:asciiTheme="minorHAnsi" w:hAnsiTheme="minorHAnsi"/>
        </w:rPr>
        <w:t xml:space="preserve"> </w:t>
      </w:r>
    </w:p>
    <w:p w:rsidR="00C4494A" w:rsidRPr="00C4494A" w:rsidRDefault="00C4494A" w:rsidP="00AC31C2">
      <w:pPr>
        <w:pStyle w:val="ListParagraph"/>
        <w:numPr>
          <w:ilvl w:val="0"/>
          <w:numId w:val="8"/>
        </w:numPr>
        <w:shd w:val="clear" w:color="auto" w:fill="FFFFFF"/>
        <w:spacing w:after="0" w:line="360" w:lineRule="auto"/>
        <w:jc w:val="both"/>
        <w:rPr>
          <w:rFonts w:asciiTheme="minorHAnsi" w:hAnsiTheme="minorHAnsi"/>
        </w:rPr>
      </w:pPr>
      <w:r w:rsidRPr="003C7AEB">
        <w:rPr>
          <w:rFonts w:asciiTheme="minorHAnsi" w:hAnsiTheme="minorHAnsi"/>
          <w:u w:val="single"/>
        </w:rPr>
        <w:t>INSTITUTIONAL INVESTORS</w:t>
      </w:r>
      <w:r>
        <w:rPr>
          <w:rFonts w:asciiTheme="minorHAnsi" w:hAnsiTheme="minorHAnsi"/>
        </w:rPr>
        <w:t xml:space="preserve">: </w:t>
      </w:r>
      <w:r w:rsidRPr="00C4494A">
        <w:rPr>
          <w:rFonts w:asciiTheme="minorHAnsi" w:hAnsiTheme="minorHAnsi" w:cs="Arial"/>
          <w:bCs/>
          <w:shd w:val="clear" w:color="auto" w:fill="FFFFFF"/>
        </w:rPr>
        <w:t>Institutional investor</w:t>
      </w:r>
      <w:r w:rsidRPr="00C4494A">
        <w:rPr>
          <w:rStyle w:val="apple-converted-space"/>
          <w:rFonts w:asciiTheme="minorHAnsi" w:hAnsiTheme="minorHAnsi" w:cs="Arial"/>
          <w:shd w:val="clear" w:color="auto" w:fill="FFFFFF"/>
        </w:rPr>
        <w:t> </w:t>
      </w:r>
      <w:r w:rsidRPr="00C4494A">
        <w:rPr>
          <w:rFonts w:asciiTheme="minorHAnsi" w:hAnsiTheme="minorHAnsi" w:cs="Arial"/>
          <w:shd w:val="clear" w:color="auto" w:fill="FFFFFF"/>
        </w:rPr>
        <w:t>is a term for entities which pool money to purchase</w:t>
      </w:r>
      <w:r w:rsidRPr="00C4494A">
        <w:rPr>
          <w:rStyle w:val="apple-converted-space"/>
          <w:rFonts w:asciiTheme="minorHAnsi" w:hAnsiTheme="minorHAnsi" w:cs="Arial"/>
          <w:shd w:val="clear" w:color="auto" w:fill="FFFFFF"/>
        </w:rPr>
        <w:t> </w:t>
      </w:r>
      <w:hyperlink r:id="rId10" w:tooltip="Security (finance)" w:history="1">
        <w:r w:rsidRPr="00C4494A">
          <w:rPr>
            <w:rStyle w:val="Hyperlink"/>
            <w:rFonts w:asciiTheme="minorHAnsi" w:hAnsiTheme="minorHAnsi" w:cs="Arial"/>
            <w:color w:val="auto"/>
            <w:u w:val="none"/>
            <w:shd w:val="clear" w:color="auto" w:fill="FFFFFF"/>
          </w:rPr>
          <w:t>securities</w:t>
        </w:r>
      </w:hyperlink>
      <w:r w:rsidRPr="00C4494A">
        <w:rPr>
          <w:rFonts w:asciiTheme="minorHAnsi" w:hAnsiTheme="minorHAnsi" w:cs="Arial"/>
          <w:shd w:val="clear" w:color="auto" w:fill="FFFFFF"/>
        </w:rPr>
        <w:t>,</w:t>
      </w:r>
      <w:r w:rsidRPr="00C4494A">
        <w:rPr>
          <w:rStyle w:val="apple-converted-space"/>
          <w:rFonts w:asciiTheme="minorHAnsi" w:hAnsiTheme="minorHAnsi" w:cs="Arial"/>
          <w:shd w:val="clear" w:color="auto" w:fill="FFFFFF"/>
        </w:rPr>
        <w:t> </w:t>
      </w:r>
      <w:hyperlink r:id="rId11" w:tooltip="Real property" w:history="1">
        <w:r w:rsidRPr="00C4494A">
          <w:rPr>
            <w:rStyle w:val="Hyperlink"/>
            <w:rFonts w:asciiTheme="minorHAnsi" w:hAnsiTheme="minorHAnsi" w:cs="Arial"/>
            <w:color w:val="auto"/>
            <w:u w:val="none"/>
            <w:shd w:val="clear" w:color="auto" w:fill="FFFFFF"/>
          </w:rPr>
          <w:t>real property</w:t>
        </w:r>
      </w:hyperlink>
      <w:r w:rsidRPr="00C4494A">
        <w:rPr>
          <w:rFonts w:asciiTheme="minorHAnsi" w:hAnsiTheme="minorHAnsi" w:cs="Arial"/>
          <w:shd w:val="clear" w:color="auto" w:fill="FFFFFF"/>
        </w:rPr>
        <w:t>, and other investment assets or originate loans. Institutional investors include</w:t>
      </w:r>
      <w:r>
        <w:rPr>
          <w:rFonts w:asciiTheme="minorHAnsi" w:hAnsiTheme="minorHAnsi" w:cs="Arial"/>
          <w:shd w:val="clear" w:color="auto" w:fill="FFFFFF"/>
        </w:rPr>
        <w:t xml:space="preserve"> </w:t>
      </w:r>
      <w:hyperlink r:id="rId12" w:tooltip="Bank" w:history="1">
        <w:r w:rsidRPr="00C4494A">
          <w:rPr>
            <w:rStyle w:val="Hyperlink"/>
            <w:rFonts w:asciiTheme="minorHAnsi" w:hAnsiTheme="minorHAnsi" w:cs="Arial"/>
            <w:color w:val="auto"/>
            <w:u w:val="none"/>
            <w:shd w:val="clear" w:color="auto" w:fill="FFFFFF"/>
          </w:rPr>
          <w:t>banks</w:t>
        </w:r>
      </w:hyperlink>
      <w:r w:rsidRPr="00C4494A">
        <w:rPr>
          <w:rFonts w:asciiTheme="minorHAnsi" w:hAnsiTheme="minorHAnsi" w:cs="Arial"/>
          <w:shd w:val="clear" w:color="auto" w:fill="FFFFFF"/>
        </w:rPr>
        <w:t>,</w:t>
      </w:r>
      <w:r w:rsidRPr="00C4494A">
        <w:rPr>
          <w:rStyle w:val="apple-converted-space"/>
          <w:rFonts w:asciiTheme="minorHAnsi" w:hAnsiTheme="minorHAnsi" w:cs="Arial"/>
          <w:shd w:val="clear" w:color="auto" w:fill="FFFFFF"/>
        </w:rPr>
        <w:t> </w:t>
      </w:r>
      <w:hyperlink r:id="rId13" w:tooltip="Insurance" w:history="1">
        <w:r w:rsidRPr="00C4494A">
          <w:rPr>
            <w:rStyle w:val="Hyperlink"/>
            <w:rFonts w:asciiTheme="minorHAnsi" w:hAnsiTheme="minorHAnsi" w:cs="Arial"/>
            <w:color w:val="auto"/>
            <w:u w:val="none"/>
            <w:shd w:val="clear" w:color="auto" w:fill="FFFFFF"/>
          </w:rPr>
          <w:t>insurance companies</w:t>
        </w:r>
      </w:hyperlink>
      <w:r w:rsidRPr="00C4494A">
        <w:rPr>
          <w:rFonts w:asciiTheme="minorHAnsi" w:hAnsiTheme="minorHAnsi" w:cs="Arial"/>
          <w:shd w:val="clear" w:color="auto" w:fill="FFFFFF"/>
        </w:rPr>
        <w:t>,</w:t>
      </w:r>
      <w:r w:rsidRPr="00C4494A">
        <w:rPr>
          <w:rStyle w:val="apple-converted-space"/>
          <w:rFonts w:asciiTheme="minorHAnsi" w:hAnsiTheme="minorHAnsi" w:cs="Arial"/>
          <w:shd w:val="clear" w:color="auto" w:fill="FFFFFF"/>
        </w:rPr>
        <w:t> </w:t>
      </w:r>
      <w:hyperlink r:id="rId14" w:tooltip="Pension" w:history="1">
        <w:r w:rsidRPr="00C4494A">
          <w:rPr>
            <w:rStyle w:val="Hyperlink"/>
            <w:rFonts w:asciiTheme="minorHAnsi" w:hAnsiTheme="minorHAnsi" w:cs="Arial"/>
            <w:color w:val="auto"/>
            <w:u w:val="none"/>
            <w:shd w:val="clear" w:color="auto" w:fill="FFFFFF"/>
          </w:rPr>
          <w:t>pensions</w:t>
        </w:r>
      </w:hyperlink>
      <w:r w:rsidRPr="00C4494A">
        <w:rPr>
          <w:rFonts w:asciiTheme="minorHAnsi" w:hAnsiTheme="minorHAnsi" w:cs="Arial"/>
          <w:shd w:val="clear" w:color="auto" w:fill="FFFFFF"/>
        </w:rPr>
        <w:t>,</w:t>
      </w:r>
      <w:r w:rsidRPr="00C4494A">
        <w:rPr>
          <w:rStyle w:val="apple-converted-space"/>
          <w:rFonts w:asciiTheme="minorHAnsi" w:hAnsiTheme="minorHAnsi" w:cs="Arial"/>
          <w:shd w:val="clear" w:color="auto" w:fill="FFFFFF"/>
        </w:rPr>
        <w:t> </w:t>
      </w:r>
      <w:hyperlink r:id="rId15" w:tooltip="Hedge fund" w:history="1">
        <w:r w:rsidRPr="00C4494A">
          <w:rPr>
            <w:rStyle w:val="Hyperlink"/>
            <w:rFonts w:asciiTheme="minorHAnsi" w:hAnsiTheme="minorHAnsi" w:cs="Arial"/>
            <w:color w:val="auto"/>
            <w:u w:val="none"/>
            <w:shd w:val="clear" w:color="auto" w:fill="FFFFFF"/>
          </w:rPr>
          <w:t>hedge funds</w:t>
        </w:r>
      </w:hyperlink>
      <w:r w:rsidRPr="00C4494A">
        <w:rPr>
          <w:rFonts w:asciiTheme="minorHAnsi" w:hAnsiTheme="minorHAnsi" w:cs="Arial"/>
          <w:shd w:val="clear" w:color="auto" w:fill="FFFFFF"/>
        </w:rPr>
        <w:t>,</w:t>
      </w:r>
      <w:r w:rsidRPr="00C4494A">
        <w:rPr>
          <w:rStyle w:val="apple-converted-space"/>
          <w:rFonts w:asciiTheme="minorHAnsi" w:hAnsiTheme="minorHAnsi" w:cs="Arial"/>
          <w:shd w:val="clear" w:color="auto" w:fill="FFFFFF"/>
        </w:rPr>
        <w:t> </w:t>
      </w:r>
      <w:hyperlink r:id="rId16" w:tooltip="REIT" w:history="1">
        <w:r w:rsidRPr="00C4494A">
          <w:rPr>
            <w:rStyle w:val="Hyperlink"/>
            <w:rFonts w:asciiTheme="minorHAnsi" w:hAnsiTheme="minorHAnsi" w:cs="Arial"/>
            <w:color w:val="auto"/>
            <w:u w:val="none"/>
            <w:shd w:val="clear" w:color="auto" w:fill="FFFFFF"/>
          </w:rPr>
          <w:t>REITs</w:t>
        </w:r>
      </w:hyperlink>
      <w:r w:rsidRPr="00C4494A">
        <w:rPr>
          <w:rFonts w:asciiTheme="minorHAnsi" w:hAnsiTheme="minorHAnsi" w:cs="Arial"/>
          <w:shd w:val="clear" w:color="auto" w:fill="FFFFFF"/>
        </w:rPr>
        <w:t>,</w:t>
      </w:r>
      <w:r w:rsidRPr="00C4494A">
        <w:rPr>
          <w:rStyle w:val="apple-converted-space"/>
          <w:rFonts w:asciiTheme="minorHAnsi" w:hAnsiTheme="minorHAnsi" w:cs="Arial"/>
          <w:shd w:val="clear" w:color="auto" w:fill="FFFFFF"/>
        </w:rPr>
        <w:t> </w:t>
      </w:r>
      <w:hyperlink r:id="rId17" w:tooltip="Registered Investment Advisor" w:history="1">
        <w:r w:rsidRPr="00C4494A">
          <w:rPr>
            <w:rStyle w:val="Hyperlink"/>
            <w:rFonts w:asciiTheme="minorHAnsi" w:hAnsiTheme="minorHAnsi" w:cs="Arial"/>
            <w:color w:val="auto"/>
            <w:u w:val="none"/>
            <w:shd w:val="clear" w:color="auto" w:fill="FFFFFF"/>
          </w:rPr>
          <w:t>investment advisors</w:t>
        </w:r>
      </w:hyperlink>
      <w:r w:rsidRPr="00C4494A">
        <w:rPr>
          <w:rFonts w:asciiTheme="minorHAnsi" w:hAnsiTheme="minorHAnsi" w:cs="Arial"/>
          <w:shd w:val="clear" w:color="auto" w:fill="FFFFFF"/>
        </w:rPr>
        <w:t>,</w:t>
      </w:r>
      <w:r w:rsidRPr="00C4494A">
        <w:rPr>
          <w:rStyle w:val="apple-converted-space"/>
          <w:rFonts w:asciiTheme="minorHAnsi" w:hAnsiTheme="minorHAnsi" w:cs="Arial"/>
          <w:shd w:val="clear" w:color="auto" w:fill="FFFFFF"/>
        </w:rPr>
        <w:t> </w:t>
      </w:r>
      <w:hyperlink r:id="rId18" w:tooltip="Financial endowment" w:history="1">
        <w:r w:rsidRPr="00C4494A">
          <w:rPr>
            <w:rStyle w:val="Hyperlink"/>
            <w:rFonts w:asciiTheme="minorHAnsi" w:hAnsiTheme="minorHAnsi" w:cs="Arial"/>
            <w:color w:val="auto"/>
            <w:u w:val="none"/>
            <w:shd w:val="clear" w:color="auto" w:fill="FFFFFF"/>
          </w:rPr>
          <w:t>endowments</w:t>
        </w:r>
      </w:hyperlink>
      <w:r w:rsidRPr="00C4494A">
        <w:rPr>
          <w:rFonts w:asciiTheme="minorHAnsi" w:hAnsiTheme="minorHAnsi" w:cs="Arial"/>
          <w:shd w:val="clear" w:color="auto" w:fill="FFFFFF"/>
        </w:rPr>
        <w:t>, and</w:t>
      </w:r>
      <w:r w:rsidRPr="00C4494A">
        <w:rPr>
          <w:rStyle w:val="apple-converted-space"/>
          <w:rFonts w:asciiTheme="minorHAnsi" w:hAnsiTheme="minorHAnsi" w:cs="Arial"/>
          <w:shd w:val="clear" w:color="auto" w:fill="FFFFFF"/>
        </w:rPr>
        <w:t> </w:t>
      </w:r>
      <w:hyperlink r:id="rId19" w:tooltip="Mutual fund" w:history="1">
        <w:r w:rsidRPr="00C4494A">
          <w:rPr>
            <w:rStyle w:val="Hyperlink"/>
            <w:rFonts w:asciiTheme="minorHAnsi" w:hAnsiTheme="minorHAnsi" w:cs="Arial"/>
            <w:color w:val="auto"/>
            <w:u w:val="none"/>
            <w:shd w:val="clear" w:color="auto" w:fill="FFFFFF"/>
          </w:rPr>
          <w:t>mutual funds</w:t>
        </w:r>
      </w:hyperlink>
      <w:r w:rsidRPr="00C4494A">
        <w:rPr>
          <w:rFonts w:asciiTheme="minorHAnsi" w:hAnsiTheme="minorHAnsi" w:cs="Arial"/>
          <w:shd w:val="clear" w:color="auto" w:fill="FFFFFF"/>
        </w:rPr>
        <w:t>.</w:t>
      </w:r>
    </w:p>
    <w:p w:rsidR="00C4494A" w:rsidRPr="00C4494A" w:rsidRDefault="00C4494A" w:rsidP="00AC31C2">
      <w:pPr>
        <w:pStyle w:val="ListParagraph"/>
        <w:numPr>
          <w:ilvl w:val="0"/>
          <w:numId w:val="8"/>
        </w:numPr>
        <w:shd w:val="clear" w:color="auto" w:fill="FFFFFF"/>
        <w:spacing w:after="0" w:line="360" w:lineRule="auto"/>
        <w:jc w:val="both"/>
        <w:rPr>
          <w:rFonts w:asciiTheme="minorHAnsi" w:hAnsiTheme="minorHAnsi"/>
        </w:rPr>
      </w:pPr>
      <w:r w:rsidRPr="003C7AEB">
        <w:rPr>
          <w:rFonts w:asciiTheme="minorHAnsi" w:hAnsiTheme="minorHAnsi"/>
          <w:u w:val="single"/>
        </w:rPr>
        <w:t>NON INSTITUTIONAL INVESTOR</w:t>
      </w:r>
      <w:r w:rsidR="003C7AEB">
        <w:rPr>
          <w:rFonts w:asciiTheme="minorHAnsi" w:hAnsiTheme="minorHAnsi"/>
          <w:u w:val="single"/>
        </w:rPr>
        <w:t>S</w:t>
      </w:r>
      <w:r w:rsidRPr="003C7AEB">
        <w:rPr>
          <w:rFonts w:asciiTheme="minorHAnsi" w:hAnsiTheme="minorHAnsi"/>
          <w:u w:val="single"/>
        </w:rPr>
        <w:t>:</w:t>
      </w:r>
      <w:r w:rsidRPr="003C7AEB">
        <w:rPr>
          <w:rFonts w:asciiTheme="minorHAnsi" w:hAnsiTheme="minorHAnsi"/>
          <w:shd w:val="clear" w:color="auto" w:fill="FFFFFF"/>
        </w:rPr>
        <w:t xml:space="preserve"> </w:t>
      </w:r>
      <w:r w:rsidRPr="00C4494A">
        <w:rPr>
          <w:rFonts w:asciiTheme="minorHAnsi" w:hAnsiTheme="minorHAnsi"/>
          <w:shd w:val="clear" w:color="auto" w:fill="FFFFFF"/>
        </w:rPr>
        <w:t>Non-institutional investors are, by definition, any investors that aren't institutional. That's pretty much everyone who buys and sells debt, equity or other investments through a</w:t>
      </w:r>
      <w:r w:rsidRPr="00C4494A">
        <w:rPr>
          <w:rStyle w:val="apple-converted-space"/>
          <w:rFonts w:asciiTheme="minorHAnsi" w:hAnsiTheme="minorHAnsi"/>
          <w:shd w:val="clear" w:color="auto" w:fill="FFFFFF"/>
        </w:rPr>
        <w:t> </w:t>
      </w:r>
      <w:hyperlink r:id="rId20" w:history="1">
        <w:r w:rsidRPr="00C4494A">
          <w:rPr>
            <w:rStyle w:val="Hyperlink"/>
            <w:rFonts w:asciiTheme="minorHAnsi" w:hAnsiTheme="minorHAnsi"/>
            <w:color w:val="auto"/>
            <w:u w:val="none"/>
          </w:rPr>
          <w:t>broker</w:t>
        </w:r>
      </w:hyperlink>
      <w:r w:rsidRPr="00C4494A">
        <w:rPr>
          <w:rFonts w:asciiTheme="minorHAnsi" w:hAnsiTheme="minorHAnsi"/>
          <w:shd w:val="clear" w:color="auto" w:fill="FFFFFF"/>
        </w:rPr>
        <w:t>, bank,</w:t>
      </w:r>
      <w:r w:rsidRPr="00C4494A">
        <w:rPr>
          <w:rStyle w:val="apple-converted-space"/>
          <w:rFonts w:asciiTheme="minorHAnsi" w:hAnsiTheme="minorHAnsi"/>
          <w:shd w:val="clear" w:color="auto" w:fill="FFFFFF"/>
        </w:rPr>
        <w:t> </w:t>
      </w:r>
      <w:hyperlink r:id="rId21" w:history="1">
        <w:r w:rsidRPr="00C4494A">
          <w:rPr>
            <w:rStyle w:val="Hyperlink"/>
            <w:rFonts w:asciiTheme="minorHAnsi" w:hAnsiTheme="minorHAnsi"/>
            <w:color w:val="auto"/>
            <w:u w:val="none"/>
          </w:rPr>
          <w:t>real estate agent</w:t>
        </w:r>
      </w:hyperlink>
      <w:r w:rsidRPr="00C4494A">
        <w:rPr>
          <w:rStyle w:val="apple-converted-space"/>
          <w:rFonts w:asciiTheme="minorHAnsi" w:hAnsiTheme="minorHAnsi"/>
          <w:shd w:val="clear" w:color="auto" w:fill="FFFFFF"/>
        </w:rPr>
        <w:t> </w:t>
      </w:r>
      <w:r w:rsidRPr="00C4494A">
        <w:rPr>
          <w:rFonts w:asciiTheme="minorHAnsi" w:hAnsiTheme="minorHAnsi"/>
          <w:shd w:val="clear" w:color="auto" w:fill="FFFFFF"/>
        </w:rPr>
        <w:t>and so on. These are the people or organizations that manage their own money, usually to plan for retirement or to save for a large purchase.</w:t>
      </w:r>
    </w:p>
    <w:p w:rsidR="00C4494A" w:rsidRPr="00084116" w:rsidRDefault="00C4494A" w:rsidP="00AC31C2">
      <w:pPr>
        <w:pStyle w:val="ListParagraph"/>
        <w:numPr>
          <w:ilvl w:val="0"/>
          <w:numId w:val="8"/>
        </w:numPr>
        <w:shd w:val="clear" w:color="auto" w:fill="FFFFFF"/>
        <w:spacing w:after="0" w:line="360" w:lineRule="auto"/>
        <w:jc w:val="both"/>
        <w:rPr>
          <w:rFonts w:asciiTheme="minorHAnsi" w:hAnsiTheme="minorHAnsi"/>
        </w:rPr>
      </w:pPr>
      <w:r w:rsidRPr="003C7AEB">
        <w:rPr>
          <w:rFonts w:asciiTheme="minorHAnsi" w:hAnsiTheme="minorHAnsi"/>
          <w:u w:val="single"/>
        </w:rPr>
        <w:t>INITIAL PUBLIC OFFERINGS</w:t>
      </w:r>
      <w:r w:rsidRPr="00C4494A">
        <w:rPr>
          <w:rFonts w:asciiTheme="minorHAnsi" w:hAnsiTheme="minorHAnsi"/>
        </w:rPr>
        <w:t xml:space="preserve">: </w:t>
      </w:r>
      <w:r w:rsidRPr="00C4494A">
        <w:rPr>
          <w:rFonts w:asciiTheme="minorHAnsi" w:hAnsiTheme="minorHAnsi" w:cs="Arial"/>
          <w:bCs/>
          <w:shd w:val="clear" w:color="auto" w:fill="FFFFFF"/>
        </w:rPr>
        <w:t>Initial public offering</w:t>
      </w:r>
      <w:r w:rsidRPr="00C4494A">
        <w:rPr>
          <w:rStyle w:val="apple-converted-space"/>
          <w:rFonts w:asciiTheme="minorHAnsi" w:hAnsiTheme="minorHAnsi" w:cs="Arial"/>
          <w:shd w:val="clear" w:color="auto" w:fill="FFFFFF"/>
        </w:rPr>
        <w:t> </w:t>
      </w:r>
      <w:r w:rsidRPr="00C4494A">
        <w:rPr>
          <w:rFonts w:asciiTheme="minorHAnsi" w:hAnsiTheme="minorHAnsi" w:cs="Arial"/>
          <w:shd w:val="clear" w:color="auto" w:fill="FFFFFF"/>
        </w:rPr>
        <w:t>(</w:t>
      </w:r>
      <w:r w:rsidRPr="00C4494A">
        <w:rPr>
          <w:rFonts w:asciiTheme="minorHAnsi" w:hAnsiTheme="minorHAnsi" w:cs="Arial"/>
          <w:bCs/>
          <w:shd w:val="clear" w:color="auto" w:fill="FFFFFF"/>
        </w:rPr>
        <w:t>IPO</w:t>
      </w:r>
      <w:r w:rsidRPr="00C4494A">
        <w:rPr>
          <w:rFonts w:asciiTheme="minorHAnsi" w:hAnsiTheme="minorHAnsi" w:cs="Arial"/>
          <w:shd w:val="clear" w:color="auto" w:fill="FFFFFF"/>
        </w:rPr>
        <w:t>) or</w:t>
      </w:r>
      <w:r w:rsidRPr="00C4494A">
        <w:rPr>
          <w:rStyle w:val="apple-converted-space"/>
          <w:rFonts w:asciiTheme="minorHAnsi" w:hAnsiTheme="minorHAnsi" w:cs="Arial"/>
          <w:shd w:val="clear" w:color="auto" w:fill="FFFFFF"/>
        </w:rPr>
        <w:t> </w:t>
      </w:r>
      <w:r w:rsidRPr="00C4494A">
        <w:rPr>
          <w:rFonts w:asciiTheme="minorHAnsi" w:hAnsiTheme="minorHAnsi" w:cs="Arial"/>
          <w:bCs/>
          <w:shd w:val="clear" w:color="auto" w:fill="FFFFFF"/>
        </w:rPr>
        <w:t>stock market launch</w:t>
      </w:r>
      <w:r w:rsidRPr="00C4494A">
        <w:rPr>
          <w:rStyle w:val="apple-converted-space"/>
          <w:rFonts w:asciiTheme="minorHAnsi" w:hAnsiTheme="minorHAnsi" w:cs="Arial"/>
          <w:shd w:val="clear" w:color="auto" w:fill="FFFFFF"/>
        </w:rPr>
        <w:t> </w:t>
      </w:r>
      <w:r w:rsidRPr="00C4494A">
        <w:rPr>
          <w:rFonts w:asciiTheme="minorHAnsi" w:hAnsiTheme="minorHAnsi" w:cs="Arial"/>
          <w:shd w:val="clear" w:color="auto" w:fill="FFFFFF"/>
        </w:rPr>
        <w:t>is a type of</w:t>
      </w:r>
      <w:r w:rsidRPr="00C4494A">
        <w:rPr>
          <w:rStyle w:val="apple-converted-space"/>
          <w:rFonts w:asciiTheme="minorHAnsi" w:hAnsiTheme="minorHAnsi" w:cs="Arial"/>
          <w:shd w:val="clear" w:color="auto" w:fill="FFFFFF"/>
        </w:rPr>
        <w:t> </w:t>
      </w:r>
      <w:hyperlink r:id="rId22" w:tooltip="Public offering" w:history="1">
        <w:r w:rsidRPr="00C4494A">
          <w:rPr>
            <w:rStyle w:val="Hyperlink"/>
            <w:rFonts w:asciiTheme="minorHAnsi" w:hAnsiTheme="minorHAnsi" w:cs="Arial"/>
            <w:color w:val="auto"/>
            <w:u w:val="none"/>
            <w:shd w:val="clear" w:color="auto" w:fill="FFFFFF"/>
          </w:rPr>
          <w:t>public offering</w:t>
        </w:r>
      </w:hyperlink>
      <w:r w:rsidRPr="00C4494A">
        <w:rPr>
          <w:rStyle w:val="apple-converted-space"/>
          <w:rFonts w:asciiTheme="minorHAnsi" w:hAnsiTheme="minorHAnsi" w:cs="Arial"/>
          <w:shd w:val="clear" w:color="auto" w:fill="FFFFFF"/>
        </w:rPr>
        <w:t> </w:t>
      </w:r>
      <w:r w:rsidRPr="00C4494A">
        <w:rPr>
          <w:rFonts w:asciiTheme="minorHAnsi" w:hAnsiTheme="minorHAnsi" w:cs="Arial"/>
          <w:shd w:val="clear" w:color="auto" w:fill="FFFFFF"/>
        </w:rPr>
        <w:t>in which shares of a company usually are sold to</w:t>
      </w:r>
      <w:r w:rsidRPr="00C4494A">
        <w:rPr>
          <w:rStyle w:val="apple-converted-space"/>
          <w:rFonts w:asciiTheme="minorHAnsi" w:hAnsiTheme="minorHAnsi" w:cs="Arial"/>
          <w:shd w:val="clear" w:color="auto" w:fill="FFFFFF"/>
        </w:rPr>
        <w:t> </w:t>
      </w:r>
      <w:hyperlink r:id="rId23" w:tooltip="Institutional investor" w:history="1">
        <w:r w:rsidRPr="00C4494A">
          <w:rPr>
            <w:rStyle w:val="Hyperlink"/>
            <w:rFonts w:asciiTheme="minorHAnsi" w:hAnsiTheme="minorHAnsi" w:cs="Arial"/>
            <w:color w:val="auto"/>
            <w:u w:val="none"/>
            <w:shd w:val="clear" w:color="auto" w:fill="FFFFFF"/>
          </w:rPr>
          <w:t>institutional investors</w:t>
        </w:r>
      </w:hyperlink>
      <w:hyperlink r:id="rId24" w:anchor="cite_note-1" w:history="1">
        <w:r w:rsidRPr="00C4494A">
          <w:rPr>
            <w:rStyle w:val="Hyperlink"/>
            <w:rFonts w:asciiTheme="minorHAnsi" w:hAnsiTheme="minorHAnsi" w:cs="Arial"/>
            <w:color w:val="auto"/>
            <w:u w:val="none"/>
            <w:shd w:val="clear" w:color="auto" w:fill="FFFFFF"/>
            <w:vertAlign w:val="superscript"/>
          </w:rPr>
          <w:t>[1]</w:t>
        </w:r>
      </w:hyperlink>
      <w:r w:rsidRPr="00C4494A">
        <w:rPr>
          <w:rStyle w:val="apple-converted-space"/>
          <w:rFonts w:asciiTheme="minorHAnsi" w:hAnsiTheme="minorHAnsi" w:cs="Arial"/>
          <w:shd w:val="clear" w:color="auto" w:fill="FFFFFF"/>
        </w:rPr>
        <w:t> </w:t>
      </w:r>
      <w:r w:rsidRPr="00C4494A">
        <w:rPr>
          <w:rFonts w:asciiTheme="minorHAnsi" w:hAnsiTheme="minorHAnsi" w:cs="Arial"/>
          <w:shd w:val="clear" w:color="auto" w:fill="FFFFFF"/>
        </w:rPr>
        <w:t>that in turn, sell to the general public, on a</w:t>
      </w:r>
      <w:r w:rsidRPr="00C4494A">
        <w:rPr>
          <w:rStyle w:val="apple-converted-space"/>
          <w:rFonts w:asciiTheme="minorHAnsi" w:hAnsiTheme="minorHAnsi" w:cs="Arial"/>
          <w:shd w:val="clear" w:color="auto" w:fill="FFFFFF"/>
        </w:rPr>
        <w:t> </w:t>
      </w:r>
      <w:hyperlink r:id="rId25" w:tooltip="Stock exchange" w:history="1">
        <w:r w:rsidRPr="00C4494A">
          <w:rPr>
            <w:rStyle w:val="Hyperlink"/>
            <w:rFonts w:asciiTheme="minorHAnsi" w:hAnsiTheme="minorHAnsi" w:cs="Arial"/>
            <w:color w:val="auto"/>
            <w:u w:val="none"/>
            <w:shd w:val="clear" w:color="auto" w:fill="FFFFFF"/>
          </w:rPr>
          <w:t>securities exchange</w:t>
        </w:r>
      </w:hyperlink>
      <w:r w:rsidRPr="00C4494A">
        <w:rPr>
          <w:rFonts w:asciiTheme="minorHAnsi" w:hAnsiTheme="minorHAnsi" w:cs="Arial"/>
          <w:shd w:val="clear" w:color="auto" w:fill="FFFFFF"/>
        </w:rPr>
        <w:t>, for the first time.</w:t>
      </w:r>
    </w:p>
    <w:p w:rsidR="00084116" w:rsidRPr="003C7AEB" w:rsidRDefault="00084116" w:rsidP="00AC31C2">
      <w:pPr>
        <w:pStyle w:val="ListParagraph"/>
        <w:numPr>
          <w:ilvl w:val="0"/>
          <w:numId w:val="8"/>
        </w:numPr>
        <w:shd w:val="clear" w:color="auto" w:fill="FFFFFF"/>
        <w:spacing w:after="0" w:line="360" w:lineRule="auto"/>
        <w:jc w:val="both"/>
        <w:rPr>
          <w:rFonts w:asciiTheme="minorHAnsi" w:hAnsiTheme="minorHAnsi"/>
        </w:rPr>
      </w:pPr>
      <w:r w:rsidRPr="003C7AEB">
        <w:rPr>
          <w:rFonts w:asciiTheme="minorHAnsi" w:hAnsiTheme="minorHAnsi"/>
          <w:u w:val="single"/>
        </w:rPr>
        <w:t>ITP</w:t>
      </w:r>
      <w:r>
        <w:rPr>
          <w:rFonts w:asciiTheme="minorHAnsi" w:hAnsiTheme="minorHAnsi"/>
        </w:rPr>
        <w:t xml:space="preserve">: </w:t>
      </w:r>
      <w:r w:rsidR="00080298">
        <w:t>The institutional trading platform (ITP) is a new window on stock exchanges where electronic commerce, data analytics, bio-technology and other startups can list and trade on their shares.</w:t>
      </w:r>
    </w:p>
    <w:p w:rsidR="003C7AEB" w:rsidRPr="00EC546E" w:rsidRDefault="003C7AEB" w:rsidP="00AC31C2">
      <w:pPr>
        <w:pStyle w:val="ListParagraph"/>
        <w:numPr>
          <w:ilvl w:val="0"/>
          <w:numId w:val="8"/>
        </w:numPr>
        <w:shd w:val="clear" w:color="auto" w:fill="FFFFFF"/>
        <w:spacing w:after="0" w:line="360" w:lineRule="auto"/>
        <w:jc w:val="both"/>
        <w:rPr>
          <w:rFonts w:asciiTheme="minorHAnsi" w:hAnsiTheme="minorHAnsi"/>
        </w:rPr>
      </w:pPr>
      <w:r>
        <w:rPr>
          <w:rFonts w:asciiTheme="minorHAnsi" w:hAnsiTheme="minorHAnsi"/>
          <w:u w:val="single"/>
        </w:rPr>
        <w:t>SME:</w:t>
      </w:r>
      <w:r>
        <w:rPr>
          <w:rFonts w:asciiTheme="minorHAnsi" w:hAnsiTheme="minorHAnsi"/>
        </w:rPr>
        <w:t xml:space="preserve"> </w:t>
      </w:r>
      <w:r w:rsidR="00EC546E" w:rsidRPr="00EC546E">
        <w:rPr>
          <w:rFonts w:asciiTheme="minorHAnsi" w:hAnsiTheme="minorHAnsi"/>
        </w:rPr>
        <w:t>I</w:t>
      </w:r>
      <w:r w:rsidRPr="00EC546E">
        <w:rPr>
          <w:rFonts w:asciiTheme="minorHAnsi" w:hAnsiTheme="minorHAnsi" w:cs="Arial"/>
        </w:rPr>
        <w:t>ndian Small and Medium Enterprises (SME) sector has emerged as a highly vibrant and dynam</w:t>
      </w:r>
      <w:r w:rsidR="00EC546E">
        <w:rPr>
          <w:rFonts w:asciiTheme="minorHAnsi" w:hAnsiTheme="minorHAnsi" w:cs="Arial"/>
        </w:rPr>
        <w:t xml:space="preserve">ic sector of the Indian economy. </w:t>
      </w:r>
      <w:r w:rsidRPr="00EC546E">
        <w:rPr>
          <w:rFonts w:asciiTheme="minorHAnsi" w:hAnsiTheme="minorHAnsi" w:cs="Arial"/>
        </w:rPr>
        <w:t>SMEs not only play crucial role in providing large employment opportunities at comparatively lower capital cost than large industries but also help in industrialization of rural areas. SMEs are complementary to large industries as ancillary units and this sector contributes enormously to the socio-economic development of the country. The Sector consisting of 3</w:t>
      </w:r>
      <w:r w:rsidR="00EC546E">
        <w:rPr>
          <w:rFonts w:asciiTheme="minorHAnsi" w:hAnsiTheme="minorHAnsi" w:cs="Arial"/>
        </w:rPr>
        <w:t xml:space="preserve">6 million </w:t>
      </w:r>
      <w:proofErr w:type="gramStart"/>
      <w:r w:rsidR="00EC546E">
        <w:rPr>
          <w:rFonts w:asciiTheme="minorHAnsi" w:hAnsiTheme="minorHAnsi" w:cs="Arial"/>
        </w:rPr>
        <w:t>units,</w:t>
      </w:r>
      <w:proofErr w:type="gramEnd"/>
      <w:r w:rsidR="00EC546E">
        <w:rPr>
          <w:rFonts w:asciiTheme="minorHAnsi" w:hAnsiTheme="minorHAnsi" w:cs="Arial"/>
        </w:rPr>
        <w:t xml:space="preserve"> </w:t>
      </w:r>
      <w:r w:rsidRPr="00EC546E">
        <w:rPr>
          <w:rFonts w:asciiTheme="minorHAnsi" w:hAnsiTheme="minorHAnsi" w:cs="Arial"/>
        </w:rPr>
        <w:t>provides employment to over 80 million persons. The Sector through more than 6,000 products contributes about 8% to GDP besides 45% to the total manufacturing output and 40% to the exports from the country. The SME sector has the potential to spread industrial growth across the country and can be a major partner in the process of inclusive growth.</w:t>
      </w:r>
    </w:p>
    <w:sectPr w:rsidR="003C7AEB" w:rsidRPr="00EC546E" w:rsidSect="00816504">
      <w:headerReference w:type="defaul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FFC" w:rsidRDefault="005C7FFC" w:rsidP="00C023B6">
      <w:pPr>
        <w:spacing w:after="0" w:line="240" w:lineRule="auto"/>
      </w:pPr>
      <w:r>
        <w:separator/>
      </w:r>
    </w:p>
  </w:endnote>
  <w:endnote w:type="continuationSeparator" w:id="0">
    <w:p w:rsidR="005C7FFC" w:rsidRDefault="005C7FFC" w:rsidP="00C02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FFC" w:rsidRDefault="005C7FFC" w:rsidP="00C023B6">
      <w:pPr>
        <w:spacing w:after="0" w:line="240" w:lineRule="auto"/>
      </w:pPr>
      <w:r>
        <w:separator/>
      </w:r>
    </w:p>
  </w:footnote>
  <w:footnote w:type="continuationSeparator" w:id="0">
    <w:p w:rsidR="005C7FFC" w:rsidRDefault="005C7FFC" w:rsidP="00C023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3B6" w:rsidRDefault="00C023B6">
    <w:pPr>
      <w:pStyle w:val="Header"/>
    </w:pPr>
    <w:r>
      <w:t>SEPTEMBER 14, 2016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7FBE"/>
    <w:multiLevelType w:val="hybridMultilevel"/>
    <w:tmpl w:val="58541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B5E8D"/>
    <w:multiLevelType w:val="hybridMultilevel"/>
    <w:tmpl w:val="0D82B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DB3261"/>
    <w:multiLevelType w:val="hybridMultilevel"/>
    <w:tmpl w:val="BB8A5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5A7F3C"/>
    <w:multiLevelType w:val="hybridMultilevel"/>
    <w:tmpl w:val="72AC9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D5166"/>
    <w:multiLevelType w:val="hybridMultilevel"/>
    <w:tmpl w:val="EB687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4E31246"/>
    <w:multiLevelType w:val="hybridMultilevel"/>
    <w:tmpl w:val="C50A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327259"/>
    <w:multiLevelType w:val="hybridMultilevel"/>
    <w:tmpl w:val="CB2C1072"/>
    <w:lvl w:ilvl="0" w:tplc="79CAD24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B313D"/>
    <w:multiLevelType w:val="hybridMultilevel"/>
    <w:tmpl w:val="5388E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C023B6"/>
    <w:rsid w:val="00080298"/>
    <w:rsid w:val="00084116"/>
    <w:rsid w:val="00101525"/>
    <w:rsid w:val="00115C98"/>
    <w:rsid w:val="003C7AEB"/>
    <w:rsid w:val="003D3D08"/>
    <w:rsid w:val="00463198"/>
    <w:rsid w:val="00484BBB"/>
    <w:rsid w:val="00510E7B"/>
    <w:rsid w:val="005976D9"/>
    <w:rsid w:val="005C7FFC"/>
    <w:rsid w:val="00816504"/>
    <w:rsid w:val="008527F7"/>
    <w:rsid w:val="009C4E4F"/>
    <w:rsid w:val="00AC31C2"/>
    <w:rsid w:val="00AE7EB7"/>
    <w:rsid w:val="00B8756D"/>
    <w:rsid w:val="00C023B6"/>
    <w:rsid w:val="00C22AC0"/>
    <w:rsid w:val="00C4494A"/>
    <w:rsid w:val="00CE200F"/>
    <w:rsid w:val="00EC546E"/>
    <w:rsid w:val="00F42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B6"/>
    <w:rPr>
      <w:rFonts w:ascii="Calibri" w:eastAsia="Times New Roman"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23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3B6"/>
    <w:rPr>
      <w:rFonts w:ascii="Calibri" w:eastAsia="Times New Roman" w:hAnsi="Calibri" w:cs="Times New Roman"/>
      <w:szCs w:val="22"/>
      <w:lang w:bidi="ar-SA"/>
    </w:rPr>
  </w:style>
  <w:style w:type="paragraph" w:styleId="Footer">
    <w:name w:val="footer"/>
    <w:basedOn w:val="Normal"/>
    <w:link w:val="FooterChar"/>
    <w:uiPriority w:val="99"/>
    <w:semiHidden/>
    <w:unhideWhenUsed/>
    <w:rsid w:val="00C023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23B6"/>
    <w:rPr>
      <w:rFonts w:ascii="Calibri" w:eastAsia="Times New Roman" w:hAnsi="Calibri" w:cs="Times New Roman"/>
      <w:szCs w:val="22"/>
      <w:lang w:bidi="ar-SA"/>
    </w:rPr>
  </w:style>
  <w:style w:type="paragraph" w:styleId="ListParagraph">
    <w:name w:val="List Paragraph"/>
    <w:basedOn w:val="Normal"/>
    <w:uiPriority w:val="34"/>
    <w:qFormat/>
    <w:rsid w:val="00C023B6"/>
    <w:pPr>
      <w:ind w:left="720"/>
      <w:contextualSpacing/>
    </w:pPr>
  </w:style>
  <w:style w:type="character" w:customStyle="1" w:styleId="apple-converted-space">
    <w:name w:val="apple-converted-space"/>
    <w:basedOn w:val="DefaultParagraphFont"/>
    <w:rsid w:val="00C4494A"/>
  </w:style>
  <w:style w:type="character" w:styleId="Hyperlink">
    <w:name w:val="Hyperlink"/>
    <w:basedOn w:val="DefaultParagraphFont"/>
    <w:uiPriority w:val="99"/>
    <w:semiHidden/>
    <w:unhideWhenUsed/>
    <w:rsid w:val="00C4494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urities" TargetMode="External"/><Relationship Id="rId13" Type="http://schemas.openxmlformats.org/officeDocument/2006/relationships/hyperlink" Target="https://en.wikipedia.org/wiki/Insurance" TargetMode="External"/><Relationship Id="rId18" Type="http://schemas.openxmlformats.org/officeDocument/2006/relationships/hyperlink" Target="https://en.wikipedia.org/wiki/Financial_endowmen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investopedia.com/terms/r/realestateagent.asp" TargetMode="External"/><Relationship Id="rId7" Type="http://schemas.openxmlformats.org/officeDocument/2006/relationships/hyperlink" Target="https://en.wikipedia.org/wiki/Regulatory_agency" TargetMode="External"/><Relationship Id="rId12" Type="http://schemas.openxmlformats.org/officeDocument/2006/relationships/hyperlink" Target="https://en.wikipedia.org/wiki/Bank" TargetMode="External"/><Relationship Id="rId17" Type="http://schemas.openxmlformats.org/officeDocument/2006/relationships/hyperlink" Target="https://en.wikipedia.org/wiki/Registered_Investment_Advisor" TargetMode="External"/><Relationship Id="rId25" Type="http://schemas.openxmlformats.org/officeDocument/2006/relationships/hyperlink" Target="https://en.wikipedia.org/wiki/Stock_exchange" TargetMode="External"/><Relationship Id="rId2" Type="http://schemas.openxmlformats.org/officeDocument/2006/relationships/styles" Target="styles.xml"/><Relationship Id="rId16" Type="http://schemas.openxmlformats.org/officeDocument/2006/relationships/hyperlink" Target="https://en.wikipedia.org/wiki/REIT" TargetMode="External"/><Relationship Id="rId20" Type="http://schemas.openxmlformats.org/officeDocument/2006/relationships/hyperlink" Target="http://www.investopedia.com/terms/b/broker.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al_property" TargetMode="External"/><Relationship Id="rId24" Type="http://schemas.openxmlformats.org/officeDocument/2006/relationships/hyperlink" Target="https://en.wikipedia.org/wiki/Initial_public_offering" TargetMode="External"/><Relationship Id="rId5" Type="http://schemas.openxmlformats.org/officeDocument/2006/relationships/footnotes" Target="footnotes.xml"/><Relationship Id="rId15" Type="http://schemas.openxmlformats.org/officeDocument/2006/relationships/hyperlink" Target="https://en.wikipedia.org/wiki/Hedge_fund" TargetMode="External"/><Relationship Id="rId23" Type="http://schemas.openxmlformats.org/officeDocument/2006/relationships/hyperlink" Target="https://en.wikipedia.org/wiki/Institutional_investor" TargetMode="External"/><Relationship Id="rId28" Type="http://schemas.openxmlformats.org/officeDocument/2006/relationships/theme" Target="theme/theme1.xml"/><Relationship Id="rId10" Type="http://schemas.openxmlformats.org/officeDocument/2006/relationships/hyperlink" Target="https://en.wikipedia.org/wiki/Security_(finance)" TargetMode="External"/><Relationship Id="rId19" Type="http://schemas.openxmlformats.org/officeDocument/2006/relationships/hyperlink" Target="https://en.wikipedia.org/wiki/Mutual_fund" TargetMode="External"/><Relationship Id="rId4" Type="http://schemas.openxmlformats.org/officeDocument/2006/relationships/webSettings" Target="webSettings.xml"/><Relationship Id="rId9" Type="http://schemas.openxmlformats.org/officeDocument/2006/relationships/hyperlink" Target="https://en.wikipedia.org/wiki/Securities_and_Exchange_Board_of_India_Act,_1992" TargetMode="External"/><Relationship Id="rId14" Type="http://schemas.openxmlformats.org/officeDocument/2006/relationships/hyperlink" Target="https://en.wikipedia.org/wiki/Pension" TargetMode="External"/><Relationship Id="rId22" Type="http://schemas.openxmlformats.org/officeDocument/2006/relationships/hyperlink" Target="https://en.wikipedia.org/wiki/Public_offe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2016-09-15T17:26:00Z</dcterms:created>
  <dcterms:modified xsi:type="dcterms:W3CDTF">2016-09-15T18:23:00Z</dcterms:modified>
</cp:coreProperties>
</file>