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745"/>
        <w:tblW w:w="16358" w:type="dxa"/>
        <w:tblLayout w:type="fixed"/>
        <w:tblLook w:val="04A0" w:firstRow="1" w:lastRow="0" w:firstColumn="1" w:lastColumn="0" w:noHBand="0" w:noVBand="1"/>
      </w:tblPr>
      <w:tblGrid>
        <w:gridCol w:w="1638"/>
        <w:gridCol w:w="1638"/>
        <w:gridCol w:w="7740"/>
        <w:gridCol w:w="1780"/>
        <w:gridCol w:w="1781"/>
        <w:gridCol w:w="1781"/>
      </w:tblGrid>
      <w:tr w:rsidR="00D5721B" w:rsidRPr="00727E3D" w:rsidTr="00D5721B">
        <w:trPr>
          <w:trHeight w:val="443"/>
        </w:trPr>
        <w:tc>
          <w:tcPr>
            <w:tcW w:w="1638" w:type="dxa"/>
            <w:shd w:val="clear" w:color="auto" w:fill="000000" w:themeFill="text1"/>
          </w:tcPr>
          <w:p w:rsidR="00D5721B" w:rsidRPr="00727E3D" w:rsidRDefault="00D5721B" w:rsidP="003F0DEE">
            <w:pPr>
              <w:tabs>
                <w:tab w:val="left" w:pos="12720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720" w:type="dxa"/>
            <w:gridSpan w:val="5"/>
            <w:shd w:val="clear" w:color="auto" w:fill="000000" w:themeFill="text1"/>
            <w:vAlign w:val="center"/>
          </w:tcPr>
          <w:p w:rsidR="00D5721B" w:rsidRPr="00727E3D" w:rsidRDefault="00D5721B" w:rsidP="003F0DEE">
            <w:pPr>
              <w:tabs>
                <w:tab w:val="left" w:pos="1272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27E3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1915(c) </w:t>
            </w:r>
            <w:r w:rsidRPr="00834C5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Developmental Disabili</w:t>
            </w: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ties Individual Budgeting </w:t>
            </w:r>
            <w:r w:rsidRPr="00727E3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Waiver Performance Measures</w:t>
            </w:r>
          </w:p>
        </w:tc>
      </w:tr>
      <w:tr w:rsidR="00D5721B" w:rsidRPr="00727E3D" w:rsidTr="00A450D6">
        <w:trPr>
          <w:trHeight w:val="614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D5721B" w:rsidRPr="00727E3D" w:rsidRDefault="00187778" w:rsidP="00A450D6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Appendix</w:t>
            </w:r>
          </w:p>
        </w:tc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D5721B" w:rsidRPr="00727E3D" w:rsidRDefault="00D5721B" w:rsidP="00572C96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727E3D">
              <w:rPr>
                <w:rFonts w:ascii="Arial" w:hAnsi="Arial" w:cs="Arial"/>
                <w:b/>
                <w:sz w:val="20"/>
                <w:szCs w:val="22"/>
              </w:rPr>
              <w:t>Performance Measure</w:t>
            </w:r>
          </w:p>
        </w:tc>
        <w:tc>
          <w:tcPr>
            <w:tcW w:w="7740" w:type="dxa"/>
            <w:shd w:val="clear" w:color="auto" w:fill="D9D9D9" w:themeFill="background1" w:themeFillShade="D9"/>
            <w:vAlign w:val="center"/>
          </w:tcPr>
          <w:p w:rsidR="00D5721B" w:rsidRPr="00727E3D" w:rsidRDefault="00D5721B" w:rsidP="00572C96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727E3D">
              <w:rPr>
                <w:rFonts w:ascii="Arial" w:hAnsi="Arial" w:cs="Arial"/>
                <w:b/>
                <w:sz w:val="20"/>
                <w:szCs w:val="22"/>
              </w:rPr>
              <w:t>Description of Measure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:rsidR="00D5721B" w:rsidRPr="00727E3D" w:rsidRDefault="00D5721B" w:rsidP="00572C96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727E3D">
              <w:rPr>
                <w:rFonts w:ascii="Arial" w:hAnsi="Arial" w:cs="Arial"/>
                <w:b/>
                <w:sz w:val="20"/>
                <w:szCs w:val="22"/>
              </w:rPr>
              <w:t>Data Collection Frequency</w:t>
            </w:r>
          </w:p>
        </w:tc>
        <w:tc>
          <w:tcPr>
            <w:tcW w:w="1781" w:type="dxa"/>
            <w:shd w:val="clear" w:color="auto" w:fill="D9D9D9" w:themeFill="background1" w:themeFillShade="D9"/>
            <w:vAlign w:val="center"/>
          </w:tcPr>
          <w:p w:rsidR="00D5721B" w:rsidRPr="00727E3D" w:rsidRDefault="00D5721B" w:rsidP="00572C96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727E3D">
              <w:rPr>
                <w:rFonts w:ascii="Arial" w:hAnsi="Arial" w:cs="Arial"/>
                <w:b/>
                <w:sz w:val="20"/>
                <w:szCs w:val="22"/>
              </w:rPr>
              <w:t>Data Aggregation Frequency</w:t>
            </w:r>
          </w:p>
        </w:tc>
        <w:tc>
          <w:tcPr>
            <w:tcW w:w="1781" w:type="dxa"/>
            <w:shd w:val="clear" w:color="auto" w:fill="D9D9D9" w:themeFill="background1" w:themeFillShade="D9"/>
            <w:vAlign w:val="center"/>
          </w:tcPr>
          <w:p w:rsidR="00D5721B" w:rsidRPr="00727E3D" w:rsidRDefault="00D5721B" w:rsidP="00572C96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727E3D">
              <w:rPr>
                <w:rFonts w:ascii="Arial" w:hAnsi="Arial" w:cs="Arial"/>
                <w:b/>
                <w:sz w:val="20"/>
                <w:szCs w:val="22"/>
              </w:rPr>
              <w:t>Data Source</w:t>
            </w:r>
          </w:p>
        </w:tc>
      </w:tr>
      <w:tr w:rsidR="00D5721B" w:rsidRPr="00ED7A62" w:rsidTr="00634A0D">
        <w:trPr>
          <w:trHeight w:val="551"/>
        </w:trPr>
        <w:tc>
          <w:tcPr>
            <w:tcW w:w="1638" w:type="dxa"/>
            <w:shd w:val="clear" w:color="auto" w:fill="FDE9D9" w:themeFill="accent6" w:themeFillTint="33"/>
            <w:vAlign w:val="center"/>
          </w:tcPr>
          <w:p w:rsidR="00D5721B" w:rsidRPr="00584D34" w:rsidRDefault="00D5721B" w:rsidP="00A450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Appendix B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 w:rsidR="00D5721B" w:rsidRPr="00584D34" w:rsidRDefault="00D5721B" w:rsidP="00572C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LOC 1</w:t>
            </w:r>
          </w:p>
        </w:tc>
        <w:tc>
          <w:tcPr>
            <w:tcW w:w="7740" w:type="dxa"/>
            <w:shd w:val="clear" w:color="auto" w:fill="FDE9D9" w:themeFill="accent6" w:themeFillTint="33"/>
            <w:vAlign w:val="center"/>
          </w:tcPr>
          <w:p w:rsidR="00D5721B" w:rsidRPr="00584D34" w:rsidRDefault="00D5721B" w:rsidP="00834C5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84D34">
              <w:rPr>
                <w:rFonts w:ascii="Arial" w:eastAsia="Times New Roman" w:hAnsi="Arial" w:cs="Arial"/>
                <w:sz w:val="20"/>
                <w:szCs w:val="20"/>
              </w:rPr>
              <w:t>Number and percent of new waiver recipients who have a level of care evaluation prior to receiving services.</w:t>
            </w:r>
            <w:r w:rsidRPr="00834C5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80" w:type="dxa"/>
            <w:shd w:val="clear" w:color="auto" w:fill="FDE9D9" w:themeFill="accent6" w:themeFillTint="33"/>
            <w:vAlign w:val="center"/>
          </w:tcPr>
          <w:p w:rsidR="00D5721B" w:rsidRPr="00584D34" w:rsidRDefault="00D5721B" w:rsidP="00AB39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Continuously and Ongoing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D5721B" w:rsidRPr="00584D34" w:rsidRDefault="00D5721B" w:rsidP="00AB39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Continuously and Ongoing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D5721B" w:rsidRPr="00584D34" w:rsidRDefault="00D5721B" w:rsidP="00572C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APD Enrollment Database</w:t>
            </w:r>
          </w:p>
        </w:tc>
      </w:tr>
      <w:tr w:rsidR="00D5721B" w:rsidRPr="00ED7A62" w:rsidTr="00634A0D">
        <w:trPr>
          <w:trHeight w:val="524"/>
        </w:trPr>
        <w:tc>
          <w:tcPr>
            <w:tcW w:w="1638" w:type="dxa"/>
            <w:shd w:val="clear" w:color="auto" w:fill="FDE9D9" w:themeFill="accent6" w:themeFillTint="33"/>
            <w:vAlign w:val="center"/>
          </w:tcPr>
          <w:p w:rsidR="00D5721B" w:rsidRPr="00584D34" w:rsidRDefault="00634A0D" w:rsidP="00A450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Appendix C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 w:rsidR="00D5721B" w:rsidRPr="00584D34" w:rsidRDefault="00D5721B" w:rsidP="00AB39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QP 1</w:t>
            </w:r>
          </w:p>
        </w:tc>
        <w:tc>
          <w:tcPr>
            <w:tcW w:w="7740" w:type="dxa"/>
            <w:shd w:val="clear" w:color="auto" w:fill="FDE9D9" w:themeFill="accent6" w:themeFillTint="33"/>
            <w:vAlign w:val="center"/>
          </w:tcPr>
          <w:p w:rsidR="00D5721B" w:rsidRPr="00584D34" w:rsidRDefault="00D5721B" w:rsidP="00834C5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84D34">
              <w:rPr>
                <w:rFonts w:ascii="Arial" w:eastAsia="Times New Roman" w:hAnsi="Arial" w:cs="Arial"/>
                <w:sz w:val="20"/>
                <w:szCs w:val="20"/>
              </w:rPr>
              <w:t>Number and percent of clinical provider applicants initially determined to meet or exceed minimum licensure/or certification requirements as detailed in the Florida Administrative Code (F.A.C.).</w:t>
            </w:r>
            <w:r w:rsidRPr="00834C5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80" w:type="dxa"/>
            <w:shd w:val="clear" w:color="auto" w:fill="FDE9D9" w:themeFill="accent6" w:themeFillTint="33"/>
            <w:vAlign w:val="center"/>
          </w:tcPr>
          <w:p w:rsidR="00D5721B" w:rsidRPr="00584D34" w:rsidRDefault="00D5721B" w:rsidP="00AB39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Continuously and Ongoing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D5721B" w:rsidRPr="00584D34" w:rsidRDefault="00D5721B" w:rsidP="00AB39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Quarterly/ Annually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D5721B" w:rsidRPr="00584D34" w:rsidRDefault="00D5721B" w:rsidP="00AB39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Operating Agency</w:t>
            </w:r>
          </w:p>
        </w:tc>
      </w:tr>
      <w:tr w:rsidR="00E507E5" w:rsidRPr="00ED7A62" w:rsidTr="00634A0D">
        <w:trPr>
          <w:trHeight w:val="704"/>
        </w:trPr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Appendix C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QP 2</w:t>
            </w:r>
          </w:p>
        </w:tc>
        <w:tc>
          <w:tcPr>
            <w:tcW w:w="774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84D34">
              <w:rPr>
                <w:rFonts w:ascii="Arial" w:eastAsia="Times New Roman" w:hAnsi="Arial" w:cs="Arial"/>
                <w:sz w:val="20"/>
                <w:szCs w:val="20"/>
              </w:rPr>
              <w:t>Number and percent of clinical providers who continue to meet or exceed minimum licensure and or certification requirements as detailed in Florida Administrative Code (F.A.C.)</w:t>
            </w:r>
            <w:r w:rsidRPr="00834C5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8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Continuously and Ongoing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Quarterly/ Annually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Contracted Quality Improvement Organization</w:t>
            </w:r>
          </w:p>
        </w:tc>
      </w:tr>
      <w:tr w:rsidR="00E507E5" w:rsidRPr="00ED7A62" w:rsidTr="00634A0D">
        <w:trPr>
          <w:trHeight w:val="704"/>
        </w:trPr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Appendix C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QP 3</w:t>
            </w:r>
          </w:p>
        </w:tc>
        <w:tc>
          <w:tcPr>
            <w:tcW w:w="774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84D34">
              <w:rPr>
                <w:rFonts w:ascii="Arial" w:eastAsia="Times New Roman" w:hAnsi="Arial" w:cs="Arial"/>
                <w:sz w:val="20"/>
                <w:szCs w:val="20"/>
              </w:rPr>
              <w:t>Number and percent of non-licensed and non-certified (enrolled) providers initially determined to meet state enrollment requirements as detailed in the Florida Administrative Code (F.A.C.)</w:t>
            </w:r>
            <w:r w:rsidRPr="00834C5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8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Continuously and Ongoing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Continuously and Ongoing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Operating Agency</w:t>
            </w:r>
          </w:p>
        </w:tc>
      </w:tr>
      <w:tr w:rsidR="00E507E5" w:rsidRPr="00ED7A62" w:rsidTr="00634A0D">
        <w:trPr>
          <w:trHeight w:val="704"/>
        </w:trPr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Appendix C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QP 4</w:t>
            </w:r>
          </w:p>
        </w:tc>
        <w:tc>
          <w:tcPr>
            <w:tcW w:w="774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84D34">
              <w:rPr>
                <w:rFonts w:ascii="Arial" w:eastAsia="Times New Roman" w:hAnsi="Arial" w:cs="Arial"/>
                <w:sz w:val="20"/>
                <w:szCs w:val="20"/>
              </w:rPr>
              <w:t>Number and percent of non-licensed/non-certified providers who continue to meet state requirements as detailed in the Florida Administrative Code (F.A.C.).</w:t>
            </w:r>
            <w:r w:rsidRPr="00834C5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8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Continuously and Ongoing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Quarterly/ Annually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Contracted Quality Improvement Organization</w:t>
            </w:r>
          </w:p>
        </w:tc>
      </w:tr>
      <w:tr w:rsidR="00E507E5" w:rsidRPr="00ED7A62" w:rsidTr="00461CFC">
        <w:trPr>
          <w:trHeight w:val="704"/>
        </w:trPr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Appendix G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HW 1</w:t>
            </w:r>
          </w:p>
        </w:tc>
        <w:tc>
          <w:tcPr>
            <w:tcW w:w="774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84D34">
              <w:rPr>
                <w:rFonts w:ascii="Arial" w:eastAsia="Times New Roman" w:hAnsi="Arial" w:cs="Arial"/>
                <w:sz w:val="20"/>
                <w:szCs w:val="20"/>
              </w:rPr>
              <w:t>Number and percent of critical incidents reported to APD within required timeframes.</w:t>
            </w:r>
            <w:r w:rsidRPr="008D5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8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Continuously and Ongoing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Operating Agency/Incident Reports</w:t>
            </w:r>
          </w:p>
        </w:tc>
      </w:tr>
      <w:tr w:rsidR="00E507E5" w:rsidRPr="00ED7A62" w:rsidTr="0052240C">
        <w:trPr>
          <w:trHeight w:val="704"/>
        </w:trPr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Appendix G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HW 2</w:t>
            </w:r>
          </w:p>
        </w:tc>
        <w:tc>
          <w:tcPr>
            <w:tcW w:w="774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84D34">
              <w:rPr>
                <w:rFonts w:ascii="Arial" w:eastAsia="Times New Roman" w:hAnsi="Arial" w:cs="Arial"/>
                <w:sz w:val="20"/>
                <w:szCs w:val="20"/>
              </w:rPr>
              <w:t>Number and percent of reactive strategies reported by provider with adverse outcomes or excessive duration where appropriate follow-up was completed as required.</w:t>
            </w:r>
            <w:r w:rsidRPr="008D5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8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 xml:space="preserve">Continuously and Ongoing 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Operating Agency/ Reactive Strategies Report</w:t>
            </w:r>
          </w:p>
        </w:tc>
      </w:tr>
      <w:tr w:rsidR="00E507E5" w:rsidRPr="00ED7A62" w:rsidTr="00803511">
        <w:trPr>
          <w:trHeight w:val="704"/>
        </w:trPr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Appendix G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HW 3</w:t>
            </w:r>
          </w:p>
        </w:tc>
        <w:tc>
          <w:tcPr>
            <w:tcW w:w="774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84D34">
              <w:rPr>
                <w:rFonts w:ascii="Arial" w:eastAsia="Times New Roman" w:hAnsi="Arial" w:cs="Arial"/>
                <w:sz w:val="20"/>
                <w:szCs w:val="20"/>
              </w:rPr>
              <w:t>Number and percent of medication errors where appropriate follow-up was completed when required.</w:t>
            </w:r>
            <w:r w:rsidRPr="008D5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8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Continuously and Ongoing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Operating Agency/ Medication Error Reports</w:t>
            </w:r>
          </w:p>
        </w:tc>
      </w:tr>
      <w:tr w:rsidR="00E507E5" w:rsidRPr="00ED7A62" w:rsidTr="003C15C4">
        <w:trPr>
          <w:trHeight w:val="704"/>
        </w:trPr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Appendix G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HW 5</w:t>
            </w:r>
          </w:p>
        </w:tc>
        <w:tc>
          <w:tcPr>
            <w:tcW w:w="774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84D34">
              <w:rPr>
                <w:rFonts w:ascii="Arial" w:eastAsia="Times New Roman" w:hAnsi="Arial" w:cs="Arial"/>
                <w:sz w:val="20"/>
                <w:szCs w:val="20"/>
              </w:rPr>
              <w:t>Number and percent of critical incidents requiring a Plan of Remediation (POR) where APD follow-up was completed within required timelines.</w:t>
            </w:r>
            <w:r w:rsidRPr="008D5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8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Continuously and Ongoing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4D34">
              <w:rPr>
                <w:rFonts w:ascii="Arial" w:eastAsia="Times New Roman" w:hAnsi="Arial" w:cs="Arial"/>
                <w:sz w:val="20"/>
                <w:szCs w:val="20"/>
              </w:rPr>
              <w:t>APD Remediation Tracking</w:t>
            </w:r>
          </w:p>
        </w:tc>
      </w:tr>
      <w:tr w:rsidR="00E507E5" w:rsidRPr="00ED7A62" w:rsidTr="006B58C7">
        <w:trPr>
          <w:trHeight w:val="704"/>
        </w:trPr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Appendix A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AA 1</w:t>
            </w:r>
          </w:p>
        </w:tc>
        <w:tc>
          <w:tcPr>
            <w:tcW w:w="774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84D34">
              <w:rPr>
                <w:rFonts w:ascii="Arial" w:eastAsia="Times New Roman" w:hAnsi="Arial" w:cs="Arial"/>
                <w:sz w:val="20"/>
                <w:szCs w:val="20"/>
              </w:rPr>
              <w:t>Number and percent of operating agency drafted policies and procedures approved by AHCA prior to implementation.</w:t>
            </w:r>
            <w:r w:rsidRPr="008D5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8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Continuously and Ongoing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Continuously and Ongoing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APD Policies and Procedures</w:t>
            </w:r>
          </w:p>
        </w:tc>
      </w:tr>
      <w:tr w:rsidR="00E507E5" w:rsidRPr="00ED7A62" w:rsidTr="001E2EE2">
        <w:trPr>
          <w:trHeight w:val="704"/>
        </w:trPr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Appendix A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584D34">
              <w:rPr>
                <w:rFonts w:ascii="Arial" w:hAnsi="Arial" w:cs="Arial"/>
                <w:sz w:val="20"/>
                <w:szCs w:val="20"/>
              </w:rPr>
              <w:t>AA 2</w:t>
            </w:r>
          </w:p>
        </w:tc>
        <w:tc>
          <w:tcPr>
            <w:tcW w:w="774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84D34">
              <w:rPr>
                <w:rFonts w:ascii="Arial" w:eastAsia="Times New Roman" w:hAnsi="Arial" w:cs="Arial"/>
                <w:sz w:val="20"/>
                <w:szCs w:val="20"/>
              </w:rPr>
              <w:t>Number and percent of eligible enrollees who were evaluated using the approved criteria for enrollment in new waiver openings.</w:t>
            </w:r>
            <w:r w:rsidRPr="008D5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80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D34">
              <w:rPr>
                <w:rFonts w:ascii="Arial" w:hAnsi="Arial" w:cs="Arial"/>
                <w:sz w:val="20"/>
                <w:szCs w:val="20"/>
              </w:rPr>
              <w:t>Continuously and Ongoing</w:t>
            </w:r>
          </w:p>
        </w:tc>
        <w:tc>
          <w:tcPr>
            <w:tcW w:w="1781" w:type="dxa"/>
            <w:shd w:val="clear" w:color="auto" w:fill="FDE9D9" w:themeFill="accent6" w:themeFillTint="33"/>
            <w:vAlign w:val="center"/>
          </w:tcPr>
          <w:p w:rsidR="00E507E5" w:rsidRPr="00584D34" w:rsidRDefault="00E507E5" w:rsidP="00E507E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4D34">
              <w:rPr>
                <w:rFonts w:ascii="Arial" w:eastAsia="Times New Roman" w:hAnsi="Arial" w:cs="Arial"/>
                <w:sz w:val="20"/>
                <w:szCs w:val="20"/>
              </w:rPr>
              <w:t>Data Tracking System, Waiver Eligibility Worksheet</w:t>
            </w:r>
          </w:p>
        </w:tc>
      </w:tr>
    </w:tbl>
    <w:p w:rsidR="00EB3ED9" w:rsidRPr="00ED7A62" w:rsidRDefault="0019515A">
      <w:pPr>
        <w:rPr>
          <w:rFonts w:ascii="Arial" w:hAnsi="Arial" w:cs="Arial"/>
          <w:sz w:val="20"/>
          <w:szCs w:val="20"/>
        </w:rPr>
      </w:pPr>
    </w:p>
    <w:sectPr w:rsidR="00EB3ED9" w:rsidRPr="00ED7A62" w:rsidSect="00D5721B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315" w:rsidRDefault="00464315" w:rsidP="00372C0F">
      <w:r>
        <w:separator/>
      </w:r>
    </w:p>
  </w:endnote>
  <w:endnote w:type="continuationSeparator" w:id="0">
    <w:p w:rsidR="00464315" w:rsidRDefault="00464315" w:rsidP="00372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315" w:rsidRDefault="00464315" w:rsidP="00372C0F">
      <w:r>
        <w:separator/>
      </w:r>
    </w:p>
  </w:footnote>
  <w:footnote w:type="continuationSeparator" w:id="0">
    <w:p w:rsidR="00464315" w:rsidRDefault="00464315" w:rsidP="00372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0F"/>
    <w:rsid w:val="0003116C"/>
    <w:rsid w:val="000A34CD"/>
    <w:rsid w:val="000B10D6"/>
    <w:rsid w:val="000F3189"/>
    <w:rsid w:val="001421B8"/>
    <w:rsid w:val="00166B24"/>
    <w:rsid w:val="00187778"/>
    <w:rsid w:val="0019515A"/>
    <w:rsid w:val="001E2EE2"/>
    <w:rsid w:val="001E565B"/>
    <w:rsid w:val="00233F45"/>
    <w:rsid w:val="0025765C"/>
    <w:rsid w:val="002F0AC9"/>
    <w:rsid w:val="00372C0F"/>
    <w:rsid w:val="00393EBF"/>
    <w:rsid w:val="0039502D"/>
    <w:rsid w:val="003C15C4"/>
    <w:rsid w:val="003D6E1E"/>
    <w:rsid w:val="003F0DEE"/>
    <w:rsid w:val="00461CFC"/>
    <w:rsid w:val="00464315"/>
    <w:rsid w:val="004D5694"/>
    <w:rsid w:val="004E2F4C"/>
    <w:rsid w:val="004F425E"/>
    <w:rsid w:val="0052240C"/>
    <w:rsid w:val="00572C96"/>
    <w:rsid w:val="00584D34"/>
    <w:rsid w:val="005A03EF"/>
    <w:rsid w:val="005A7C82"/>
    <w:rsid w:val="005B0275"/>
    <w:rsid w:val="005C3FDD"/>
    <w:rsid w:val="005F1827"/>
    <w:rsid w:val="00634A0D"/>
    <w:rsid w:val="006B58C7"/>
    <w:rsid w:val="006D4D87"/>
    <w:rsid w:val="00727E3D"/>
    <w:rsid w:val="00803511"/>
    <w:rsid w:val="00834C5A"/>
    <w:rsid w:val="00872DD8"/>
    <w:rsid w:val="008B23D2"/>
    <w:rsid w:val="008D1D32"/>
    <w:rsid w:val="008D53AF"/>
    <w:rsid w:val="0093637C"/>
    <w:rsid w:val="00946E44"/>
    <w:rsid w:val="009A0512"/>
    <w:rsid w:val="009A31C3"/>
    <w:rsid w:val="009C3807"/>
    <w:rsid w:val="00A450D6"/>
    <w:rsid w:val="00AB393B"/>
    <w:rsid w:val="00AF72E6"/>
    <w:rsid w:val="00BB0048"/>
    <w:rsid w:val="00BF63CE"/>
    <w:rsid w:val="00BF7F7C"/>
    <w:rsid w:val="00C06ADF"/>
    <w:rsid w:val="00D10643"/>
    <w:rsid w:val="00D5721B"/>
    <w:rsid w:val="00D84FCB"/>
    <w:rsid w:val="00E507E5"/>
    <w:rsid w:val="00EB4EB9"/>
    <w:rsid w:val="00ED7A62"/>
    <w:rsid w:val="00F2687C"/>
    <w:rsid w:val="00F37B81"/>
    <w:rsid w:val="00F811CE"/>
    <w:rsid w:val="00FD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1827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F1827"/>
    <w:rPr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5F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C0F"/>
  </w:style>
  <w:style w:type="paragraph" w:styleId="Footer">
    <w:name w:val="footer"/>
    <w:basedOn w:val="Normal"/>
    <w:link w:val="FooterChar"/>
    <w:uiPriority w:val="99"/>
    <w:unhideWhenUsed/>
    <w:rsid w:val="00372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C0F"/>
  </w:style>
  <w:style w:type="table" w:styleId="TableGrid">
    <w:name w:val="Table Grid"/>
    <w:basedOn w:val="TableNormal"/>
    <w:uiPriority w:val="59"/>
    <w:rsid w:val="001E5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textpct1">
    <w:name w:val="inputtextpct1"/>
    <w:basedOn w:val="DefaultParagraphFont"/>
    <w:rsid w:val="004D5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1827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F1827"/>
    <w:rPr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5F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C0F"/>
  </w:style>
  <w:style w:type="paragraph" w:styleId="Footer">
    <w:name w:val="footer"/>
    <w:basedOn w:val="Normal"/>
    <w:link w:val="FooterChar"/>
    <w:uiPriority w:val="99"/>
    <w:unhideWhenUsed/>
    <w:rsid w:val="00372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C0F"/>
  </w:style>
  <w:style w:type="table" w:styleId="TableGrid">
    <w:name w:val="Table Grid"/>
    <w:basedOn w:val="TableNormal"/>
    <w:uiPriority w:val="59"/>
    <w:rsid w:val="001E5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textpct1">
    <w:name w:val="inputtextpct1"/>
    <w:basedOn w:val="DefaultParagraphFont"/>
    <w:rsid w:val="004D5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3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4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4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0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7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7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7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C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C00000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for Health Care Administration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Sharp</dc:creator>
  <cp:lastModifiedBy>Virginia Hardcastle</cp:lastModifiedBy>
  <cp:revision>4</cp:revision>
  <dcterms:created xsi:type="dcterms:W3CDTF">2014-06-27T12:25:00Z</dcterms:created>
  <dcterms:modified xsi:type="dcterms:W3CDTF">2014-06-27T12:29:00Z</dcterms:modified>
</cp:coreProperties>
</file>