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907" w:rsidRDefault="00561907" w:rsidP="00561907">
      <w:pPr>
        <w:jc w:val="center"/>
        <w:rPr>
          <w:b/>
          <w:szCs w:val="22"/>
        </w:rPr>
      </w:pPr>
      <w:bookmarkStart w:id="0" w:name="OLE_LINK1"/>
      <w:bookmarkStart w:id="1" w:name="_GoBack"/>
      <w:bookmarkEnd w:id="1"/>
      <w:r>
        <w:rPr>
          <w:b/>
          <w:szCs w:val="22"/>
        </w:rPr>
        <w:t>Before the</w:t>
      </w:r>
    </w:p>
    <w:p w:rsidR="00561907" w:rsidRDefault="00561907" w:rsidP="00561907">
      <w:pPr>
        <w:jc w:val="center"/>
        <w:rPr>
          <w:b/>
          <w:szCs w:val="22"/>
        </w:rPr>
      </w:pPr>
      <w:r>
        <w:rPr>
          <w:b/>
          <w:szCs w:val="22"/>
        </w:rPr>
        <w:t>Federal Communications Commission</w:t>
      </w:r>
    </w:p>
    <w:p w:rsidR="00561907" w:rsidRDefault="00561907" w:rsidP="00561907">
      <w:pPr>
        <w:jc w:val="center"/>
        <w:rPr>
          <w:b/>
          <w:szCs w:val="22"/>
        </w:rPr>
      </w:pPr>
      <w:r>
        <w:rPr>
          <w:b/>
          <w:szCs w:val="22"/>
        </w:rPr>
        <w:t>Washington, DC 20554</w:t>
      </w:r>
    </w:p>
    <w:p w:rsidR="00561907" w:rsidRDefault="00561907" w:rsidP="00561907">
      <w:pPr>
        <w:jc w:val="center"/>
        <w:rPr>
          <w:b/>
          <w:szCs w:val="22"/>
        </w:rPr>
      </w:pPr>
    </w:p>
    <w:tbl>
      <w:tblPr>
        <w:tblW w:w="9576" w:type="dxa"/>
        <w:tblLook w:val="0000" w:firstRow="0" w:lastRow="0" w:firstColumn="0" w:lastColumn="0" w:noHBand="0" w:noVBand="0"/>
      </w:tblPr>
      <w:tblGrid>
        <w:gridCol w:w="4428"/>
        <w:gridCol w:w="1080"/>
        <w:gridCol w:w="4068"/>
      </w:tblGrid>
      <w:tr w:rsidR="00561907" w:rsidTr="001774A0">
        <w:tc>
          <w:tcPr>
            <w:tcW w:w="4428" w:type="dxa"/>
          </w:tcPr>
          <w:p w:rsidR="00561907" w:rsidRDefault="00561907" w:rsidP="001774A0">
            <w:pPr>
              <w:keepNext/>
              <w:rPr>
                <w:szCs w:val="22"/>
              </w:rPr>
            </w:pPr>
          </w:p>
          <w:p w:rsidR="00561907" w:rsidRDefault="00561907" w:rsidP="001774A0">
            <w:pPr>
              <w:keepNext/>
              <w:rPr>
                <w:szCs w:val="22"/>
              </w:rPr>
            </w:pPr>
            <w:r>
              <w:rPr>
                <w:szCs w:val="22"/>
              </w:rPr>
              <w:t>In the Matter of</w:t>
            </w:r>
          </w:p>
          <w:p w:rsidR="00561907" w:rsidRDefault="00561907" w:rsidP="001774A0">
            <w:pPr>
              <w:keepNext/>
              <w:rPr>
                <w:szCs w:val="22"/>
              </w:rPr>
            </w:pPr>
          </w:p>
          <w:p w:rsidR="00561907" w:rsidRPr="002D315F" w:rsidRDefault="00561907" w:rsidP="001774A0">
            <w:pPr>
              <w:widowControl/>
              <w:ind w:right="-18"/>
              <w:rPr>
                <w:lang w:val="es-ES"/>
              </w:rPr>
            </w:pPr>
            <w:r w:rsidRPr="002D315F">
              <w:rPr>
                <w:lang w:val="es-ES"/>
              </w:rPr>
              <w:t xml:space="preserve">Fiducia, Inc. d/b/a </w:t>
            </w:r>
            <w:r>
              <w:rPr>
                <w:lang w:val="es-ES"/>
              </w:rPr>
              <w:t>“</w:t>
            </w:r>
            <w:r w:rsidRPr="002D315F">
              <w:rPr>
                <w:lang w:val="es-ES"/>
              </w:rPr>
              <w:t>America’s Toner</w:t>
            </w:r>
            <w:r>
              <w:rPr>
                <w:lang w:val="es-ES"/>
              </w:rPr>
              <w:t>”; “Toner Dome”; TDI, Inc.; John David</w:t>
            </w:r>
          </w:p>
          <w:p w:rsidR="00561907" w:rsidRPr="002D315F" w:rsidRDefault="00561907" w:rsidP="001774A0">
            <w:pPr>
              <w:widowControl/>
              <w:ind w:right="-18"/>
              <w:rPr>
                <w:lang w:val="es-ES"/>
              </w:rPr>
            </w:pPr>
            <w:r w:rsidRPr="002D315F">
              <w:rPr>
                <w:lang w:val="es-ES"/>
              </w:rPr>
              <w:t xml:space="preserve"> </w:t>
            </w:r>
          </w:p>
          <w:p w:rsidR="00561907" w:rsidRDefault="00561907" w:rsidP="001774A0">
            <w:pPr>
              <w:keepNext/>
              <w:rPr>
                <w:szCs w:val="22"/>
              </w:rPr>
            </w:pPr>
          </w:p>
        </w:tc>
        <w:tc>
          <w:tcPr>
            <w:tcW w:w="1080" w:type="dxa"/>
          </w:tcPr>
          <w:p w:rsidR="00561907" w:rsidRDefault="00561907" w:rsidP="001774A0">
            <w:pPr>
              <w:keepNext/>
              <w:rPr>
                <w:szCs w:val="22"/>
              </w:rPr>
            </w:pPr>
            <w:r>
              <w:rPr>
                <w:szCs w:val="22"/>
              </w:rPr>
              <w:t>)</w:t>
            </w:r>
          </w:p>
          <w:p w:rsidR="00561907" w:rsidRDefault="00561907" w:rsidP="001774A0">
            <w:pPr>
              <w:keepNext/>
              <w:rPr>
                <w:szCs w:val="22"/>
              </w:rPr>
            </w:pPr>
            <w:r>
              <w:rPr>
                <w:szCs w:val="22"/>
              </w:rPr>
              <w:t>)</w:t>
            </w:r>
          </w:p>
          <w:p w:rsidR="00561907" w:rsidRDefault="00561907" w:rsidP="001774A0">
            <w:pPr>
              <w:keepNext/>
              <w:rPr>
                <w:szCs w:val="22"/>
              </w:rPr>
            </w:pPr>
            <w:r>
              <w:rPr>
                <w:szCs w:val="22"/>
              </w:rPr>
              <w:t>)</w:t>
            </w:r>
          </w:p>
          <w:p w:rsidR="00561907" w:rsidRDefault="00561907" w:rsidP="001774A0">
            <w:pPr>
              <w:keepNext/>
              <w:rPr>
                <w:szCs w:val="22"/>
              </w:rPr>
            </w:pPr>
            <w:r>
              <w:rPr>
                <w:szCs w:val="22"/>
              </w:rPr>
              <w:t>)</w:t>
            </w:r>
          </w:p>
          <w:p w:rsidR="00561907" w:rsidRDefault="00561907" w:rsidP="001774A0">
            <w:pPr>
              <w:keepNext/>
              <w:rPr>
                <w:szCs w:val="22"/>
              </w:rPr>
            </w:pPr>
            <w:r>
              <w:rPr>
                <w:szCs w:val="22"/>
              </w:rPr>
              <w:t>)</w:t>
            </w:r>
          </w:p>
          <w:p w:rsidR="00561907" w:rsidRDefault="00561907" w:rsidP="001774A0">
            <w:pPr>
              <w:keepNext/>
              <w:rPr>
                <w:szCs w:val="22"/>
              </w:rPr>
            </w:pPr>
            <w:r>
              <w:rPr>
                <w:szCs w:val="22"/>
              </w:rPr>
              <w:t>)</w:t>
            </w:r>
          </w:p>
        </w:tc>
        <w:tc>
          <w:tcPr>
            <w:tcW w:w="4068" w:type="dxa"/>
          </w:tcPr>
          <w:p w:rsidR="00561907" w:rsidRDefault="00561907" w:rsidP="001774A0">
            <w:pPr>
              <w:widowControl/>
              <w:rPr>
                <w:spacing w:val="-2"/>
              </w:rPr>
            </w:pPr>
          </w:p>
          <w:p w:rsidR="00561907" w:rsidRPr="009F3455" w:rsidRDefault="00561907" w:rsidP="001774A0">
            <w:pPr>
              <w:widowControl/>
              <w:rPr>
                <w:spacing w:val="-2"/>
              </w:rPr>
            </w:pPr>
            <w:r w:rsidRPr="009F3455">
              <w:rPr>
                <w:spacing w:val="-2"/>
              </w:rPr>
              <w:t>File No.:  EB-TCD-12-</w:t>
            </w:r>
            <w:r>
              <w:rPr>
                <w:spacing w:val="-2"/>
              </w:rPr>
              <w:t>00000197</w:t>
            </w:r>
            <w:r>
              <w:rPr>
                <w:rStyle w:val="FootnoteReference"/>
                <w:spacing w:val="-2"/>
              </w:rPr>
              <w:footnoteReference w:id="2"/>
            </w:r>
          </w:p>
          <w:p w:rsidR="00561907" w:rsidRDefault="00561907" w:rsidP="001774A0">
            <w:pPr>
              <w:widowControl/>
              <w:rPr>
                <w:spacing w:val="-2"/>
              </w:rPr>
            </w:pPr>
          </w:p>
          <w:p w:rsidR="00561907" w:rsidRDefault="00561907" w:rsidP="001774A0">
            <w:pPr>
              <w:widowControl/>
              <w:rPr>
                <w:spacing w:val="-2"/>
                <w:szCs w:val="22"/>
              </w:rPr>
            </w:pPr>
            <w:r w:rsidRPr="009F3455">
              <w:rPr>
                <w:spacing w:val="-2"/>
              </w:rPr>
              <w:t>NAL/Acct. No</w:t>
            </w:r>
            <w:r w:rsidRPr="009F3455">
              <w:rPr>
                <w:spacing w:val="-2"/>
                <w:szCs w:val="22"/>
              </w:rPr>
              <w:t xml:space="preserve">.: </w:t>
            </w:r>
            <w:r>
              <w:rPr>
                <w:spacing w:val="-2"/>
                <w:szCs w:val="22"/>
              </w:rPr>
              <w:t>200832170066</w:t>
            </w:r>
            <w:r w:rsidRPr="009F3455">
              <w:rPr>
                <w:spacing w:val="-2"/>
                <w:szCs w:val="22"/>
              </w:rPr>
              <w:t xml:space="preserve"> </w:t>
            </w:r>
          </w:p>
          <w:p w:rsidR="00561907" w:rsidRPr="009F3455" w:rsidRDefault="00561907" w:rsidP="001774A0">
            <w:pPr>
              <w:widowControl/>
              <w:rPr>
                <w:spacing w:val="-2"/>
                <w:szCs w:val="22"/>
              </w:rPr>
            </w:pPr>
          </w:p>
          <w:p w:rsidR="00561907" w:rsidRPr="00A41A4A" w:rsidRDefault="00561907" w:rsidP="001774A0">
            <w:pPr>
              <w:widowControl/>
              <w:rPr>
                <w:rFonts w:cs="Arial"/>
                <w:b/>
                <w:color w:val="000000"/>
                <w:szCs w:val="24"/>
              </w:rPr>
            </w:pPr>
            <w:r w:rsidRPr="009F3455">
              <w:rPr>
                <w:spacing w:val="-2"/>
                <w:szCs w:val="22"/>
              </w:rPr>
              <w:t>FRN</w:t>
            </w:r>
            <w:r w:rsidRPr="00A41A4A">
              <w:rPr>
                <w:spacing w:val="-2"/>
                <w:szCs w:val="22"/>
              </w:rPr>
              <w:t>:  0017433186</w:t>
            </w:r>
          </w:p>
          <w:p w:rsidR="00561907" w:rsidRDefault="00561907" w:rsidP="001774A0">
            <w:pPr>
              <w:keepNext/>
              <w:rPr>
                <w:szCs w:val="22"/>
              </w:rPr>
            </w:pPr>
          </w:p>
        </w:tc>
      </w:tr>
    </w:tbl>
    <w:p w:rsidR="00561907" w:rsidRDefault="00561907" w:rsidP="00561907">
      <w:pPr>
        <w:tabs>
          <w:tab w:val="left" w:pos="-720"/>
        </w:tabs>
        <w:suppressAutoHyphens/>
        <w:spacing w:line="227" w:lineRule="auto"/>
        <w:jc w:val="center"/>
        <w:rPr>
          <w:b/>
          <w:spacing w:val="-2"/>
          <w:szCs w:val="22"/>
        </w:rPr>
      </w:pPr>
      <w:r>
        <w:rPr>
          <w:b/>
          <w:spacing w:val="-2"/>
          <w:szCs w:val="22"/>
        </w:rPr>
        <w:t>ORDER</w:t>
      </w:r>
    </w:p>
    <w:p w:rsidR="00561907" w:rsidRDefault="00561907" w:rsidP="00561907">
      <w:pPr>
        <w:tabs>
          <w:tab w:val="left" w:pos="-720"/>
        </w:tabs>
        <w:suppressAutoHyphens/>
        <w:spacing w:line="227" w:lineRule="auto"/>
        <w:jc w:val="center"/>
        <w:rPr>
          <w:b/>
          <w:spacing w:val="-2"/>
          <w:szCs w:val="22"/>
        </w:rPr>
      </w:pPr>
    </w:p>
    <w:p w:rsidR="00561907" w:rsidRDefault="00561907" w:rsidP="00561907">
      <w:pPr>
        <w:tabs>
          <w:tab w:val="left" w:pos="720"/>
          <w:tab w:val="left" w:pos="5400"/>
        </w:tabs>
        <w:suppressAutoHyphens/>
        <w:spacing w:line="227" w:lineRule="auto"/>
        <w:jc w:val="both"/>
        <w:rPr>
          <w:spacing w:val="-2"/>
          <w:szCs w:val="22"/>
        </w:rPr>
      </w:pPr>
      <w:r>
        <w:rPr>
          <w:b/>
          <w:spacing w:val="-2"/>
          <w:szCs w:val="22"/>
        </w:rPr>
        <w:t>Adopted:</w:t>
      </w:r>
      <w:r w:rsidR="007A295A">
        <w:rPr>
          <w:b/>
          <w:spacing w:val="-2"/>
          <w:szCs w:val="22"/>
        </w:rPr>
        <w:t xml:space="preserve"> </w:t>
      </w:r>
      <w:r w:rsidR="00F03571">
        <w:rPr>
          <w:b/>
          <w:spacing w:val="-2"/>
          <w:szCs w:val="22"/>
        </w:rPr>
        <w:t>March 29</w:t>
      </w:r>
      <w:r w:rsidR="007A295A">
        <w:rPr>
          <w:b/>
          <w:spacing w:val="-2"/>
          <w:szCs w:val="22"/>
        </w:rPr>
        <w:t>, 2013</w:t>
      </w:r>
      <w:r w:rsidR="007A295A">
        <w:rPr>
          <w:b/>
          <w:spacing w:val="-2"/>
          <w:szCs w:val="22"/>
        </w:rPr>
        <w:tab/>
      </w:r>
      <w:r w:rsidR="007A295A">
        <w:rPr>
          <w:b/>
          <w:spacing w:val="-2"/>
          <w:szCs w:val="22"/>
        </w:rPr>
        <w:tab/>
        <w:t xml:space="preserve">      </w:t>
      </w:r>
      <w:r w:rsidR="007A295A">
        <w:rPr>
          <w:b/>
          <w:spacing w:val="-2"/>
          <w:szCs w:val="22"/>
        </w:rPr>
        <w:tab/>
      </w:r>
      <w:r w:rsidR="00763B0E">
        <w:rPr>
          <w:b/>
          <w:spacing w:val="-2"/>
          <w:szCs w:val="22"/>
        </w:rPr>
        <w:t xml:space="preserve">              </w:t>
      </w:r>
      <w:r>
        <w:rPr>
          <w:b/>
          <w:spacing w:val="-2"/>
          <w:szCs w:val="22"/>
        </w:rPr>
        <w:t xml:space="preserve">Released: </w:t>
      </w:r>
      <w:r w:rsidR="00833796">
        <w:rPr>
          <w:b/>
          <w:spacing w:val="-2"/>
          <w:szCs w:val="22"/>
        </w:rPr>
        <w:t>April 1</w:t>
      </w:r>
      <w:r w:rsidR="007A295A">
        <w:rPr>
          <w:b/>
          <w:spacing w:val="-2"/>
          <w:szCs w:val="22"/>
        </w:rPr>
        <w:t>, 2013</w:t>
      </w:r>
    </w:p>
    <w:p w:rsidR="00561907" w:rsidRDefault="00561907" w:rsidP="00561907">
      <w:pPr>
        <w:jc w:val="both"/>
        <w:rPr>
          <w:szCs w:val="22"/>
        </w:rPr>
      </w:pPr>
    </w:p>
    <w:p w:rsidR="00561907" w:rsidRDefault="00561907" w:rsidP="00561907">
      <w:pPr>
        <w:jc w:val="both"/>
        <w:rPr>
          <w:szCs w:val="22"/>
        </w:rPr>
      </w:pPr>
      <w:r>
        <w:rPr>
          <w:szCs w:val="22"/>
        </w:rPr>
        <w:t xml:space="preserve">By the Chief, Enforcement Bureau: </w:t>
      </w:r>
    </w:p>
    <w:p w:rsidR="00561907" w:rsidRDefault="00561907" w:rsidP="00561907">
      <w:pPr>
        <w:jc w:val="both"/>
        <w:rPr>
          <w:szCs w:val="22"/>
        </w:rPr>
      </w:pPr>
    </w:p>
    <w:p w:rsidR="00561907" w:rsidRPr="003A3AF1" w:rsidRDefault="00561907" w:rsidP="00561907">
      <w:pPr>
        <w:pStyle w:val="ParaNum0"/>
      </w:pPr>
      <w:r w:rsidRPr="00D95184">
        <w:t xml:space="preserve">In this Order, we adopt the attached Consent Decree entered into between the </w:t>
      </w:r>
      <w:r w:rsidRPr="003A3AF1">
        <w:rPr>
          <w:bCs/>
        </w:rPr>
        <w:t>Enforcement Bureau (Bureau)</w:t>
      </w:r>
      <w:r w:rsidRPr="003A3AF1">
        <w:t xml:space="preserve"> of the Federal Communications Commission (Commission) and Fiducia, Inc. d/b/a America’s Toner, and John David.  The Consent Decree terminates an investigation regarding America’s Toner’s compliance with Section 227(b)(1)(C) of the Communications Act of 1934, as amended (Act),</w:t>
      </w:r>
      <w:r w:rsidRPr="003A3AF1">
        <w:rPr>
          <w:rStyle w:val="FootnoteReference"/>
          <w:szCs w:val="22"/>
        </w:rPr>
        <w:footnoteReference w:id="3"/>
      </w:r>
      <w:r w:rsidRPr="003A3AF1">
        <w:t xml:space="preserve"> and Section 64.1200(a)(4) of the Commission’s rules</w:t>
      </w:r>
      <w:r w:rsidRPr="003A3AF1">
        <w:rPr>
          <w:rStyle w:val="FootnoteReference"/>
          <w:szCs w:val="22"/>
        </w:rPr>
        <w:footnoteReference w:id="4"/>
      </w:r>
      <w:r w:rsidRPr="003A3AF1">
        <w:t xml:space="preserve"> with respect to delivery of unsolicited advertisements to the telephone facsimile machines of consumers.</w:t>
      </w:r>
    </w:p>
    <w:p w:rsidR="00561907" w:rsidRPr="003A3AF1" w:rsidRDefault="00561907" w:rsidP="00561907">
      <w:pPr>
        <w:pStyle w:val="ParaNum0"/>
      </w:pPr>
      <w:r w:rsidRPr="003A3AF1">
        <w:t xml:space="preserve">The Bureau and America’s Toner have negotiated the Consent Decree that resolves this matter.  A copy of the Consent Decree is attached hereto and incorporated by reference.  </w:t>
      </w:r>
    </w:p>
    <w:p w:rsidR="00561907" w:rsidRPr="003A3AF1" w:rsidRDefault="00561907" w:rsidP="00561907">
      <w:pPr>
        <w:pStyle w:val="ParaNum0"/>
      </w:pPr>
      <w:r w:rsidRPr="003A3AF1">
        <w:t>After reviewing the terms of the Consent Decree and evaluating the facts before us, we find that the public interest w</w:t>
      </w:r>
      <w:r>
        <w:t>ill</w:t>
      </w:r>
      <w:r w:rsidRPr="003A3AF1">
        <w:t xml:space="preserve"> be served by adopting the Consent Decree and terminating the investigation.    </w:t>
      </w:r>
    </w:p>
    <w:p w:rsidR="00561907" w:rsidRDefault="00561907" w:rsidP="00561907">
      <w:pPr>
        <w:pStyle w:val="ParaNum0"/>
      </w:pPr>
      <w:r w:rsidRPr="003A3AF1">
        <w:t xml:space="preserve">Accordingly, </w:t>
      </w:r>
      <w:r w:rsidRPr="003A3AF1">
        <w:rPr>
          <w:b/>
        </w:rPr>
        <w:t>IT IS ORDERED</w:t>
      </w:r>
      <w:r w:rsidRPr="003A3AF1">
        <w:t xml:space="preserve"> that, pursuant to Sections 4(i) </w:t>
      </w:r>
      <w:r>
        <w:t xml:space="preserve">4(j), </w:t>
      </w:r>
      <w:r w:rsidRPr="003A3AF1">
        <w:t>and 503(b) of the Act,</w:t>
      </w:r>
      <w:r w:rsidRPr="003A3AF1">
        <w:rPr>
          <w:rStyle w:val="FootnoteReference"/>
          <w:szCs w:val="22"/>
        </w:rPr>
        <w:footnoteReference w:id="5"/>
      </w:r>
      <w:r w:rsidRPr="003A3AF1">
        <w:t xml:space="preserve"> </w:t>
      </w:r>
      <w:r w:rsidRPr="003A3AF1">
        <w:rPr>
          <w:bCs/>
        </w:rPr>
        <w:t>and Sections 0.111 and 0.311 of the Rules,</w:t>
      </w:r>
      <w:r w:rsidRPr="003A3AF1">
        <w:rPr>
          <w:rStyle w:val="FootnoteReference"/>
          <w:bCs/>
          <w:szCs w:val="22"/>
        </w:rPr>
        <w:footnoteReference w:id="6"/>
      </w:r>
      <w:r w:rsidRPr="003A3AF1">
        <w:rPr>
          <w:bCs/>
        </w:rPr>
        <w:t xml:space="preserve"> the</w:t>
      </w:r>
      <w:r w:rsidRPr="003A3AF1">
        <w:t xml:space="preserve"> Consent Decree attached to this Order </w:t>
      </w:r>
      <w:r w:rsidRPr="003A3AF1">
        <w:rPr>
          <w:b/>
        </w:rPr>
        <w:t>IS ADOPTED</w:t>
      </w:r>
      <w:r w:rsidRPr="003A3AF1">
        <w:t>.</w:t>
      </w:r>
    </w:p>
    <w:p w:rsidR="00561907" w:rsidRDefault="00561907" w:rsidP="00561907">
      <w:pPr>
        <w:pStyle w:val="ParaNum0"/>
      </w:pPr>
      <w:r w:rsidRPr="003A3AF1">
        <w:rPr>
          <w:b/>
        </w:rPr>
        <w:t xml:space="preserve">IT IS FURTHER ORDERED </w:t>
      </w:r>
      <w:r w:rsidRPr="003A3AF1">
        <w:t>that the above-captioned investigation</w:t>
      </w:r>
      <w:r w:rsidRPr="003A3AF1">
        <w:rPr>
          <w:b/>
        </w:rPr>
        <w:t xml:space="preserve"> IS TERMINATED</w:t>
      </w:r>
      <w:r w:rsidRPr="003A3AF1">
        <w:t>.</w:t>
      </w:r>
    </w:p>
    <w:p w:rsidR="00561907" w:rsidRPr="003A3AF1" w:rsidRDefault="00561907" w:rsidP="00561907">
      <w:pPr>
        <w:pStyle w:val="ParaNum0"/>
        <w:rPr>
          <w:szCs w:val="22"/>
        </w:rPr>
      </w:pPr>
      <w:r>
        <w:br w:type="page"/>
      </w:r>
      <w:r w:rsidRPr="003A3AF1">
        <w:rPr>
          <w:b/>
        </w:rPr>
        <w:lastRenderedPageBreak/>
        <w:t xml:space="preserve">IT IS FURTHER ORDERED </w:t>
      </w:r>
      <w:r w:rsidRPr="003A3AF1">
        <w:t xml:space="preserve">that a copy of this Order and Consent Decree shall be sent by first class mail and certified mail, return receipt requested, to </w:t>
      </w:r>
      <w:r>
        <w:t xml:space="preserve">Fiducia, Inc. d/b/a America’s Toner, </w:t>
      </w:r>
      <w:r w:rsidRPr="003A3AF1">
        <w:rPr>
          <w:szCs w:val="22"/>
        </w:rPr>
        <w:t xml:space="preserve">Attn: John David, Owner, 162 Dallas Village Shopping Ctr. #182, Dallas, PA 18612-1231. </w:t>
      </w:r>
    </w:p>
    <w:p w:rsidR="00561907" w:rsidRPr="003A3AF1" w:rsidRDefault="00561907" w:rsidP="00561907">
      <w:pPr>
        <w:tabs>
          <w:tab w:val="left" w:pos="0"/>
        </w:tabs>
        <w:suppressAutoHyphens/>
        <w:spacing w:line="240" w:lineRule="atLeast"/>
        <w:jc w:val="both"/>
        <w:rPr>
          <w:szCs w:val="22"/>
        </w:rPr>
      </w:pPr>
      <w:r w:rsidRPr="003A3AF1">
        <w:rPr>
          <w:szCs w:val="22"/>
        </w:rPr>
        <w:tab/>
      </w:r>
      <w:r w:rsidRPr="003A3AF1">
        <w:rPr>
          <w:szCs w:val="22"/>
        </w:rPr>
        <w:tab/>
      </w:r>
      <w:r w:rsidRPr="003A3AF1">
        <w:rPr>
          <w:szCs w:val="22"/>
        </w:rPr>
        <w:tab/>
      </w:r>
      <w:r w:rsidRPr="003A3AF1">
        <w:rPr>
          <w:szCs w:val="22"/>
        </w:rPr>
        <w:tab/>
      </w:r>
      <w:r w:rsidRPr="003A3AF1">
        <w:rPr>
          <w:szCs w:val="22"/>
        </w:rPr>
        <w:tab/>
      </w:r>
      <w:r w:rsidRPr="003A3AF1">
        <w:rPr>
          <w:szCs w:val="22"/>
        </w:rPr>
        <w:tab/>
      </w:r>
    </w:p>
    <w:p w:rsidR="00561907" w:rsidRPr="003A3AF1" w:rsidRDefault="00561907" w:rsidP="00561907">
      <w:pPr>
        <w:tabs>
          <w:tab w:val="left" w:pos="0"/>
        </w:tabs>
        <w:suppressAutoHyphens/>
        <w:spacing w:line="240" w:lineRule="atLeast"/>
        <w:jc w:val="both"/>
        <w:rPr>
          <w:spacing w:val="-2"/>
          <w:szCs w:val="22"/>
        </w:rPr>
      </w:pPr>
      <w:r w:rsidRPr="003A3AF1">
        <w:rPr>
          <w:szCs w:val="22"/>
        </w:rPr>
        <w:tab/>
      </w:r>
      <w:r w:rsidRPr="003A3AF1">
        <w:rPr>
          <w:szCs w:val="22"/>
        </w:rPr>
        <w:tab/>
      </w:r>
      <w:r w:rsidRPr="003A3AF1">
        <w:rPr>
          <w:szCs w:val="22"/>
        </w:rPr>
        <w:tab/>
      </w:r>
      <w:r w:rsidRPr="003A3AF1">
        <w:rPr>
          <w:szCs w:val="22"/>
        </w:rPr>
        <w:tab/>
      </w:r>
      <w:r w:rsidRPr="003A3AF1">
        <w:rPr>
          <w:szCs w:val="22"/>
        </w:rPr>
        <w:tab/>
      </w:r>
      <w:r w:rsidRPr="003A3AF1">
        <w:rPr>
          <w:szCs w:val="22"/>
        </w:rPr>
        <w:tab/>
      </w:r>
      <w:r w:rsidRPr="003A3AF1">
        <w:rPr>
          <w:spacing w:val="-2"/>
          <w:szCs w:val="22"/>
        </w:rPr>
        <w:t>FEDERAL COMMUNICATIONS COMMISSION</w:t>
      </w:r>
    </w:p>
    <w:p w:rsidR="00561907" w:rsidRPr="003A3AF1" w:rsidRDefault="00561907" w:rsidP="00561907">
      <w:pPr>
        <w:tabs>
          <w:tab w:val="left" w:pos="0"/>
        </w:tabs>
        <w:suppressAutoHyphens/>
        <w:spacing w:line="240" w:lineRule="atLeast"/>
        <w:jc w:val="both"/>
        <w:rPr>
          <w:spacing w:val="-2"/>
          <w:szCs w:val="22"/>
        </w:rPr>
      </w:pPr>
    </w:p>
    <w:p w:rsidR="00561907" w:rsidRPr="003A3AF1" w:rsidRDefault="00561907" w:rsidP="00561907">
      <w:pPr>
        <w:tabs>
          <w:tab w:val="left" w:pos="0"/>
        </w:tabs>
        <w:suppressAutoHyphens/>
        <w:spacing w:line="240" w:lineRule="atLeast"/>
        <w:jc w:val="both"/>
        <w:rPr>
          <w:spacing w:val="-2"/>
          <w:szCs w:val="22"/>
        </w:rPr>
      </w:pPr>
    </w:p>
    <w:p w:rsidR="00561907" w:rsidRPr="003A3AF1" w:rsidRDefault="00561907" w:rsidP="00561907">
      <w:pPr>
        <w:tabs>
          <w:tab w:val="left" w:pos="0"/>
        </w:tabs>
        <w:suppressAutoHyphens/>
        <w:spacing w:line="240" w:lineRule="atLeast"/>
        <w:jc w:val="both"/>
        <w:rPr>
          <w:spacing w:val="-2"/>
          <w:szCs w:val="22"/>
        </w:rPr>
      </w:pPr>
    </w:p>
    <w:p w:rsidR="00561907" w:rsidRPr="003A3AF1" w:rsidRDefault="00561907" w:rsidP="00561907">
      <w:pPr>
        <w:tabs>
          <w:tab w:val="left" w:pos="0"/>
        </w:tabs>
        <w:suppressAutoHyphens/>
        <w:spacing w:line="240" w:lineRule="atLeast"/>
        <w:jc w:val="both"/>
        <w:rPr>
          <w:spacing w:val="-2"/>
          <w:szCs w:val="22"/>
        </w:rPr>
      </w:pPr>
    </w:p>
    <w:p w:rsidR="00561907" w:rsidRPr="003A3AF1" w:rsidRDefault="00561907" w:rsidP="00561907">
      <w:pPr>
        <w:keepLines/>
        <w:tabs>
          <w:tab w:val="left" w:pos="450"/>
        </w:tabs>
        <w:jc w:val="both"/>
        <w:rPr>
          <w:color w:val="000000"/>
          <w:szCs w:val="22"/>
        </w:rPr>
      </w:pPr>
      <w:r w:rsidRPr="003A3AF1">
        <w:rPr>
          <w:spacing w:val="-2"/>
          <w:szCs w:val="22"/>
        </w:rPr>
        <w:tab/>
      </w:r>
      <w:r w:rsidRPr="003A3AF1">
        <w:rPr>
          <w:spacing w:val="-2"/>
          <w:szCs w:val="22"/>
        </w:rPr>
        <w:tab/>
      </w:r>
      <w:r w:rsidRPr="003A3AF1">
        <w:rPr>
          <w:spacing w:val="-2"/>
          <w:szCs w:val="22"/>
        </w:rPr>
        <w:tab/>
      </w:r>
      <w:r w:rsidRPr="003A3AF1">
        <w:rPr>
          <w:spacing w:val="-2"/>
          <w:szCs w:val="22"/>
        </w:rPr>
        <w:tab/>
      </w:r>
      <w:r w:rsidRPr="003A3AF1">
        <w:rPr>
          <w:spacing w:val="-2"/>
          <w:szCs w:val="22"/>
        </w:rPr>
        <w:tab/>
      </w:r>
      <w:r w:rsidRPr="003A3AF1">
        <w:rPr>
          <w:spacing w:val="-2"/>
          <w:szCs w:val="22"/>
        </w:rPr>
        <w:tab/>
      </w:r>
      <w:r w:rsidRPr="003A3AF1">
        <w:rPr>
          <w:spacing w:val="-2"/>
          <w:szCs w:val="22"/>
        </w:rPr>
        <w:tab/>
      </w:r>
      <w:r w:rsidRPr="003A3AF1">
        <w:rPr>
          <w:color w:val="000000"/>
          <w:szCs w:val="22"/>
        </w:rPr>
        <w:t>P. Michele Ellison</w:t>
      </w:r>
    </w:p>
    <w:p w:rsidR="00561907" w:rsidRDefault="00561907" w:rsidP="00561907">
      <w:pPr>
        <w:ind w:left="3600" w:firstLine="720"/>
        <w:jc w:val="both"/>
        <w:rPr>
          <w:color w:val="000000"/>
          <w:szCs w:val="22"/>
        </w:rPr>
      </w:pPr>
      <w:r w:rsidRPr="003A3AF1">
        <w:rPr>
          <w:color w:val="000000"/>
          <w:szCs w:val="22"/>
        </w:rPr>
        <w:t xml:space="preserve">Chief, Enforcement </w:t>
      </w:r>
      <w:r>
        <w:rPr>
          <w:color w:val="000000"/>
          <w:szCs w:val="22"/>
        </w:rPr>
        <w:t>Bureau</w:t>
      </w:r>
      <w:bookmarkEnd w:id="0"/>
    </w:p>
    <w:p w:rsidR="00561907" w:rsidRDefault="00561907" w:rsidP="00561907"/>
    <w:p w:rsidR="00216E32" w:rsidRDefault="00216E32" w:rsidP="00C46B1F">
      <w:pPr>
        <w:widowControl/>
        <w:jc w:val="center"/>
        <w:outlineLvl w:val="0"/>
        <w:rPr>
          <w:b/>
          <w:szCs w:val="22"/>
        </w:rPr>
        <w:sectPr w:rsidR="00216E32" w:rsidSect="00111274">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720" w:left="1440" w:header="720" w:footer="720" w:gutter="0"/>
          <w:pgNumType w:start="1"/>
          <w:cols w:space="720"/>
          <w:noEndnote/>
          <w:titlePg/>
          <w:docGrid w:linePitch="299"/>
        </w:sectPr>
      </w:pPr>
    </w:p>
    <w:p w:rsidR="00A17A3B" w:rsidRPr="009F3455" w:rsidRDefault="00BF68AF" w:rsidP="00C46B1F">
      <w:pPr>
        <w:widowControl/>
        <w:jc w:val="center"/>
        <w:outlineLvl w:val="0"/>
        <w:rPr>
          <w:b/>
          <w:szCs w:val="22"/>
        </w:rPr>
      </w:pPr>
      <w:r>
        <w:rPr>
          <w:b/>
          <w:szCs w:val="22"/>
        </w:rPr>
        <w:lastRenderedPageBreak/>
        <w:t>B</w:t>
      </w:r>
      <w:r w:rsidR="00A17A3B" w:rsidRPr="009F3455">
        <w:rPr>
          <w:b/>
          <w:szCs w:val="22"/>
        </w:rPr>
        <w:t>efore the</w:t>
      </w:r>
    </w:p>
    <w:p w:rsidR="00A17A3B" w:rsidRPr="009F3455" w:rsidRDefault="00A17A3B" w:rsidP="00C46B1F">
      <w:pPr>
        <w:widowControl/>
        <w:jc w:val="center"/>
        <w:outlineLvl w:val="0"/>
        <w:rPr>
          <w:b/>
          <w:szCs w:val="22"/>
        </w:rPr>
      </w:pPr>
      <w:r w:rsidRPr="009F3455">
        <w:rPr>
          <w:b/>
          <w:szCs w:val="22"/>
        </w:rPr>
        <w:t>Federal Communications Commission</w:t>
      </w:r>
    </w:p>
    <w:p w:rsidR="00A17A3B" w:rsidRPr="009F3455" w:rsidRDefault="00A17A3B" w:rsidP="00C46B1F">
      <w:pPr>
        <w:widowControl/>
        <w:jc w:val="center"/>
        <w:outlineLvl w:val="0"/>
        <w:rPr>
          <w:b/>
          <w:szCs w:val="22"/>
        </w:rPr>
      </w:pPr>
      <w:r w:rsidRPr="009F3455">
        <w:rPr>
          <w:b/>
          <w:szCs w:val="22"/>
        </w:rPr>
        <w:t>Washington, D.C. 20554</w:t>
      </w:r>
    </w:p>
    <w:p w:rsidR="00A17A3B" w:rsidRPr="009F3455" w:rsidRDefault="00A17A3B" w:rsidP="00C46B1F">
      <w:pPr>
        <w:widowControl/>
        <w:rPr>
          <w:szCs w:val="22"/>
        </w:rPr>
      </w:pPr>
    </w:p>
    <w:tbl>
      <w:tblPr>
        <w:tblW w:w="0" w:type="auto"/>
        <w:tblLayout w:type="fixed"/>
        <w:tblLook w:val="0000" w:firstRow="0" w:lastRow="0" w:firstColumn="0" w:lastColumn="0" w:noHBand="0" w:noVBand="0"/>
      </w:tblPr>
      <w:tblGrid>
        <w:gridCol w:w="4698"/>
        <w:gridCol w:w="720"/>
        <w:gridCol w:w="4230"/>
      </w:tblGrid>
      <w:tr w:rsidR="00A17A3B" w:rsidRPr="009F3455" w:rsidTr="000B076B">
        <w:tc>
          <w:tcPr>
            <w:tcW w:w="4698" w:type="dxa"/>
            <w:shd w:val="clear" w:color="auto" w:fill="auto"/>
          </w:tcPr>
          <w:p w:rsidR="00A17A3B" w:rsidRPr="009F3455" w:rsidRDefault="00A17A3B" w:rsidP="00C46B1F">
            <w:pPr>
              <w:widowControl/>
              <w:ind w:right="-18"/>
              <w:rPr>
                <w:szCs w:val="22"/>
              </w:rPr>
            </w:pPr>
          </w:p>
          <w:p w:rsidR="00861509" w:rsidRPr="009F3455" w:rsidRDefault="00861509" w:rsidP="00C46B1F">
            <w:pPr>
              <w:widowControl/>
              <w:ind w:right="-18"/>
            </w:pPr>
            <w:r w:rsidRPr="009F3455">
              <w:t>In the Matter of</w:t>
            </w:r>
          </w:p>
          <w:p w:rsidR="00861509" w:rsidRPr="009F3455" w:rsidRDefault="00861509" w:rsidP="00C46B1F">
            <w:pPr>
              <w:widowControl/>
              <w:ind w:right="-18"/>
            </w:pPr>
          </w:p>
          <w:p w:rsidR="00861509" w:rsidRPr="002D315F" w:rsidRDefault="005E1B20" w:rsidP="00C46B1F">
            <w:pPr>
              <w:widowControl/>
              <w:ind w:right="-18"/>
              <w:rPr>
                <w:lang w:val="es-ES"/>
              </w:rPr>
            </w:pPr>
            <w:r w:rsidRPr="002D315F">
              <w:rPr>
                <w:lang w:val="es-ES"/>
              </w:rPr>
              <w:t>Fiducia, Inc.</w:t>
            </w:r>
            <w:r w:rsidR="00CE15AC" w:rsidRPr="002D315F">
              <w:rPr>
                <w:lang w:val="es-ES"/>
              </w:rPr>
              <w:t xml:space="preserve"> d/b/a </w:t>
            </w:r>
            <w:r>
              <w:rPr>
                <w:lang w:val="es-ES"/>
              </w:rPr>
              <w:t>“</w:t>
            </w:r>
            <w:r w:rsidR="007972DB" w:rsidRPr="002D315F">
              <w:rPr>
                <w:lang w:val="es-ES"/>
              </w:rPr>
              <w:t>America’s Toner</w:t>
            </w:r>
            <w:r>
              <w:rPr>
                <w:lang w:val="es-ES"/>
              </w:rPr>
              <w:t>”; “Toner Dome”; TDI, Inc.; John David</w:t>
            </w:r>
          </w:p>
          <w:p w:rsidR="00861509" w:rsidRPr="002D315F" w:rsidRDefault="00861509" w:rsidP="00C46B1F">
            <w:pPr>
              <w:widowControl/>
              <w:ind w:right="-18"/>
              <w:rPr>
                <w:lang w:val="es-ES"/>
              </w:rPr>
            </w:pPr>
            <w:r w:rsidRPr="002D315F">
              <w:rPr>
                <w:lang w:val="es-ES"/>
              </w:rPr>
              <w:t xml:space="preserve"> </w:t>
            </w:r>
          </w:p>
          <w:p w:rsidR="00A17A3B" w:rsidRPr="002D315F" w:rsidRDefault="00A17A3B" w:rsidP="00C46B1F">
            <w:pPr>
              <w:widowControl/>
              <w:ind w:right="-18"/>
              <w:rPr>
                <w:szCs w:val="22"/>
                <w:lang w:val="es-ES"/>
              </w:rPr>
            </w:pPr>
          </w:p>
        </w:tc>
        <w:tc>
          <w:tcPr>
            <w:tcW w:w="720" w:type="dxa"/>
            <w:shd w:val="clear" w:color="auto" w:fill="auto"/>
          </w:tcPr>
          <w:p w:rsidR="00A17A3B" w:rsidRPr="009F3455" w:rsidRDefault="00A17A3B" w:rsidP="00C46B1F">
            <w:pPr>
              <w:widowControl/>
              <w:rPr>
                <w:b/>
                <w:szCs w:val="22"/>
              </w:rPr>
            </w:pPr>
            <w:r w:rsidRPr="009F3455">
              <w:rPr>
                <w:b/>
                <w:szCs w:val="22"/>
              </w:rPr>
              <w:t>)</w:t>
            </w:r>
          </w:p>
          <w:p w:rsidR="00A17A3B" w:rsidRPr="009F3455" w:rsidRDefault="00A17A3B" w:rsidP="00C46B1F">
            <w:pPr>
              <w:widowControl/>
              <w:rPr>
                <w:b/>
                <w:szCs w:val="22"/>
              </w:rPr>
            </w:pPr>
            <w:r w:rsidRPr="009F3455">
              <w:rPr>
                <w:b/>
                <w:szCs w:val="22"/>
              </w:rPr>
              <w:t>)</w:t>
            </w:r>
          </w:p>
          <w:p w:rsidR="00A17A3B" w:rsidRPr="009F3455" w:rsidRDefault="00A17A3B" w:rsidP="00C46B1F">
            <w:pPr>
              <w:widowControl/>
              <w:rPr>
                <w:b/>
                <w:szCs w:val="22"/>
              </w:rPr>
            </w:pPr>
            <w:r w:rsidRPr="009F3455">
              <w:rPr>
                <w:b/>
                <w:szCs w:val="22"/>
              </w:rPr>
              <w:t>)</w:t>
            </w:r>
          </w:p>
          <w:p w:rsidR="00A17A3B" w:rsidRPr="009F3455" w:rsidRDefault="00A17A3B" w:rsidP="00C46B1F">
            <w:pPr>
              <w:widowControl/>
              <w:rPr>
                <w:b/>
                <w:szCs w:val="22"/>
              </w:rPr>
            </w:pPr>
            <w:r w:rsidRPr="009F3455">
              <w:rPr>
                <w:b/>
                <w:szCs w:val="22"/>
              </w:rPr>
              <w:t>)</w:t>
            </w:r>
          </w:p>
          <w:p w:rsidR="00A17A3B" w:rsidRPr="009F3455" w:rsidRDefault="00A17A3B" w:rsidP="00C46B1F">
            <w:pPr>
              <w:widowControl/>
              <w:rPr>
                <w:b/>
                <w:szCs w:val="22"/>
              </w:rPr>
            </w:pPr>
            <w:r w:rsidRPr="009F3455">
              <w:rPr>
                <w:b/>
                <w:szCs w:val="22"/>
              </w:rPr>
              <w:t>)</w:t>
            </w:r>
          </w:p>
          <w:p w:rsidR="00A17A3B" w:rsidRPr="009F3455" w:rsidRDefault="00A17A3B" w:rsidP="00C46B1F">
            <w:pPr>
              <w:widowControl/>
              <w:rPr>
                <w:b/>
                <w:szCs w:val="22"/>
              </w:rPr>
            </w:pPr>
            <w:r w:rsidRPr="009F3455">
              <w:rPr>
                <w:b/>
                <w:szCs w:val="22"/>
              </w:rPr>
              <w:t>)</w:t>
            </w:r>
          </w:p>
          <w:p w:rsidR="00A17A3B" w:rsidRPr="009F3455" w:rsidRDefault="00A17A3B" w:rsidP="00C46B1F">
            <w:pPr>
              <w:widowControl/>
              <w:rPr>
                <w:b/>
                <w:szCs w:val="22"/>
              </w:rPr>
            </w:pPr>
          </w:p>
          <w:p w:rsidR="00A17A3B" w:rsidRPr="009F3455" w:rsidRDefault="00A17A3B" w:rsidP="00C46B1F">
            <w:pPr>
              <w:widowControl/>
              <w:rPr>
                <w:b/>
                <w:szCs w:val="22"/>
              </w:rPr>
            </w:pPr>
          </w:p>
        </w:tc>
        <w:tc>
          <w:tcPr>
            <w:tcW w:w="4230" w:type="dxa"/>
            <w:shd w:val="clear" w:color="auto" w:fill="auto"/>
          </w:tcPr>
          <w:p w:rsidR="00A17A3B" w:rsidRPr="009F3455" w:rsidRDefault="00A17A3B" w:rsidP="00C46B1F">
            <w:pPr>
              <w:widowControl/>
              <w:rPr>
                <w:szCs w:val="22"/>
              </w:rPr>
            </w:pPr>
          </w:p>
          <w:p w:rsidR="00861509" w:rsidRPr="009F3455" w:rsidRDefault="004B6395" w:rsidP="00C46B1F">
            <w:pPr>
              <w:widowControl/>
              <w:rPr>
                <w:spacing w:val="-2"/>
              </w:rPr>
            </w:pPr>
            <w:r w:rsidRPr="009F3455">
              <w:rPr>
                <w:spacing w:val="-2"/>
              </w:rPr>
              <w:t xml:space="preserve">File No.:  </w:t>
            </w:r>
            <w:r w:rsidR="00B94542" w:rsidRPr="009F3455">
              <w:rPr>
                <w:spacing w:val="-2"/>
              </w:rPr>
              <w:t>EB-TCD-12-</w:t>
            </w:r>
            <w:r w:rsidR="00A41A4A">
              <w:rPr>
                <w:spacing w:val="-2"/>
              </w:rPr>
              <w:t>00000197</w:t>
            </w:r>
            <w:r w:rsidR="00EE7CB8">
              <w:rPr>
                <w:rStyle w:val="FootnoteReference"/>
                <w:spacing w:val="-2"/>
              </w:rPr>
              <w:footnoteReference w:id="7"/>
            </w:r>
          </w:p>
          <w:p w:rsidR="00A41A4A" w:rsidRDefault="00A41A4A" w:rsidP="00C46B1F">
            <w:pPr>
              <w:widowControl/>
              <w:rPr>
                <w:spacing w:val="-2"/>
              </w:rPr>
            </w:pPr>
          </w:p>
          <w:p w:rsidR="00861509" w:rsidRDefault="00861509" w:rsidP="00C46B1F">
            <w:pPr>
              <w:widowControl/>
              <w:rPr>
                <w:spacing w:val="-2"/>
                <w:szCs w:val="22"/>
              </w:rPr>
            </w:pPr>
            <w:r w:rsidRPr="009F3455">
              <w:rPr>
                <w:spacing w:val="-2"/>
              </w:rPr>
              <w:t>NAL/Acct. No</w:t>
            </w:r>
            <w:r w:rsidRPr="009F3455">
              <w:rPr>
                <w:spacing w:val="-2"/>
                <w:szCs w:val="22"/>
              </w:rPr>
              <w:t xml:space="preserve">.: </w:t>
            </w:r>
            <w:r w:rsidR="00A41A4A">
              <w:rPr>
                <w:spacing w:val="-2"/>
                <w:szCs w:val="22"/>
              </w:rPr>
              <w:t>200832170066</w:t>
            </w:r>
            <w:r w:rsidRPr="009F3455">
              <w:rPr>
                <w:spacing w:val="-2"/>
                <w:szCs w:val="22"/>
              </w:rPr>
              <w:t xml:space="preserve"> </w:t>
            </w:r>
          </w:p>
          <w:p w:rsidR="00184804" w:rsidRPr="009F3455" w:rsidRDefault="00184804" w:rsidP="00C46B1F">
            <w:pPr>
              <w:widowControl/>
              <w:rPr>
                <w:spacing w:val="-2"/>
                <w:szCs w:val="22"/>
              </w:rPr>
            </w:pPr>
          </w:p>
          <w:p w:rsidR="00861509" w:rsidRPr="00A41A4A" w:rsidRDefault="00861509" w:rsidP="00C46B1F">
            <w:pPr>
              <w:widowControl/>
              <w:rPr>
                <w:rFonts w:cs="Arial"/>
                <w:b/>
                <w:color w:val="000000"/>
                <w:szCs w:val="24"/>
              </w:rPr>
            </w:pPr>
            <w:r w:rsidRPr="009F3455">
              <w:rPr>
                <w:spacing w:val="-2"/>
                <w:szCs w:val="22"/>
              </w:rPr>
              <w:t>FRN</w:t>
            </w:r>
            <w:r w:rsidRPr="00A41A4A">
              <w:rPr>
                <w:spacing w:val="-2"/>
                <w:szCs w:val="22"/>
              </w:rPr>
              <w:t xml:space="preserve">:  </w:t>
            </w:r>
            <w:r w:rsidR="00A41A4A" w:rsidRPr="00A41A4A">
              <w:rPr>
                <w:spacing w:val="-2"/>
                <w:szCs w:val="22"/>
              </w:rPr>
              <w:t>0017433186</w:t>
            </w:r>
          </w:p>
          <w:p w:rsidR="00A17A3B" w:rsidRPr="009F3455" w:rsidRDefault="00A17A3B" w:rsidP="00C46B1F">
            <w:pPr>
              <w:widowControl/>
              <w:rPr>
                <w:szCs w:val="22"/>
              </w:rPr>
            </w:pPr>
          </w:p>
        </w:tc>
      </w:tr>
    </w:tbl>
    <w:p w:rsidR="00A17A3B" w:rsidRPr="009F3455" w:rsidRDefault="00A17A3B" w:rsidP="00C46B1F">
      <w:pPr>
        <w:keepNext/>
        <w:widowControl/>
        <w:jc w:val="center"/>
        <w:rPr>
          <w:b/>
          <w:szCs w:val="22"/>
        </w:rPr>
      </w:pPr>
      <w:r w:rsidRPr="009F3455">
        <w:rPr>
          <w:b/>
          <w:szCs w:val="22"/>
        </w:rPr>
        <w:t>CONSENT DECREE</w:t>
      </w:r>
    </w:p>
    <w:p w:rsidR="00A17A3B" w:rsidRPr="009F3455" w:rsidRDefault="00A17A3B" w:rsidP="00C46B1F">
      <w:pPr>
        <w:keepNext/>
        <w:widowControl/>
        <w:rPr>
          <w:szCs w:val="22"/>
        </w:rPr>
      </w:pPr>
    </w:p>
    <w:p w:rsidR="00B36DA1" w:rsidRPr="009F3455" w:rsidRDefault="00B36DA1" w:rsidP="00C46B1F">
      <w:pPr>
        <w:pStyle w:val="Heading1"/>
        <w:widowControl/>
      </w:pPr>
      <w:r>
        <w:t>Introduction</w:t>
      </w:r>
    </w:p>
    <w:p w:rsidR="00AC332E" w:rsidRDefault="00A17A3B" w:rsidP="00C46B1F">
      <w:pPr>
        <w:pStyle w:val="ParaNum0"/>
        <w:widowControl/>
        <w:numPr>
          <w:ilvl w:val="0"/>
          <w:numId w:val="0"/>
        </w:numPr>
        <w:ind w:firstLine="720"/>
      </w:pPr>
      <w:r w:rsidRPr="009F3455">
        <w:t>The Enforcement Bureau of the Federal Communications Commission</w:t>
      </w:r>
      <w:r w:rsidR="00954CC5">
        <w:t xml:space="preserve">, </w:t>
      </w:r>
      <w:r w:rsidR="005E1B20">
        <w:t>TDI, Inc. and “Toner Dome,” successors in interest to Fiducia, Inc.</w:t>
      </w:r>
      <w:r w:rsidR="00AA6460">
        <w:t xml:space="preserve"> d/b/a</w:t>
      </w:r>
      <w:r w:rsidR="00954CC5">
        <w:t xml:space="preserve"> </w:t>
      </w:r>
      <w:r w:rsidR="005E1B20">
        <w:t>“</w:t>
      </w:r>
      <w:r w:rsidR="007972DB">
        <w:t>America’s Toner</w:t>
      </w:r>
      <w:r w:rsidR="005E1B20">
        <w:t>,” and John David</w:t>
      </w:r>
      <w:r w:rsidRPr="009F3455">
        <w:t xml:space="preserve"> hereby enter into this Consent Decree </w:t>
      </w:r>
      <w:r w:rsidR="004E26E2">
        <w:t xml:space="preserve">for the purpose of terminating </w:t>
      </w:r>
      <w:r w:rsidRPr="009F3455">
        <w:t xml:space="preserve">the </w:t>
      </w:r>
      <w:r w:rsidR="00750C98" w:rsidRPr="009F3455">
        <w:t xml:space="preserve">Enforcement </w:t>
      </w:r>
      <w:r w:rsidRPr="009F3455">
        <w:t xml:space="preserve">Bureau’s </w:t>
      </w:r>
      <w:r w:rsidR="002A72D2" w:rsidRPr="009F3455">
        <w:t>i</w:t>
      </w:r>
      <w:r w:rsidRPr="009F3455">
        <w:t xml:space="preserve">nvestigation into </w:t>
      </w:r>
      <w:r w:rsidR="004E26E2">
        <w:t xml:space="preserve">whether </w:t>
      </w:r>
      <w:r w:rsidR="005E1B20">
        <w:t>they</w:t>
      </w:r>
      <w:r w:rsidR="004E26E2">
        <w:t xml:space="preserve"> violated </w:t>
      </w:r>
      <w:r w:rsidR="00ED5053" w:rsidRPr="009F3455">
        <w:t>Section</w:t>
      </w:r>
      <w:r w:rsidRPr="009F3455">
        <w:t xml:space="preserve"> 2</w:t>
      </w:r>
      <w:r w:rsidR="002867D4" w:rsidRPr="009F3455">
        <w:t>27</w:t>
      </w:r>
      <w:r w:rsidR="002A72D2" w:rsidRPr="009F3455">
        <w:t>(b)(1)(C)</w:t>
      </w:r>
      <w:r w:rsidR="000E5361" w:rsidRPr="009F3455">
        <w:t xml:space="preserve"> </w:t>
      </w:r>
      <w:r w:rsidR="002867D4" w:rsidRPr="009F3455">
        <w:t>of</w:t>
      </w:r>
      <w:r w:rsidRPr="009F3455">
        <w:t xml:space="preserve"> the Communi</w:t>
      </w:r>
      <w:r w:rsidR="00D25ED7" w:rsidRPr="009F3455">
        <w:t>cations Act of 1934, as amended</w:t>
      </w:r>
      <w:r w:rsidRPr="009F3455">
        <w:t>,</w:t>
      </w:r>
      <w:r w:rsidRPr="009F3455">
        <w:rPr>
          <w:rStyle w:val="FootnoteReference"/>
        </w:rPr>
        <w:footnoteReference w:id="8"/>
      </w:r>
      <w:r w:rsidRPr="009F3455">
        <w:t xml:space="preserve"> and </w:t>
      </w:r>
      <w:r w:rsidR="00ED5053" w:rsidRPr="009F3455">
        <w:t>Section</w:t>
      </w:r>
      <w:r w:rsidRPr="009F3455">
        <w:t xml:space="preserve"> 64.12</w:t>
      </w:r>
      <w:r w:rsidR="002867D4" w:rsidRPr="009F3455">
        <w:t>0</w:t>
      </w:r>
      <w:r w:rsidRPr="009F3455">
        <w:t>0</w:t>
      </w:r>
      <w:r w:rsidR="00554D97" w:rsidRPr="009F3455">
        <w:t>(a)(</w:t>
      </w:r>
      <w:r w:rsidR="009642A7">
        <w:t>4</w:t>
      </w:r>
      <w:r w:rsidR="00554D97" w:rsidRPr="009F3455">
        <w:t>)</w:t>
      </w:r>
      <w:r w:rsidRPr="009F3455">
        <w:t xml:space="preserve"> of the Commission’s rules</w:t>
      </w:r>
      <w:r w:rsidRPr="009F3455">
        <w:rPr>
          <w:rStyle w:val="FootnoteReference"/>
          <w:szCs w:val="22"/>
        </w:rPr>
        <w:footnoteReference w:id="9"/>
      </w:r>
      <w:r w:rsidR="002A72D2" w:rsidRPr="009F3455">
        <w:t xml:space="preserve"> with respect to the delivery of unsolicited advertisements to telephone facsimile machines</w:t>
      </w:r>
      <w:r w:rsidR="008F7715">
        <w:t>.</w:t>
      </w:r>
      <w:r w:rsidRPr="009F3455">
        <w:t xml:space="preserve">  </w:t>
      </w:r>
    </w:p>
    <w:p w:rsidR="00A17A3B" w:rsidRPr="009F3455" w:rsidRDefault="00A17A3B" w:rsidP="00C46B1F">
      <w:pPr>
        <w:pStyle w:val="Heading1"/>
        <w:widowControl/>
      </w:pPr>
      <w:r w:rsidRPr="009F3455">
        <w:t>DEFINITIONS</w:t>
      </w:r>
    </w:p>
    <w:p w:rsidR="00A17A3B" w:rsidRPr="009F3455" w:rsidRDefault="00A17A3B" w:rsidP="004D2045">
      <w:pPr>
        <w:pStyle w:val="ParaNum0"/>
        <w:widowControl/>
        <w:numPr>
          <w:ilvl w:val="0"/>
          <w:numId w:val="21"/>
        </w:numPr>
      </w:pPr>
      <w:r w:rsidRPr="009F3455">
        <w:t>For the purposes of this Consent Decree, the following definitions shall apply:</w:t>
      </w:r>
    </w:p>
    <w:p w:rsidR="002666A1" w:rsidRPr="009F3455" w:rsidRDefault="002666A1" w:rsidP="00C46B1F">
      <w:pPr>
        <w:pStyle w:val="ColorfulList-Accent11"/>
        <w:widowControl/>
        <w:numPr>
          <w:ilvl w:val="0"/>
          <w:numId w:val="12"/>
        </w:numPr>
        <w:tabs>
          <w:tab w:val="left" w:pos="2160"/>
        </w:tabs>
        <w:spacing w:after="120"/>
        <w:ind w:left="2160" w:hanging="720"/>
        <w:rPr>
          <w:i/>
          <w:szCs w:val="22"/>
        </w:rPr>
      </w:pPr>
      <w:r w:rsidRPr="009F3455">
        <w:rPr>
          <w:szCs w:val="22"/>
        </w:rPr>
        <w:t>“Act”</w:t>
      </w:r>
      <w:r w:rsidRPr="009F3455">
        <w:rPr>
          <w:rStyle w:val="ParanumChar0"/>
          <w:szCs w:val="22"/>
        </w:rPr>
        <w:t xml:space="preserve"> </w:t>
      </w:r>
      <w:r w:rsidRPr="009F3455">
        <w:rPr>
          <w:szCs w:val="22"/>
        </w:rPr>
        <w:t xml:space="preserve">means the Communications Act of 1934, as amended, 47 U.S.C. § 151 </w:t>
      </w:r>
      <w:r w:rsidRPr="009F3455">
        <w:rPr>
          <w:i/>
          <w:szCs w:val="22"/>
        </w:rPr>
        <w:t>et seq.</w:t>
      </w:r>
    </w:p>
    <w:p w:rsidR="002666A1" w:rsidRPr="009F3455" w:rsidRDefault="002666A1" w:rsidP="00C46B1F">
      <w:pPr>
        <w:pStyle w:val="ColorfulList-Accent11"/>
        <w:widowControl/>
        <w:numPr>
          <w:ilvl w:val="0"/>
          <w:numId w:val="12"/>
        </w:numPr>
        <w:tabs>
          <w:tab w:val="left" w:pos="2160"/>
        </w:tabs>
        <w:spacing w:after="120"/>
        <w:ind w:left="2160" w:hanging="720"/>
        <w:rPr>
          <w:szCs w:val="22"/>
        </w:rPr>
      </w:pPr>
      <w:r w:rsidRPr="009F3455">
        <w:rPr>
          <w:szCs w:val="22"/>
        </w:rPr>
        <w:t>“Adopting Order” means an order of the Bureau adopting the terms of this Consent Decree without change, addition, deletion, or modification.</w:t>
      </w:r>
    </w:p>
    <w:p w:rsidR="002666A1" w:rsidRDefault="002666A1" w:rsidP="00C46B1F">
      <w:pPr>
        <w:pStyle w:val="ColorfulList-Accent11"/>
        <w:widowControl/>
        <w:numPr>
          <w:ilvl w:val="0"/>
          <w:numId w:val="12"/>
        </w:numPr>
        <w:tabs>
          <w:tab w:val="left" w:pos="2160"/>
        </w:tabs>
        <w:spacing w:after="120"/>
        <w:ind w:left="2160" w:hanging="720"/>
        <w:rPr>
          <w:szCs w:val="22"/>
        </w:rPr>
      </w:pPr>
      <w:r w:rsidRPr="009F3455">
        <w:rPr>
          <w:szCs w:val="22"/>
        </w:rPr>
        <w:t>“Advertisement” means any material advertising the commercial availability or quality of any property, goods, or services.</w:t>
      </w:r>
    </w:p>
    <w:p w:rsidR="002666A1" w:rsidRPr="009F3455" w:rsidRDefault="00CE579D" w:rsidP="00C46B1F">
      <w:pPr>
        <w:pStyle w:val="ColorfulList-Accent11"/>
        <w:widowControl/>
        <w:numPr>
          <w:ilvl w:val="0"/>
          <w:numId w:val="12"/>
        </w:numPr>
        <w:tabs>
          <w:tab w:val="left" w:pos="2160"/>
        </w:tabs>
        <w:spacing w:after="120"/>
        <w:ind w:left="2160" w:hanging="720"/>
        <w:rPr>
          <w:szCs w:val="22"/>
        </w:rPr>
      </w:pPr>
      <w:r w:rsidDel="005E1B20">
        <w:rPr>
          <w:szCs w:val="22"/>
        </w:rPr>
        <w:t xml:space="preserve"> </w:t>
      </w:r>
      <w:r w:rsidR="002666A1" w:rsidRPr="009F3455">
        <w:rPr>
          <w:szCs w:val="22"/>
        </w:rPr>
        <w:t>“Bureau” means the Enforcement Bureau of the Federal Communications Commission.</w:t>
      </w:r>
    </w:p>
    <w:p w:rsidR="002666A1" w:rsidRPr="009F3455" w:rsidRDefault="002666A1" w:rsidP="00C46B1F">
      <w:pPr>
        <w:pStyle w:val="ColorfulList-Accent11"/>
        <w:widowControl/>
        <w:numPr>
          <w:ilvl w:val="0"/>
          <w:numId w:val="12"/>
        </w:numPr>
        <w:tabs>
          <w:tab w:val="left" w:pos="2160"/>
        </w:tabs>
        <w:spacing w:after="120"/>
        <w:ind w:left="2160" w:hanging="720"/>
        <w:rPr>
          <w:szCs w:val="22"/>
        </w:rPr>
      </w:pPr>
      <w:r w:rsidRPr="009F3455">
        <w:t xml:space="preserve">“Commission” and “FCC” mean the Federal Communications Commission and all of its bureaus and offices. </w:t>
      </w:r>
    </w:p>
    <w:p w:rsidR="002666A1" w:rsidRDefault="002666A1" w:rsidP="00C46B1F">
      <w:pPr>
        <w:pStyle w:val="ColorfulList-Accent11"/>
        <w:widowControl/>
        <w:numPr>
          <w:ilvl w:val="0"/>
          <w:numId w:val="12"/>
        </w:numPr>
        <w:tabs>
          <w:tab w:val="left" w:pos="2160"/>
        </w:tabs>
        <w:spacing w:after="120"/>
        <w:ind w:left="2160" w:hanging="720"/>
        <w:rPr>
          <w:szCs w:val="22"/>
        </w:rPr>
      </w:pPr>
      <w:r w:rsidRPr="009F3455">
        <w:t>“</w:t>
      </w:r>
      <w:r w:rsidRPr="009F3455">
        <w:rPr>
          <w:szCs w:val="22"/>
        </w:rPr>
        <w:t xml:space="preserve">Communications Laws” means collectively, the Act, the Rules, and the published and promulgated orders and decisions of the Commission to which </w:t>
      </w:r>
      <w:r w:rsidR="00CE579D">
        <w:rPr>
          <w:szCs w:val="22"/>
        </w:rPr>
        <w:t xml:space="preserve">any </w:t>
      </w:r>
      <w:r w:rsidR="00FA0853">
        <w:rPr>
          <w:szCs w:val="22"/>
        </w:rPr>
        <w:t>Compan</w:t>
      </w:r>
      <w:r w:rsidR="00CE579D">
        <w:rPr>
          <w:szCs w:val="22"/>
        </w:rPr>
        <w:t>y</w:t>
      </w:r>
      <w:r w:rsidR="00FA0853">
        <w:rPr>
          <w:szCs w:val="22"/>
        </w:rPr>
        <w:t xml:space="preserve"> or</w:t>
      </w:r>
      <w:r w:rsidR="000364D8">
        <w:rPr>
          <w:szCs w:val="22"/>
        </w:rPr>
        <w:t xml:space="preserve"> John David </w:t>
      </w:r>
      <w:r w:rsidR="00CE579D">
        <w:rPr>
          <w:szCs w:val="22"/>
        </w:rPr>
        <w:t>is</w:t>
      </w:r>
      <w:r w:rsidR="00CE579D" w:rsidRPr="009F3455">
        <w:rPr>
          <w:szCs w:val="22"/>
        </w:rPr>
        <w:t xml:space="preserve"> </w:t>
      </w:r>
      <w:r w:rsidRPr="009F3455">
        <w:rPr>
          <w:szCs w:val="22"/>
        </w:rPr>
        <w:t xml:space="preserve">subject by virtue of </w:t>
      </w:r>
      <w:r w:rsidR="00CE579D">
        <w:rPr>
          <w:szCs w:val="22"/>
        </w:rPr>
        <w:t>its or his</w:t>
      </w:r>
      <w:r w:rsidR="00CE579D" w:rsidRPr="009F3455">
        <w:rPr>
          <w:szCs w:val="22"/>
        </w:rPr>
        <w:t xml:space="preserve"> </w:t>
      </w:r>
      <w:r w:rsidRPr="009F3455">
        <w:rPr>
          <w:szCs w:val="22"/>
        </w:rPr>
        <w:t xml:space="preserve">business activities, including, but not limited to, the Unsolicited Facsimile Rules.  </w:t>
      </w:r>
    </w:p>
    <w:p w:rsidR="00B818EB" w:rsidRDefault="00CE579D" w:rsidP="00C46B1F">
      <w:pPr>
        <w:pStyle w:val="ColorfulList-Accent11"/>
        <w:widowControl/>
        <w:numPr>
          <w:ilvl w:val="0"/>
          <w:numId w:val="12"/>
        </w:numPr>
        <w:tabs>
          <w:tab w:val="left" w:pos="2160"/>
        </w:tabs>
        <w:spacing w:after="120"/>
        <w:ind w:left="2160" w:hanging="720"/>
        <w:rPr>
          <w:szCs w:val="22"/>
        </w:rPr>
      </w:pPr>
      <w:r w:rsidRPr="009405FB">
        <w:rPr>
          <w:szCs w:val="22"/>
        </w:rPr>
        <w:t xml:space="preserve">“Companies” means Fiducia, Inc., d/b/a “America’s Toner,” TDI, Inc., “Toner Dome,” and any other business John David controls, each of which is a “Company.” </w:t>
      </w:r>
    </w:p>
    <w:p w:rsidR="002666A1" w:rsidRPr="009F3455" w:rsidRDefault="002666A1" w:rsidP="00C46B1F">
      <w:pPr>
        <w:pStyle w:val="ColorfulList-Accent11"/>
        <w:widowControl/>
        <w:numPr>
          <w:ilvl w:val="0"/>
          <w:numId w:val="12"/>
        </w:numPr>
        <w:tabs>
          <w:tab w:val="left" w:pos="2160"/>
        </w:tabs>
        <w:spacing w:after="120"/>
        <w:ind w:left="2160" w:hanging="720"/>
        <w:rPr>
          <w:szCs w:val="22"/>
        </w:rPr>
      </w:pPr>
      <w:r w:rsidRPr="009F3455">
        <w:t xml:space="preserve">“Complaint” means any complaint </w:t>
      </w:r>
      <w:r w:rsidR="00EE7CB8">
        <w:t>John David</w:t>
      </w:r>
      <w:r w:rsidRPr="009F3455">
        <w:t xml:space="preserve"> </w:t>
      </w:r>
      <w:r w:rsidR="00466CAF">
        <w:t xml:space="preserve">or any </w:t>
      </w:r>
      <w:r w:rsidR="00CE579D">
        <w:t xml:space="preserve">Company </w:t>
      </w:r>
      <w:r w:rsidRPr="009F3455">
        <w:t>receives</w:t>
      </w:r>
      <w:r w:rsidR="00890895">
        <w:t xml:space="preserve"> </w:t>
      </w:r>
      <w:r w:rsidRPr="009F3455">
        <w:t>directly</w:t>
      </w:r>
      <w:r w:rsidR="006A763D">
        <w:t xml:space="preserve"> </w:t>
      </w:r>
      <w:r w:rsidRPr="009F3455">
        <w:t>from a third party, a federal or state regulatory agency</w:t>
      </w:r>
      <w:r w:rsidR="000364D8">
        <w:t xml:space="preserve"> (</w:t>
      </w:r>
      <w:r w:rsidRPr="009F3455">
        <w:t>including the FCC</w:t>
      </w:r>
      <w:r w:rsidR="000364D8">
        <w:t>)</w:t>
      </w:r>
      <w:r w:rsidRPr="009F3455">
        <w:t xml:space="preserve"> or otherwise</w:t>
      </w:r>
      <w:r w:rsidR="00FA0853">
        <w:t>,</w:t>
      </w:r>
      <w:r w:rsidRPr="009F3455">
        <w:t xml:space="preserve"> relating to facsimile marketing activities.</w:t>
      </w:r>
    </w:p>
    <w:p w:rsidR="002666A1" w:rsidRPr="009F3455" w:rsidRDefault="002666A1" w:rsidP="00C46B1F">
      <w:pPr>
        <w:pStyle w:val="ColorfulList-Accent11"/>
        <w:widowControl/>
        <w:numPr>
          <w:ilvl w:val="0"/>
          <w:numId w:val="12"/>
        </w:numPr>
        <w:tabs>
          <w:tab w:val="left" w:pos="2160"/>
        </w:tabs>
        <w:spacing w:after="120"/>
        <w:ind w:left="2160" w:hanging="720"/>
      </w:pPr>
      <w:r w:rsidRPr="009F3455">
        <w:t xml:space="preserve">“Compliance Plan” means the compliance obligations, program, and procedures described in this Consent Decree at paragraph </w:t>
      </w:r>
      <w:r w:rsidR="00C5125A">
        <w:t>11</w:t>
      </w:r>
      <w:r w:rsidRPr="009F3455">
        <w:t xml:space="preserve">.  </w:t>
      </w:r>
    </w:p>
    <w:p w:rsidR="002666A1" w:rsidRPr="009F3455" w:rsidRDefault="002666A1" w:rsidP="00C46B1F">
      <w:pPr>
        <w:pStyle w:val="ColorfulList-Accent11"/>
        <w:widowControl/>
        <w:numPr>
          <w:ilvl w:val="0"/>
          <w:numId w:val="12"/>
        </w:numPr>
        <w:tabs>
          <w:tab w:val="left" w:pos="2160"/>
        </w:tabs>
        <w:spacing w:after="120"/>
        <w:ind w:left="2160" w:hanging="720"/>
      </w:pPr>
      <w:r w:rsidRPr="009F3455">
        <w:t xml:space="preserve">“Contractor” means any person </w:t>
      </w:r>
      <w:r w:rsidR="000364D8">
        <w:t xml:space="preserve">John David </w:t>
      </w:r>
      <w:r w:rsidR="00466CAF">
        <w:t xml:space="preserve">or any </w:t>
      </w:r>
      <w:r w:rsidR="00CE579D">
        <w:t xml:space="preserve">Company </w:t>
      </w:r>
      <w:r w:rsidRPr="009F3455">
        <w:t xml:space="preserve">engages, whether as an independent contractor, vendor, service provider, or otherwise, to use any telephone facsimile machine, computer, or other device, to transmit or send </w:t>
      </w:r>
      <w:r w:rsidR="004C49D2">
        <w:t xml:space="preserve">any </w:t>
      </w:r>
      <w:r w:rsidRPr="009F3455">
        <w:t>Advertisement</w:t>
      </w:r>
      <w:r w:rsidR="00EE7CB8">
        <w:t xml:space="preserve"> </w:t>
      </w:r>
      <w:r w:rsidR="004C49D2">
        <w:t xml:space="preserve">to a telephone facsimile machine, </w:t>
      </w:r>
      <w:r w:rsidR="00EE7CB8" w:rsidRPr="009F3455">
        <w:t xml:space="preserve">on </w:t>
      </w:r>
      <w:r w:rsidR="00EE7CB8">
        <w:t xml:space="preserve">behalf of </w:t>
      </w:r>
      <w:r w:rsidR="000364D8">
        <w:t>John David</w:t>
      </w:r>
      <w:r w:rsidR="00466CAF">
        <w:t xml:space="preserve"> or any </w:t>
      </w:r>
      <w:r w:rsidR="00CE579D">
        <w:t>Company</w:t>
      </w:r>
      <w:r w:rsidR="00FB31B4">
        <w:t xml:space="preserve">. </w:t>
      </w:r>
      <w:r w:rsidR="00EE7CB8">
        <w:t xml:space="preserve"> </w:t>
      </w:r>
      <w:r w:rsidRPr="009F3455">
        <w:t xml:space="preserve">   </w:t>
      </w:r>
    </w:p>
    <w:p w:rsidR="002666A1" w:rsidRPr="009F3455" w:rsidRDefault="002666A1" w:rsidP="00313DA5">
      <w:pPr>
        <w:pStyle w:val="ColorfulList-Accent11"/>
        <w:widowControl/>
        <w:numPr>
          <w:ilvl w:val="0"/>
          <w:numId w:val="12"/>
        </w:numPr>
        <w:tabs>
          <w:tab w:val="left" w:pos="2160"/>
        </w:tabs>
        <w:spacing w:after="120"/>
        <w:ind w:left="2160" w:hanging="720"/>
      </w:pPr>
      <w:r w:rsidRPr="009F3455">
        <w:t>“Covered Employees” means all employees</w:t>
      </w:r>
      <w:r w:rsidR="00606203">
        <w:t xml:space="preserve">, </w:t>
      </w:r>
      <w:r w:rsidR="00313DA5">
        <w:t>C</w:t>
      </w:r>
      <w:r w:rsidR="00606203">
        <w:t xml:space="preserve">ontractors, </w:t>
      </w:r>
      <w:r w:rsidRPr="009F3455">
        <w:t xml:space="preserve">and agents of </w:t>
      </w:r>
      <w:r w:rsidR="00872B7B">
        <w:t>John David</w:t>
      </w:r>
      <w:r w:rsidR="0036234A">
        <w:t xml:space="preserve">, </w:t>
      </w:r>
      <w:r w:rsidR="00FA0853">
        <w:t xml:space="preserve">or </w:t>
      </w:r>
      <w:r w:rsidR="0036234A">
        <w:t xml:space="preserve">any </w:t>
      </w:r>
      <w:r w:rsidR="00CE579D">
        <w:t xml:space="preserve">Company, </w:t>
      </w:r>
      <w:r w:rsidRPr="009F3455">
        <w:t>who perform</w:t>
      </w:r>
      <w:r w:rsidR="00606203">
        <w:t xml:space="preserve"> duties, </w:t>
      </w:r>
      <w:r w:rsidRPr="009F3455">
        <w:t>supervise, oversee, or manage the performance of</w:t>
      </w:r>
      <w:r w:rsidR="00606203">
        <w:t xml:space="preserve"> </w:t>
      </w:r>
      <w:r w:rsidRPr="009F3455">
        <w:t>duties that relate to</w:t>
      </w:r>
      <w:r w:rsidR="00B36DA1">
        <w:t xml:space="preserve"> </w:t>
      </w:r>
      <w:r w:rsidRPr="009F3455">
        <w:t xml:space="preserve">responsibilities </w:t>
      </w:r>
      <w:r w:rsidR="00B36DA1">
        <w:t xml:space="preserve">of </w:t>
      </w:r>
      <w:r w:rsidR="00872B7B">
        <w:t>John David</w:t>
      </w:r>
      <w:r w:rsidR="00FA0853">
        <w:t>,</w:t>
      </w:r>
      <w:r w:rsidR="00872B7B">
        <w:t xml:space="preserve"> </w:t>
      </w:r>
      <w:r w:rsidR="0036234A">
        <w:t>or any business he controls</w:t>
      </w:r>
      <w:r w:rsidR="00FA0853">
        <w:t>,</w:t>
      </w:r>
      <w:r w:rsidR="0036234A">
        <w:t xml:space="preserve"> </w:t>
      </w:r>
      <w:r w:rsidRPr="009F3455">
        <w:t>under this Consent Decree and the Unsolicited Facsimile Rules.</w:t>
      </w:r>
    </w:p>
    <w:p w:rsidR="002666A1" w:rsidRPr="009F3455" w:rsidRDefault="002666A1" w:rsidP="00C46B1F">
      <w:pPr>
        <w:pStyle w:val="ColorfulList-Accent11"/>
        <w:widowControl/>
        <w:numPr>
          <w:ilvl w:val="0"/>
          <w:numId w:val="12"/>
        </w:numPr>
        <w:tabs>
          <w:tab w:val="left" w:pos="2160"/>
        </w:tabs>
        <w:spacing w:after="120"/>
        <w:ind w:left="2160" w:hanging="720"/>
      </w:pPr>
      <w:r w:rsidRPr="009F3455">
        <w:t xml:space="preserve">“Effective Date” means the date on which the Bureau releases the Adopting Order. </w:t>
      </w:r>
    </w:p>
    <w:p w:rsidR="002666A1" w:rsidRDefault="002666A1" w:rsidP="00C46B1F">
      <w:pPr>
        <w:pStyle w:val="ColorfulList-Accent11"/>
        <w:widowControl/>
        <w:numPr>
          <w:ilvl w:val="0"/>
          <w:numId w:val="12"/>
        </w:numPr>
        <w:tabs>
          <w:tab w:val="left" w:pos="2160"/>
        </w:tabs>
        <w:spacing w:after="120"/>
        <w:ind w:left="2160" w:hanging="720"/>
      </w:pPr>
      <w:r w:rsidRPr="009F3455">
        <w:t xml:space="preserve">“Established Business Relationship” and “EBR” shall have the meaning set forth in </w:t>
      </w:r>
      <w:r w:rsidR="00E736DC">
        <w:t xml:space="preserve">47 </w:t>
      </w:r>
      <w:r w:rsidRPr="009F3455">
        <w:t>C.F.R. § 64.1200(f)(</w:t>
      </w:r>
      <w:r w:rsidR="009642A7">
        <w:t>6</w:t>
      </w:r>
      <w:r w:rsidRPr="009F3455">
        <w:t xml:space="preserve">). </w:t>
      </w:r>
    </w:p>
    <w:p w:rsidR="0078589E" w:rsidRDefault="00872B7B" w:rsidP="00C46B1F">
      <w:pPr>
        <w:pStyle w:val="ColorfulList-Accent11"/>
        <w:widowControl/>
        <w:numPr>
          <w:ilvl w:val="0"/>
          <w:numId w:val="12"/>
        </w:numPr>
        <w:tabs>
          <w:tab w:val="left" w:pos="2160"/>
        </w:tabs>
        <w:spacing w:after="120"/>
        <w:ind w:left="2160" w:hanging="720"/>
      </w:pPr>
      <w:r w:rsidDel="00872B7B">
        <w:t xml:space="preserve"> </w:t>
      </w:r>
      <w:r>
        <w:t>“</w:t>
      </w:r>
      <w:r w:rsidR="002666A1" w:rsidRPr="009F3455">
        <w:t xml:space="preserve">Investigation” means the investigation commenced by the Bureau regarding whether </w:t>
      </w:r>
      <w:r w:rsidR="00CE579D">
        <w:t xml:space="preserve">any </w:t>
      </w:r>
      <w:r w:rsidR="00FA0853">
        <w:t xml:space="preserve">Company or </w:t>
      </w:r>
      <w:r w:rsidR="00B36DA1">
        <w:t xml:space="preserve">John David </w:t>
      </w:r>
      <w:r w:rsidR="002666A1" w:rsidRPr="009F3455">
        <w:t xml:space="preserve">violated </w:t>
      </w:r>
      <w:r w:rsidR="0038517E" w:rsidRPr="009F3455">
        <w:t>47 U.S.C. § 227</w:t>
      </w:r>
      <w:r w:rsidR="002666A1" w:rsidRPr="009F3455">
        <w:t xml:space="preserve"> and </w:t>
      </w:r>
      <w:r w:rsidR="0038517E" w:rsidRPr="009F3455">
        <w:t>47 C.F.R. § 64.1200(a)(</w:t>
      </w:r>
      <w:r w:rsidR="009642A7">
        <w:t>4</w:t>
      </w:r>
      <w:r w:rsidR="0038517E" w:rsidRPr="009F3455">
        <w:t>)</w:t>
      </w:r>
      <w:r w:rsidR="00B36DA1">
        <w:t xml:space="preserve">. </w:t>
      </w:r>
    </w:p>
    <w:p w:rsidR="002666A1" w:rsidRPr="009F3455" w:rsidRDefault="002666A1" w:rsidP="00C46B1F">
      <w:pPr>
        <w:pStyle w:val="ColorfulList-Accent11"/>
        <w:widowControl/>
        <w:numPr>
          <w:ilvl w:val="0"/>
          <w:numId w:val="12"/>
        </w:numPr>
        <w:tabs>
          <w:tab w:val="left" w:pos="2160"/>
        </w:tabs>
        <w:spacing w:after="120"/>
        <w:ind w:left="2160" w:hanging="720"/>
      </w:pPr>
      <w:r w:rsidRPr="009F3455">
        <w:t xml:space="preserve">“Operating Procedures” means the standard, internal operating procedures and compliance policies established by </w:t>
      </w:r>
      <w:r w:rsidR="00B36DA1">
        <w:t>John David</w:t>
      </w:r>
      <w:r w:rsidR="0036234A">
        <w:t xml:space="preserve">, </w:t>
      </w:r>
      <w:r w:rsidR="00FA0853">
        <w:t xml:space="preserve">or </w:t>
      </w:r>
      <w:r w:rsidR="0036234A">
        <w:t xml:space="preserve">any </w:t>
      </w:r>
      <w:r w:rsidR="00CE579D">
        <w:t>Company</w:t>
      </w:r>
      <w:r w:rsidR="0036234A">
        <w:t xml:space="preserve">, </w:t>
      </w:r>
      <w:r w:rsidRPr="009F3455">
        <w:t xml:space="preserve">to implement the Compliance Plan. </w:t>
      </w:r>
    </w:p>
    <w:p w:rsidR="007B4707" w:rsidRPr="009F3455" w:rsidRDefault="007B4707" w:rsidP="00C46B1F">
      <w:pPr>
        <w:pStyle w:val="ColorfulList-Accent11"/>
        <w:widowControl/>
        <w:numPr>
          <w:ilvl w:val="0"/>
          <w:numId w:val="12"/>
        </w:numPr>
        <w:tabs>
          <w:tab w:val="left" w:pos="2160"/>
        </w:tabs>
        <w:spacing w:after="120"/>
        <w:ind w:left="2160" w:hanging="720"/>
      </w:pPr>
      <w:r w:rsidRPr="009F3455">
        <w:t xml:space="preserve">“Parties” means </w:t>
      </w:r>
      <w:r w:rsidR="00FA0853">
        <w:t>Compan</w:t>
      </w:r>
      <w:r w:rsidR="00CE579D">
        <w:t>ies</w:t>
      </w:r>
      <w:r w:rsidR="00B36DA1">
        <w:t>, John David</w:t>
      </w:r>
      <w:r w:rsidR="00FB31B4">
        <w:t xml:space="preserve">, </w:t>
      </w:r>
      <w:r w:rsidR="00872B7B">
        <w:t>and</w:t>
      </w:r>
      <w:r w:rsidRPr="009F3455">
        <w:t xml:space="preserve"> the Bureau, each of which is a “Party.”</w:t>
      </w:r>
    </w:p>
    <w:p w:rsidR="002666A1" w:rsidRPr="009F3455" w:rsidRDefault="007B4707" w:rsidP="00C46B1F">
      <w:pPr>
        <w:pStyle w:val="ColorfulList-Accent11"/>
        <w:widowControl/>
        <w:numPr>
          <w:ilvl w:val="0"/>
          <w:numId w:val="12"/>
        </w:numPr>
        <w:tabs>
          <w:tab w:val="left" w:pos="2160"/>
        </w:tabs>
        <w:spacing w:after="120"/>
        <w:ind w:left="2160" w:hanging="720"/>
      </w:pPr>
      <w:r w:rsidRPr="009F3455">
        <w:t xml:space="preserve"> </w:t>
      </w:r>
      <w:r w:rsidR="002666A1" w:rsidRPr="009F3455">
        <w:t>“Person” shall have the</w:t>
      </w:r>
      <w:r w:rsidR="0038517E" w:rsidRPr="009F3455">
        <w:t xml:space="preserve"> meaning </w:t>
      </w:r>
      <w:r w:rsidR="008F1861">
        <w:t xml:space="preserve">set forth </w:t>
      </w:r>
      <w:r w:rsidR="0038517E" w:rsidRPr="009F3455">
        <w:t>in 47 U.S.C. § 153(39</w:t>
      </w:r>
      <w:r w:rsidR="002666A1" w:rsidRPr="009F3455">
        <w:t xml:space="preserve">). </w:t>
      </w:r>
    </w:p>
    <w:p w:rsidR="002666A1" w:rsidRDefault="007B4707" w:rsidP="00C46B1F">
      <w:pPr>
        <w:pStyle w:val="ColorfulList-Accent11"/>
        <w:widowControl/>
        <w:numPr>
          <w:ilvl w:val="0"/>
          <w:numId w:val="12"/>
        </w:numPr>
        <w:tabs>
          <w:tab w:val="left" w:pos="2160"/>
        </w:tabs>
        <w:spacing w:after="120"/>
        <w:ind w:left="2160" w:hanging="720"/>
      </w:pPr>
      <w:r w:rsidRPr="009F3455">
        <w:t xml:space="preserve"> </w:t>
      </w:r>
      <w:r w:rsidR="002666A1" w:rsidRPr="009F3455">
        <w:t>“Rules” means the Commission’s regulations found in Title 47 of the Code of Federal Regulations.</w:t>
      </w:r>
    </w:p>
    <w:p w:rsidR="00872B7B" w:rsidRPr="009F3455" w:rsidRDefault="00872B7B" w:rsidP="00C46B1F">
      <w:pPr>
        <w:pStyle w:val="ColorfulList-Accent11"/>
        <w:widowControl/>
        <w:numPr>
          <w:ilvl w:val="0"/>
          <w:numId w:val="12"/>
        </w:numPr>
        <w:tabs>
          <w:tab w:val="left" w:pos="2160"/>
        </w:tabs>
        <w:spacing w:after="120"/>
        <w:ind w:left="2160" w:hanging="720"/>
      </w:pPr>
      <w:r>
        <w:t>“United States” shall have the meaning set forth in 47 U.S.C.</w:t>
      </w:r>
      <w:r w:rsidR="00DB6874" w:rsidRPr="009F3455">
        <w:t xml:space="preserve"> §</w:t>
      </w:r>
      <w:r w:rsidR="00DB6874">
        <w:t xml:space="preserve"> 153(58).</w:t>
      </w:r>
    </w:p>
    <w:p w:rsidR="002666A1" w:rsidRPr="009F3455" w:rsidRDefault="002666A1" w:rsidP="00C46B1F">
      <w:pPr>
        <w:pStyle w:val="ColorfulList-Accent11"/>
        <w:widowControl/>
        <w:numPr>
          <w:ilvl w:val="0"/>
          <w:numId w:val="12"/>
        </w:numPr>
        <w:tabs>
          <w:tab w:val="left" w:pos="2160"/>
        </w:tabs>
        <w:spacing w:after="120"/>
        <w:ind w:left="2160" w:hanging="720"/>
      </w:pPr>
      <w:r w:rsidRPr="009F3455">
        <w:t xml:space="preserve">“Unsolicited Advertisement” shall have the meaning set forth in 47 U.S.C. § 227(a)(5). </w:t>
      </w:r>
    </w:p>
    <w:p w:rsidR="002666A1" w:rsidRDefault="002666A1" w:rsidP="00C46B1F">
      <w:pPr>
        <w:pStyle w:val="ColorfulList-Accent11"/>
        <w:widowControl/>
        <w:numPr>
          <w:ilvl w:val="0"/>
          <w:numId w:val="12"/>
        </w:numPr>
        <w:tabs>
          <w:tab w:val="left" w:pos="2160"/>
        </w:tabs>
        <w:spacing w:after="120"/>
        <w:ind w:left="2160" w:hanging="720"/>
        <w:rPr>
          <w:szCs w:val="22"/>
        </w:rPr>
      </w:pPr>
      <w:r w:rsidRPr="009F3455">
        <w:rPr>
          <w:szCs w:val="22"/>
        </w:rPr>
        <w:t xml:space="preserve">“Unsolicited Facsimile Rules” means </w:t>
      </w:r>
      <w:r w:rsidR="00C502DA" w:rsidRPr="009F3455">
        <w:t xml:space="preserve">47 U.S.C. § 227, </w:t>
      </w:r>
      <w:r w:rsidR="00C502DA" w:rsidRPr="009F3455">
        <w:rPr>
          <w:szCs w:val="22"/>
        </w:rPr>
        <w:t>the Commission’s regulations found in</w:t>
      </w:r>
      <w:r w:rsidR="0038517E" w:rsidRPr="009F3455">
        <w:t xml:space="preserve"> 47 C.F.R. § 64.1200(a)(</w:t>
      </w:r>
      <w:r w:rsidR="009642A7">
        <w:t>4</w:t>
      </w:r>
      <w:r w:rsidR="0038517E" w:rsidRPr="009F3455">
        <w:t xml:space="preserve">), </w:t>
      </w:r>
      <w:r w:rsidRPr="009F3455">
        <w:rPr>
          <w:szCs w:val="22"/>
        </w:rPr>
        <w:t xml:space="preserve">and other Communications Laws governing Unsolicited Advertisements.  </w:t>
      </w:r>
    </w:p>
    <w:p w:rsidR="00877745" w:rsidRPr="009F3455" w:rsidRDefault="00877745" w:rsidP="00C46B1F">
      <w:pPr>
        <w:pStyle w:val="ColorfulList-Accent11"/>
        <w:widowControl/>
        <w:numPr>
          <w:ilvl w:val="0"/>
          <w:numId w:val="12"/>
        </w:numPr>
        <w:tabs>
          <w:tab w:val="left" w:pos="2160"/>
        </w:tabs>
        <w:spacing w:after="120"/>
        <w:ind w:left="2160" w:hanging="720"/>
        <w:rPr>
          <w:szCs w:val="22"/>
        </w:rPr>
      </w:pPr>
      <w:r w:rsidRPr="00D77E2C">
        <w:rPr>
          <w:szCs w:val="22"/>
        </w:rPr>
        <w:t xml:space="preserve">“Voluntary Contribution” means the payment made by </w:t>
      </w:r>
      <w:r w:rsidR="00BC2E95">
        <w:rPr>
          <w:szCs w:val="22"/>
        </w:rPr>
        <w:t xml:space="preserve">John David </w:t>
      </w:r>
      <w:r w:rsidR="00167750">
        <w:rPr>
          <w:szCs w:val="22"/>
        </w:rPr>
        <w:t xml:space="preserve">or any Company </w:t>
      </w:r>
      <w:r w:rsidRPr="00D77E2C">
        <w:rPr>
          <w:szCs w:val="22"/>
        </w:rPr>
        <w:t xml:space="preserve">to the United States Treasury pursuant to this agreement and described at paragraph </w:t>
      </w:r>
      <w:r w:rsidR="00037E11" w:rsidRPr="00D85D36">
        <w:rPr>
          <w:szCs w:val="22"/>
        </w:rPr>
        <w:t>1</w:t>
      </w:r>
      <w:r w:rsidR="00BD2D48">
        <w:rPr>
          <w:szCs w:val="22"/>
        </w:rPr>
        <w:t>6</w:t>
      </w:r>
      <w:r w:rsidRPr="00D85D36">
        <w:rPr>
          <w:szCs w:val="22"/>
        </w:rPr>
        <w:t xml:space="preserve"> </w:t>
      </w:r>
      <w:r>
        <w:rPr>
          <w:szCs w:val="22"/>
        </w:rPr>
        <w:t>of this Consent D</w:t>
      </w:r>
      <w:r w:rsidRPr="00D77E2C">
        <w:rPr>
          <w:szCs w:val="22"/>
        </w:rPr>
        <w:t>ecree.</w:t>
      </w:r>
    </w:p>
    <w:p w:rsidR="00A17A3B" w:rsidRPr="009F3455" w:rsidRDefault="00FB31B4" w:rsidP="00C46B1F">
      <w:pPr>
        <w:pStyle w:val="Heading1"/>
        <w:widowControl/>
      </w:pPr>
      <w:r w:rsidRPr="009F3455" w:rsidDel="00FB31B4">
        <w:t xml:space="preserve"> </w:t>
      </w:r>
      <w:r w:rsidR="00C74243">
        <w:t>BACKGROUND</w:t>
      </w:r>
    </w:p>
    <w:p w:rsidR="00B818EB" w:rsidRPr="009D721D" w:rsidRDefault="00064F29" w:rsidP="00C46B1F">
      <w:pPr>
        <w:pStyle w:val="ParaNum0"/>
        <w:keepNext/>
        <w:widowControl/>
        <w:tabs>
          <w:tab w:val="left" w:pos="0"/>
        </w:tabs>
        <w:spacing w:before="240" w:after="240"/>
        <w:outlineLvl w:val="0"/>
        <w:rPr>
          <w:b/>
          <w:szCs w:val="22"/>
        </w:rPr>
      </w:pPr>
      <w:r w:rsidRPr="00B818EB">
        <w:rPr>
          <w:snapToGrid/>
          <w:kern w:val="0"/>
        </w:rPr>
        <w:t>Congress enacted t</w:t>
      </w:r>
      <w:r w:rsidR="00C13A70" w:rsidRPr="00B818EB">
        <w:rPr>
          <w:snapToGrid/>
          <w:kern w:val="0"/>
        </w:rPr>
        <w:t>he Telephone Consumer Protection Act of 1991 to address problems of abusive telemarketing, including junk faxes</w:t>
      </w:r>
      <w:r w:rsidR="00AA26DB" w:rsidRPr="00B818EB">
        <w:rPr>
          <w:snapToGrid/>
          <w:kern w:val="0"/>
        </w:rPr>
        <w:t>.</w:t>
      </w:r>
      <w:r w:rsidR="00AA26DB" w:rsidRPr="009F3455">
        <w:rPr>
          <w:rStyle w:val="FootnoteReference"/>
          <w:snapToGrid/>
          <w:kern w:val="0"/>
        </w:rPr>
        <w:footnoteReference w:id="10"/>
      </w:r>
      <w:r w:rsidR="00AA26DB" w:rsidRPr="00B818EB">
        <w:rPr>
          <w:snapToGrid/>
          <w:kern w:val="0"/>
        </w:rPr>
        <w:t xml:space="preserve">  </w:t>
      </w:r>
      <w:r w:rsidR="00C13A70" w:rsidRPr="00B818EB">
        <w:rPr>
          <w:snapToGrid/>
          <w:kern w:val="0"/>
        </w:rPr>
        <w:t>Unsolicited faxes often impose unwan</w:t>
      </w:r>
      <w:r w:rsidR="0038517E" w:rsidRPr="00B818EB">
        <w:rPr>
          <w:snapToGrid/>
          <w:kern w:val="0"/>
        </w:rPr>
        <w:t>ted burdens on the recipient</w:t>
      </w:r>
      <w:r w:rsidR="00C13A70" w:rsidRPr="001351ED">
        <w:rPr>
          <w:snapToGrid/>
          <w:kern w:val="0"/>
        </w:rPr>
        <w:t>, including costs of paper and ink, and making fax machines unavailable</w:t>
      </w:r>
      <w:r w:rsidR="00C13A70" w:rsidRPr="009D721D">
        <w:rPr>
          <w:snapToGrid/>
          <w:kern w:val="0"/>
        </w:rPr>
        <w:t xml:space="preserve"> for legitimate</w:t>
      </w:r>
      <w:r w:rsidR="00223495" w:rsidRPr="009D721D">
        <w:rPr>
          <w:snapToGrid/>
          <w:kern w:val="0"/>
        </w:rPr>
        <w:t xml:space="preserve"> </w:t>
      </w:r>
      <w:r w:rsidR="00C13A70" w:rsidRPr="009D721D">
        <w:rPr>
          <w:snapToGrid/>
          <w:kern w:val="0"/>
        </w:rPr>
        <w:t xml:space="preserve">messages.  </w:t>
      </w:r>
      <w:r w:rsidR="00C13A70" w:rsidRPr="009D721D">
        <w:rPr>
          <w:rFonts w:cs="TimesNewRoman"/>
          <w:snapToGrid/>
          <w:color w:val="010101"/>
          <w:kern w:val="0"/>
          <w:szCs w:val="22"/>
        </w:rPr>
        <w:t>Section 227(b)(1)(C) of the Act thus makes it “</w:t>
      </w:r>
      <w:r w:rsidR="00F73001" w:rsidRPr="009D721D">
        <w:rPr>
          <w:rFonts w:cs="TimesNewRoman"/>
          <w:snapToGrid/>
          <w:color w:val="010101"/>
          <w:kern w:val="0"/>
          <w:szCs w:val="22"/>
        </w:rPr>
        <w:t>u</w:t>
      </w:r>
      <w:r w:rsidR="00C13A70" w:rsidRPr="009D721D">
        <w:rPr>
          <w:rFonts w:cs="TimesNewRoman"/>
          <w:snapToGrid/>
          <w:color w:val="010101"/>
          <w:kern w:val="0"/>
          <w:szCs w:val="22"/>
        </w:rPr>
        <w:t xml:space="preserve">nlawful for any person within the United States, or any person outside the United States if the recipient is within the </w:t>
      </w:r>
      <w:r w:rsidR="00CF102C" w:rsidRPr="009D721D">
        <w:rPr>
          <w:szCs w:val="22"/>
        </w:rPr>
        <w:t>United States . . . to use any telephone facsimile machine, computer, or other device to send, to a telephone facsimile machine, an unsolicited advertisement</w:t>
      </w:r>
      <w:r w:rsidR="00F73001" w:rsidRPr="009D721D">
        <w:rPr>
          <w:szCs w:val="22"/>
        </w:rPr>
        <w:t>.</w:t>
      </w:r>
      <w:r w:rsidR="00CF102C" w:rsidRPr="009D721D">
        <w:rPr>
          <w:color w:val="000000"/>
          <w:szCs w:val="22"/>
        </w:rPr>
        <w:t>”</w:t>
      </w:r>
      <w:r w:rsidR="00CF102C" w:rsidRPr="009F3455">
        <w:rPr>
          <w:rStyle w:val="FootnoteReference"/>
          <w:color w:val="000000"/>
          <w:szCs w:val="22"/>
        </w:rPr>
        <w:footnoteReference w:id="11"/>
      </w:r>
      <w:r w:rsidR="00CF102C" w:rsidRPr="00B818EB">
        <w:rPr>
          <w:color w:val="000000"/>
          <w:szCs w:val="22"/>
        </w:rPr>
        <w:t xml:space="preserve">  </w:t>
      </w:r>
      <w:r w:rsidR="00861509" w:rsidRPr="00B818EB">
        <w:rPr>
          <w:color w:val="000000"/>
        </w:rPr>
        <w:t xml:space="preserve">  </w:t>
      </w:r>
    </w:p>
    <w:p w:rsidR="00A11AFE" w:rsidRPr="00B818EB" w:rsidRDefault="0013714B" w:rsidP="00C46B1F">
      <w:pPr>
        <w:pStyle w:val="ParaNum0"/>
        <w:keepNext/>
        <w:widowControl/>
        <w:tabs>
          <w:tab w:val="left" w:pos="0"/>
        </w:tabs>
        <w:spacing w:before="240" w:after="240"/>
        <w:outlineLvl w:val="0"/>
        <w:rPr>
          <w:b/>
          <w:szCs w:val="22"/>
        </w:rPr>
      </w:pPr>
      <w:r w:rsidRPr="00B818EB">
        <w:rPr>
          <w:color w:val="000000"/>
          <w:szCs w:val="22"/>
        </w:rPr>
        <w:t xml:space="preserve">On </w:t>
      </w:r>
      <w:r w:rsidR="007972DB" w:rsidRPr="00B818EB">
        <w:rPr>
          <w:color w:val="000000"/>
          <w:szCs w:val="22"/>
        </w:rPr>
        <w:t>July 21, 2006</w:t>
      </w:r>
      <w:r w:rsidRPr="00B818EB">
        <w:rPr>
          <w:color w:val="000000"/>
          <w:szCs w:val="22"/>
        </w:rPr>
        <w:t xml:space="preserve">, in response to a </w:t>
      </w:r>
      <w:r w:rsidR="00954CC5" w:rsidRPr="001351ED">
        <w:rPr>
          <w:color w:val="000000"/>
          <w:szCs w:val="22"/>
        </w:rPr>
        <w:t>C</w:t>
      </w:r>
      <w:r w:rsidRPr="009D721D">
        <w:rPr>
          <w:color w:val="000000"/>
          <w:szCs w:val="22"/>
        </w:rPr>
        <w:t xml:space="preserve">omplaint alleging that </w:t>
      </w:r>
      <w:r w:rsidR="00A17955" w:rsidRPr="009D721D">
        <w:rPr>
          <w:color w:val="000000"/>
          <w:szCs w:val="22"/>
        </w:rPr>
        <w:t>“</w:t>
      </w:r>
      <w:r w:rsidR="007972DB" w:rsidRPr="009D721D">
        <w:rPr>
          <w:color w:val="000000"/>
          <w:szCs w:val="22"/>
        </w:rPr>
        <w:t>America’s Toner</w:t>
      </w:r>
      <w:r w:rsidR="00A17955" w:rsidRPr="009D721D">
        <w:rPr>
          <w:color w:val="000000"/>
          <w:szCs w:val="22"/>
        </w:rPr>
        <w:t>”</w:t>
      </w:r>
      <w:r w:rsidRPr="009D721D">
        <w:rPr>
          <w:color w:val="000000"/>
          <w:szCs w:val="22"/>
        </w:rPr>
        <w:t xml:space="preserve"> had faxed </w:t>
      </w:r>
      <w:r w:rsidR="00D70945" w:rsidRPr="009D721D">
        <w:rPr>
          <w:color w:val="000000"/>
          <w:szCs w:val="22"/>
        </w:rPr>
        <w:t>U</w:t>
      </w:r>
      <w:r w:rsidRPr="009D721D">
        <w:rPr>
          <w:color w:val="000000"/>
          <w:szCs w:val="22"/>
        </w:rPr>
        <w:t xml:space="preserve">nsolicited </w:t>
      </w:r>
      <w:r w:rsidR="00D70945" w:rsidRPr="009D721D">
        <w:rPr>
          <w:color w:val="000000"/>
          <w:szCs w:val="22"/>
        </w:rPr>
        <w:t>A</w:t>
      </w:r>
      <w:r w:rsidRPr="009D721D">
        <w:rPr>
          <w:color w:val="000000"/>
          <w:szCs w:val="22"/>
        </w:rPr>
        <w:t>dvertisements, the Bureau issued a citation</w:t>
      </w:r>
      <w:r w:rsidR="00A7064F" w:rsidRPr="009D721D">
        <w:rPr>
          <w:color w:val="000000"/>
          <w:szCs w:val="22"/>
        </w:rPr>
        <w:t xml:space="preserve"> </w:t>
      </w:r>
      <w:r w:rsidRPr="009D721D">
        <w:rPr>
          <w:color w:val="000000"/>
          <w:szCs w:val="22"/>
        </w:rPr>
        <w:t xml:space="preserve">to </w:t>
      </w:r>
      <w:r w:rsidR="00A17955" w:rsidRPr="009D721D">
        <w:rPr>
          <w:color w:val="000000"/>
          <w:szCs w:val="22"/>
        </w:rPr>
        <w:t>“</w:t>
      </w:r>
      <w:r w:rsidR="007972DB" w:rsidRPr="009D721D">
        <w:rPr>
          <w:color w:val="000000"/>
          <w:szCs w:val="22"/>
        </w:rPr>
        <w:t>America’s Toner</w:t>
      </w:r>
      <w:r w:rsidR="00894EB3" w:rsidRPr="009D721D">
        <w:rPr>
          <w:color w:val="000000"/>
          <w:szCs w:val="22"/>
        </w:rPr>
        <w:t>”</w:t>
      </w:r>
      <w:r w:rsidRPr="009D721D">
        <w:rPr>
          <w:color w:val="000000"/>
          <w:szCs w:val="22"/>
        </w:rPr>
        <w:t xml:space="preserve"> </w:t>
      </w:r>
      <w:r w:rsidR="004068AE" w:rsidRPr="009D721D">
        <w:rPr>
          <w:color w:val="000000"/>
          <w:szCs w:val="22"/>
        </w:rPr>
        <w:t>for using a telephone facsimile machine, com</w:t>
      </w:r>
      <w:r w:rsidR="00D70945" w:rsidRPr="009D721D">
        <w:rPr>
          <w:color w:val="000000"/>
          <w:szCs w:val="22"/>
        </w:rPr>
        <w:t>puter, or other device to send Unsolicited A</w:t>
      </w:r>
      <w:r w:rsidR="004068AE" w:rsidRPr="009D721D">
        <w:rPr>
          <w:color w:val="000000"/>
          <w:szCs w:val="22"/>
        </w:rPr>
        <w:t>dvertisements to</w:t>
      </w:r>
      <w:r w:rsidR="00AF49D1" w:rsidRPr="009D721D">
        <w:rPr>
          <w:color w:val="000000"/>
          <w:szCs w:val="22"/>
        </w:rPr>
        <w:t xml:space="preserve"> </w:t>
      </w:r>
      <w:r w:rsidR="004068AE" w:rsidRPr="009D721D">
        <w:rPr>
          <w:color w:val="000000"/>
          <w:szCs w:val="22"/>
        </w:rPr>
        <w:t>telephone facsimile machine</w:t>
      </w:r>
      <w:r w:rsidR="005C2798" w:rsidRPr="009D721D">
        <w:rPr>
          <w:color w:val="000000"/>
          <w:szCs w:val="22"/>
        </w:rPr>
        <w:t>s</w:t>
      </w:r>
      <w:r w:rsidR="004068AE" w:rsidRPr="009D721D">
        <w:rPr>
          <w:color w:val="000000"/>
          <w:szCs w:val="22"/>
        </w:rPr>
        <w:t>.</w:t>
      </w:r>
      <w:r w:rsidR="004068AE" w:rsidRPr="009F3455">
        <w:rPr>
          <w:rStyle w:val="FootnoteReference"/>
          <w:szCs w:val="22"/>
        </w:rPr>
        <w:footnoteReference w:id="12"/>
      </w:r>
      <w:r w:rsidR="00B818EB">
        <w:rPr>
          <w:color w:val="000000"/>
          <w:szCs w:val="22"/>
        </w:rPr>
        <w:t xml:space="preserve">  </w:t>
      </w:r>
      <w:r w:rsidR="007972DB" w:rsidRPr="00B818EB">
        <w:rPr>
          <w:color w:val="000000"/>
          <w:szCs w:val="22"/>
        </w:rPr>
        <w:t xml:space="preserve">Subsequently, </w:t>
      </w:r>
      <w:r w:rsidR="00841688" w:rsidRPr="009F3455">
        <w:t xml:space="preserve">based on additional </w:t>
      </w:r>
      <w:r w:rsidR="0067478A">
        <w:t>C</w:t>
      </w:r>
      <w:r w:rsidR="00841688" w:rsidRPr="009F3455">
        <w:t>omplaints, the Comm</w:t>
      </w:r>
      <w:r w:rsidRPr="009F3455">
        <w:t xml:space="preserve">ission </w:t>
      </w:r>
      <w:r w:rsidR="006E4DDC" w:rsidRPr="009F3455">
        <w:t>released</w:t>
      </w:r>
      <w:r w:rsidR="004240F1">
        <w:t xml:space="preserve"> </w:t>
      </w:r>
      <w:r w:rsidR="00810A9F">
        <w:t xml:space="preserve">four </w:t>
      </w:r>
      <w:r w:rsidR="00A7064F">
        <w:t>Notice</w:t>
      </w:r>
      <w:r w:rsidR="007972DB">
        <w:t>s</w:t>
      </w:r>
      <w:r w:rsidR="00A7064F">
        <w:t xml:space="preserve"> of Apparent Liability</w:t>
      </w:r>
      <w:r w:rsidRPr="009F3455">
        <w:t xml:space="preserve"> </w:t>
      </w:r>
      <w:r w:rsidR="004D5144">
        <w:t>(</w:t>
      </w:r>
      <w:r w:rsidR="00810A9F" w:rsidRPr="00B818EB">
        <w:rPr>
          <w:i/>
        </w:rPr>
        <w:t>NALs</w:t>
      </w:r>
      <w:r w:rsidR="00810A9F">
        <w:t>)</w:t>
      </w:r>
      <w:r w:rsidR="004D5144">
        <w:t xml:space="preserve"> </w:t>
      </w:r>
      <w:r w:rsidR="006E4DDC" w:rsidRPr="009F3455">
        <w:t xml:space="preserve">against </w:t>
      </w:r>
      <w:r w:rsidR="00894EB3">
        <w:t>“</w:t>
      </w:r>
      <w:r w:rsidR="007972DB">
        <w:t>America’s Toner</w:t>
      </w:r>
      <w:r w:rsidR="00A7064F">
        <w:t>,</w:t>
      </w:r>
      <w:r w:rsidR="00894EB3">
        <w:t>”</w:t>
      </w:r>
      <w:r w:rsidR="006E4DDC" w:rsidRPr="009F3455">
        <w:t xml:space="preserve"> </w:t>
      </w:r>
      <w:r w:rsidR="004468E5" w:rsidRPr="009F3455">
        <w:t xml:space="preserve">finding </w:t>
      </w:r>
      <w:r w:rsidR="006E4DDC" w:rsidRPr="009F3455">
        <w:t xml:space="preserve">that </w:t>
      </w:r>
      <w:r w:rsidR="005D771B" w:rsidRPr="009F3455">
        <w:t xml:space="preserve">the Company </w:t>
      </w:r>
      <w:r w:rsidR="004468E5" w:rsidRPr="009F3455">
        <w:t>apparently willfully and repeatedly violated Section 227 of the Act and Section 64.1200(a)(</w:t>
      </w:r>
      <w:r w:rsidR="009642A7">
        <w:t>4</w:t>
      </w:r>
      <w:r w:rsidR="004468E5" w:rsidRPr="009F3455">
        <w:t>) of the Rules</w:t>
      </w:r>
      <w:r w:rsidR="002A72D2" w:rsidRPr="009F3455">
        <w:t>,</w:t>
      </w:r>
      <w:r w:rsidR="006E4DDC" w:rsidRPr="009F3455">
        <w:t xml:space="preserve"> and </w:t>
      </w:r>
      <w:r w:rsidRPr="009F3455">
        <w:t xml:space="preserve">proposing a </w:t>
      </w:r>
      <w:r w:rsidR="007972DB">
        <w:t xml:space="preserve">total </w:t>
      </w:r>
      <w:r w:rsidRPr="009F3455">
        <w:t>forfeiture of $</w:t>
      </w:r>
      <w:r w:rsidR="007972DB">
        <w:t>1,184,500</w:t>
      </w:r>
      <w:r w:rsidR="00184804">
        <w:t xml:space="preserve"> </w:t>
      </w:r>
      <w:r w:rsidR="00A7064F">
        <w:t xml:space="preserve">against </w:t>
      </w:r>
      <w:r w:rsidR="00A46D9A">
        <w:t>“</w:t>
      </w:r>
      <w:r w:rsidR="007972DB">
        <w:t>America’s Toner</w:t>
      </w:r>
      <w:r w:rsidR="00E5648B" w:rsidRPr="009F3455">
        <w:t>.</w:t>
      </w:r>
      <w:r w:rsidR="00A46D9A">
        <w:t>”</w:t>
      </w:r>
      <w:r w:rsidR="006E4DDC" w:rsidRPr="009F3455">
        <w:rPr>
          <w:rStyle w:val="FootnoteReference"/>
        </w:rPr>
        <w:footnoteReference w:id="13"/>
      </w:r>
      <w:r w:rsidR="00BC2E95">
        <w:t xml:space="preserve">  </w:t>
      </w:r>
    </w:p>
    <w:p w:rsidR="00A11AFE" w:rsidRPr="002D315F" w:rsidRDefault="00894EB3" w:rsidP="00C46B1F">
      <w:pPr>
        <w:pStyle w:val="ParaNum0"/>
        <w:keepNext/>
        <w:widowControl/>
        <w:tabs>
          <w:tab w:val="left" w:pos="0"/>
        </w:tabs>
        <w:spacing w:before="240" w:after="240"/>
        <w:outlineLvl w:val="0"/>
        <w:rPr>
          <w:b/>
          <w:szCs w:val="22"/>
        </w:rPr>
      </w:pPr>
      <w:r>
        <w:t>“</w:t>
      </w:r>
      <w:r w:rsidR="007972DB">
        <w:t>America’s Toner</w:t>
      </w:r>
      <w:r>
        <w:t>”</w:t>
      </w:r>
      <w:r w:rsidR="00841688" w:rsidRPr="009F3455">
        <w:t xml:space="preserve"> filed response</w:t>
      </w:r>
      <w:r w:rsidR="00810A9F">
        <w:t>s</w:t>
      </w:r>
      <w:r w:rsidR="005E1B20" w:rsidRPr="005E1B20">
        <w:t xml:space="preserve"> </w:t>
      </w:r>
      <w:r w:rsidR="005E1B20">
        <w:t xml:space="preserve">indicating that, among other things, it had ceased sending Advertisements by facsimile.  It also </w:t>
      </w:r>
      <w:r>
        <w:rPr>
          <w:color w:val="000000"/>
          <w:spacing w:val="-2"/>
          <w:szCs w:val="22"/>
        </w:rPr>
        <w:t xml:space="preserve">submitted the 2004, 2005, and 2006 tax returns of “Fiducia, Inc. dba Americastoner.com” </w:t>
      </w:r>
      <w:r w:rsidR="005E1B20">
        <w:rPr>
          <w:color w:val="000000"/>
          <w:spacing w:val="-2"/>
          <w:szCs w:val="22"/>
        </w:rPr>
        <w:t xml:space="preserve">to demonstrate that “America’s Toner” was unable to pay the forfeitures proposed in the </w:t>
      </w:r>
      <w:r w:rsidR="005E1B20" w:rsidRPr="009D721D">
        <w:rPr>
          <w:i/>
          <w:color w:val="000000"/>
          <w:spacing w:val="-2"/>
          <w:szCs w:val="22"/>
        </w:rPr>
        <w:t>NALs</w:t>
      </w:r>
      <w:r w:rsidR="00A7064F" w:rsidRPr="007749F8">
        <w:rPr>
          <w:color w:val="000000"/>
          <w:spacing w:val="-2"/>
          <w:szCs w:val="22"/>
        </w:rPr>
        <w:t>.</w:t>
      </w:r>
      <w:r w:rsidR="004D5144">
        <w:rPr>
          <w:rStyle w:val="FootnoteReference"/>
          <w:spacing w:val="-2"/>
          <w:szCs w:val="22"/>
        </w:rPr>
        <w:footnoteReference w:id="14"/>
      </w:r>
      <w:r w:rsidR="00BC2E95">
        <w:rPr>
          <w:color w:val="000000"/>
          <w:spacing w:val="-2"/>
          <w:szCs w:val="22"/>
        </w:rPr>
        <w:t xml:space="preserve">  </w:t>
      </w:r>
    </w:p>
    <w:p w:rsidR="00954CC5" w:rsidRDefault="00A11AFE" w:rsidP="00C46B1F">
      <w:pPr>
        <w:pStyle w:val="ParaNum0"/>
        <w:keepNext/>
        <w:widowControl/>
        <w:tabs>
          <w:tab w:val="left" w:pos="0"/>
        </w:tabs>
        <w:spacing w:before="240" w:after="240"/>
        <w:outlineLvl w:val="0"/>
        <w:rPr>
          <w:b/>
          <w:szCs w:val="22"/>
        </w:rPr>
      </w:pPr>
      <w:r>
        <w:rPr>
          <w:color w:val="000000"/>
          <w:spacing w:val="-2"/>
          <w:szCs w:val="22"/>
        </w:rPr>
        <w:t xml:space="preserve">Subsequently, the Bureau learned that Fiducia, Inc. – which operated as “America’s Toner” –  had been involuntarily dissolved.  In order to update the business status and financial information of “America’s Toner,” the </w:t>
      </w:r>
      <w:r w:rsidR="00A41A4A" w:rsidRPr="005B1335">
        <w:rPr>
          <w:color w:val="000000"/>
          <w:spacing w:val="-2"/>
          <w:szCs w:val="22"/>
        </w:rPr>
        <w:t xml:space="preserve">Bureau </w:t>
      </w:r>
      <w:r>
        <w:rPr>
          <w:color w:val="000000"/>
          <w:spacing w:val="-2"/>
          <w:szCs w:val="22"/>
        </w:rPr>
        <w:t xml:space="preserve">sent a </w:t>
      </w:r>
      <w:r w:rsidR="00A41A4A" w:rsidRPr="005B1335">
        <w:rPr>
          <w:color w:val="000000"/>
          <w:spacing w:val="-2"/>
          <w:szCs w:val="22"/>
        </w:rPr>
        <w:t>Letter of Inquiry</w:t>
      </w:r>
      <w:r>
        <w:rPr>
          <w:color w:val="000000"/>
          <w:spacing w:val="-2"/>
          <w:szCs w:val="22"/>
        </w:rPr>
        <w:t xml:space="preserve"> to John David, requesting that he provide current information, including more recent financial information, on “America’s Toner” and related enterprises</w:t>
      </w:r>
      <w:r w:rsidR="00962C39">
        <w:rPr>
          <w:color w:val="000000"/>
          <w:spacing w:val="-2"/>
          <w:szCs w:val="22"/>
        </w:rPr>
        <w:t>.</w:t>
      </w:r>
      <w:r w:rsidR="00A41A4A">
        <w:rPr>
          <w:rStyle w:val="FootnoteReference"/>
          <w:spacing w:val="-2"/>
          <w:szCs w:val="22"/>
        </w:rPr>
        <w:footnoteReference w:id="15"/>
      </w:r>
      <w:r w:rsidR="00A41A4A" w:rsidRPr="00B135E8">
        <w:rPr>
          <w:color w:val="000000"/>
          <w:spacing w:val="-2"/>
          <w:szCs w:val="22"/>
        </w:rPr>
        <w:t xml:space="preserve"> </w:t>
      </w:r>
      <w:r>
        <w:rPr>
          <w:color w:val="000000"/>
          <w:spacing w:val="-2"/>
          <w:szCs w:val="22"/>
        </w:rPr>
        <w:t>John David reported that Fiducia, Inc. was no longer in business, that “Toner Dome” was its successor, that TDI, Inc. owned “Toner Dome,” and that he is the sole owner of TDI. Inc</w:t>
      </w:r>
      <w:r w:rsidR="004D5144" w:rsidRPr="004911A0">
        <w:rPr>
          <w:color w:val="000000"/>
          <w:spacing w:val="-2"/>
          <w:szCs w:val="22"/>
        </w:rPr>
        <w:t>.</w:t>
      </w:r>
      <w:r w:rsidR="004D5144">
        <w:rPr>
          <w:rStyle w:val="FootnoteReference"/>
          <w:spacing w:val="-2"/>
          <w:szCs w:val="22"/>
        </w:rPr>
        <w:footnoteReference w:id="16"/>
      </w:r>
      <w:r w:rsidR="00B818EB">
        <w:rPr>
          <w:color w:val="000000"/>
          <w:spacing w:val="-2"/>
          <w:szCs w:val="22"/>
        </w:rPr>
        <w:t xml:space="preserve">  </w:t>
      </w:r>
      <w:r w:rsidR="005E1B20">
        <w:rPr>
          <w:color w:val="000000"/>
          <w:spacing w:val="-2"/>
          <w:szCs w:val="22"/>
        </w:rPr>
        <w:t xml:space="preserve">John David submitted the 2009, 2010, and 2011 federal corporate tax returns of TDI, Inc. </w:t>
      </w:r>
      <w:r w:rsidR="00B818EB">
        <w:rPr>
          <w:color w:val="000000"/>
          <w:spacing w:val="-2"/>
          <w:szCs w:val="22"/>
        </w:rPr>
        <w:t xml:space="preserve">and “Fiducia, Inc. dba Americastoner.com” </w:t>
      </w:r>
      <w:r w:rsidR="005E1B20">
        <w:rPr>
          <w:color w:val="000000"/>
          <w:spacing w:val="-2"/>
          <w:szCs w:val="22"/>
        </w:rPr>
        <w:t xml:space="preserve">to demonstrate that TDI, Inc., as successor to Fiducia, Inc., was unable to pay the forfeitures proposed in the </w:t>
      </w:r>
      <w:r w:rsidR="005E1B20" w:rsidRPr="009D721D">
        <w:rPr>
          <w:i/>
          <w:color w:val="000000"/>
          <w:spacing w:val="-2"/>
          <w:szCs w:val="22"/>
        </w:rPr>
        <w:t>NALs</w:t>
      </w:r>
      <w:r w:rsidR="005E1B20">
        <w:rPr>
          <w:color w:val="000000"/>
          <w:spacing w:val="-2"/>
          <w:szCs w:val="22"/>
        </w:rPr>
        <w:t xml:space="preserve">.    </w:t>
      </w:r>
      <w:r w:rsidR="004D5144" w:rsidRPr="00B135E8">
        <w:rPr>
          <w:color w:val="000000"/>
          <w:spacing w:val="-2"/>
          <w:szCs w:val="22"/>
        </w:rPr>
        <w:t xml:space="preserve">  </w:t>
      </w:r>
    </w:p>
    <w:p w:rsidR="00A17A3B" w:rsidRPr="005B1335" w:rsidRDefault="00A17A3B" w:rsidP="00C46B1F">
      <w:pPr>
        <w:pStyle w:val="Heading1"/>
        <w:widowControl/>
      </w:pPr>
      <w:r w:rsidRPr="005B1335">
        <w:t>TERMS OF AGREEMENT</w:t>
      </w:r>
    </w:p>
    <w:p w:rsidR="006C29E4" w:rsidRPr="006C29E4" w:rsidRDefault="00A17A3B" w:rsidP="00C46B1F">
      <w:pPr>
        <w:pStyle w:val="ParaNum0"/>
        <w:widowControl/>
      </w:pPr>
      <w:r w:rsidRPr="009F3455">
        <w:rPr>
          <w:b/>
          <w:u w:val="single"/>
        </w:rPr>
        <w:t>Adopting Order</w:t>
      </w:r>
      <w:r w:rsidRPr="009F3455">
        <w:t>.</w:t>
      </w:r>
      <w:r w:rsidR="001A2DDC">
        <w:t xml:space="preserve">  </w:t>
      </w:r>
      <w:r w:rsidRPr="009F3455">
        <w:t xml:space="preserve">The Parties agree that the provisions of this Consent Decree shall be subject to final approval by the </w:t>
      </w:r>
      <w:r w:rsidR="009207D8" w:rsidRPr="009F3455">
        <w:t xml:space="preserve">Bureau </w:t>
      </w:r>
      <w:r w:rsidRPr="009F3455">
        <w:t xml:space="preserve">by incorporation of such provisions by reference in the Adopting </w:t>
      </w:r>
      <w:r w:rsidR="00223495">
        <w:t>O</w:t>
      </w:r>
      <w:r w:rsidRPr="009F3455">
        <w:t>rder</w:t>
      </w:r>
      <w:r w:rsidR="00C0301D" w:rsidRPr="009F3455">
        <w:t xml:space="preserve">. </w:t>
      </w:r>
    </w:p>
    <w:p w:rsidR="00F44F3A" w:rsidRPr="009F3455" w:rsidRDefault="00FB7136" w:rsidP="00C46B1F">
      <w:pPr>
        <w:pStyle w:val="ParaNum0"/>
        <w:widowControl/>
      </w:pPr>
      <w:r w:rsidRPr="009F3455">
        <w:rPr>
          <w:b/>
          <w:u w:val="single"/>
        </w:rPr>
        <w:t>Jurisdiction</w:t>
      </w:r>
      <w:r w:rsidR="00C16F45" w:rsidRPr="009F3455">
        <w:t>.</w:t>
      </w:r>
      <w:r w:rsidRPr="009F3455">
        <w:t xml:space="preserve">  </w:t>
      </w:r>
      <w:r w:rsidR="00CE579D">
        <w:t>The Companies</w:t>
      </w:r>
      <w:r w:rsidR="00FA0853">
        <w:t xml:space="preserve"> and </w:t>
      </w:r>
      <w:r w:rsidR="00954CC5">
        <w:t xml:space="preserve">John David </w:t>
      </w:r>
      <w:r w:rsidRPr="009F3455">
        <w:t xml:space="preserve">agree that the </w:t>
      </w:r>
      <w:r w:rsidR="0020707F" w:rsidRPr="009F3455">
        <w:t xml:space="preserve">Bureau </w:t>
      </w:r>
      <w:r w:rsidRPr="009F3455">
        <w:t>has jurisdiction over</w:t>
      </w:r>
      <w:r w:rsidR="0082134C">
        <w:t xml:space="preserve"> </w:t>
      </w:r>
      <w:r w:rsidR="00FA0853">
        <w:t xml:space="preserve">them </w:t>
      </w:r>
      <w:r w:rsidRPr="009F3455">
        <w:t>and the matters contained in this Consent Decree</w:t>
      </w:r>
      <w:r w:rsidR="00FA0853">
        <w:t>,</w:t>
      </w:r>
      <w:r w:rsidRPr="009F3455">
        <w:t xml:space="preserve"> and </w:t>
      </w:r>
      <w:r w:rsidR="000F1615" w:rsidRPr="009F3455">
        <w:t xml:space="preserve">that the Bureau </w:t>
      </w:r>
      <w:r w:rsidRPr="009F3455">
        <w:t xml:space="preserve">has the authority to enter into and adopt this Consent Decree.  </w:t>
      </w:r>
    </w:p>
    <w:p w:rsidR="00C0686C" w:rsidRPr="009F3455" w:rsidRDefault="00A17A3B" w:rsidP="00C46B1F">
      <w:pPr>
        <w:pStyle w:val="ParaNum0"/>
        <w:widowControl/>
        <w:rPr>
          <w:b/>
          <w:u w:val="single"/>
        </w:rPr>
      </w:pPr>
      <w:r w:rsidRPr="009F3455">
        <w:rPr>
          <w:b/>
          <w:u w:val="single"/>
        </w:rPr>
        <w:t>Effective Date; Violations</w:t>
      </w:r>
      <w:r w:rsidRPr="009F3455">
        <w:t xml:space="preserve">.  The Parties agree that this Consent Decree shall become effective on the Effective Date as defined herein.  </w:t>
      </w:r>
      <w:r w:rsidR="000F1615" w:rsidRPr="009F3455">
        <w:t>As of</w:t>
      </w:r>
      <w:r w:rsidRPr="009F3455">
        <w:t xml:space="preserve"> Effective Date, the Adopting Order and this Consent Decree shall have the same force and effect as any other order of the Commission.  Any violation of the Adopting Order or of the terms of this Consent Decree shall constitute a separate violation of a Commission order, entitling the Commission to exercise any rights and remedies attendant to the enforcement of a Commission order.</w:t>
      </w:r>
    </w:p>
    <w:p w:rsidR="001B34D7" w:rsidRPr="009F3455" w:rsidRDefault="00C0301D" w:rsidP="00C46B1F">
      <w:pPr>
        <w:pStyle w:val="ParaNum0"/>
        <w:widowControl/>
      </w:pPr>
      <w:r w:rsidRPr="009F3455">
        <w:rPr>
          <w:b/>
          <w:u w:val="single"/>
        </w:rPr>
        <w:t>T</w:t>
      </w:r>
      <w:r w:rsidR="00A17A3B" w:rsidRPr="009F3455">
        <w:rPr>
          <w:b/>
          <w:u w:val="single"/>
        </w:rPr>
        <w:t>ermination of Investigation</w:t>
      </w:r>
      <w:r w:rsidR="00A17A3B" w:rsidRPr="009F3455">
        <w:t>.  In express reliance on the covenants and representations in this Consent Decree and to avoid further expenditure of public resources, the Bureau agrees to terminate the Investigation.</w:t>
      </w:r>
      <w:r w:rsidR="00954CC5">
        <w:t xml:space="preserve">  </w:t>
      </w:r>
      <w:r w:rsidR="00A17A3B" w:rsidRPr="009F3455">
        <w:t>In consideration for terminati</w:t>
      </w:r>
      <w:r w:rsidR="00657D9B">
        <w:t xml:space="preserve">ng </w:t>
      </w:r>
      <w:r w:rsidR="00A17A3B" w:rsidRPr="009F3455">
        <w:t>the Investigation</w:t>
      </w:r>
      <w:r w:rsidR="00954CC5">
        <w:t>,</w:t>
      </w:r>
      <w:r w:rsidR="00A17A3B" w:rsidRPr="009F3455">
        <w:t xml:space="preserve"> </w:t>
      </w:r>
      <w:r w:rsidR="00CE579D">
        <w:t>the Companies</w:t>
      </w:r>
      <w:r w:rsidR="00FA0853">
        <w:t xml:space="preserve"> and </w:t>
      </w:r>
      <w:r w:rsidR="00954CC5">
        <w:t xml:space="preserve">John David </w:t>
      </w:r>
      <w:r w:rsidR="00A17A3B" w:rsidRPr="009F3455">
        <w:t xml:space="preserve">agree to the terms, conditions, and procedures contained herein.  </w:t>
      </w:r>
      <w:r w:rsidR="00C16F45" w:rsidRPr="009F3455">
        <w:t xml:space="preserve">The Bureau further agrees that in the absence of new material evidence, the Bureau will not use the facts developed in this Investigation through the Effective Date, or the existence of this Consent Decree, to institute on its own motion any new proceeding, formal or informal, or take any action on its own motion against </w:t>
      </w:r>
      <w:r w:rsidR="00CE579D">
        <w:t>the Companies</w:t>
      </w:r>
      <w:r w:rsidR="00FA0853">
        <w:t xml:space="preserve"> or </w:t>
      </w:r>
      <w:r w:rsidR="00954CC5">
        <w:t xml:space="preserve">John David </w:t>
      </w:r>
      <w:r w:rsidR="00C16F45" w:rsidRPr="009F3455">
        <w:t>concerning the matters that were the subject of the Investigation</w:t>
      </w:r>
      <w:r w:rsidR="00657D9B">
        <w:t>.</w:t>
      </w:r>
    </w:p>
    <w:p w:rsidR="002A72D2" w:rsidRPr="009F3455" w:rsidRDefault="002A72D2" w:rsidP="00C46B1F">
      <w:pPr>
        <w:pStyle w:val="ParaNum0"/>
        <w:widowControl/>
        <w:rPr>
          <w:snapToGrid/>
          <w:kern w:val="0"/>
          <w:szCs w:val="22"/>
        </w:rPr>
      </w:pPr>
      <w:r w:rsidRPr="009F3455">
        <w:rPr>
          <w:b/>
          <w:u w:val="single"/>
        </w:rPr>
        <w:t>Compliance Officer</w:t>
      </w:r>
      <w:r w:rsidRPr="009F3455">
        <w:t>.</w:t>
      </w:r>
      <w:r w:rsidR="00E64B64">
        <w:t xml:space="preserve">  </w:t>
      </w:r>
      <w:r w:rsidR="002D315F">
        <w:t xml:space="preserve">John David represents that “America’s Toner” was a name through which </w:t>
      </w:r>
      <w:r w:rsidR="002D315F">
        <w:rPr>
          <w:szCs w:val="22"/>
        </w:rPr>
        <w:t>Fiducia, Inc. did business; that Fiducia, Inc. has been dissolved; that “Toner Dome” is a name through which TDI, Inc. does business; that TDI, Inc. is a successor to Fiducia, Inc.; that he is the sole owner of TDI, Inc.; and that he exercises control over the daily operations of the Companies and is personally responsible for compliance with the Communications Laws and this Consent Decree, including the</w:t>
      </w:r>
      <w:r w:rsidR="002D315F" w:rsidRPr="009F3455">
        <w:t xml:space="preserve"> discharge </w:t>
      </w:r>
      <w:r w:rsidR="00BD2D48">
        <w:t xml:space="preserve">of </w:t>
      </w:r>
      <w:r w:rsidR="002D315F" w:rsidRPr="009F3455">
        <w:t>the duties set forth below</w:t>
      </w:r>
      <w:r w:rsidR="002D315F">
        <w:t xml:space="preserve">.  </w:t>
      </w:r>
      <w:r w:rsidR="003078B2">
        <w:t>John</w:t>
      </w:r>
      <w:r w:rsidR="003B3BBD">
        <w:t xml:space="preserve"> David</w:t>
      </w:r>
      <w:r w:rsidRPr="009F3455">
        <w:t xml:space="preserve"> shall be responsible for developing, implementing, and administering the Compliance Plan and ensuring that </w:t>
      </w:r>
      <w:r w:rsidR="003078B2">
        <w:t>he</w:t>
      </w:r>
      <w:r w:rsidR="009A72D2">
        <w:t xml:space="preserve">, </w:t>
      </w:r>
      <w:r w:rsidR="002D315F">
        <w:t>and the</w:t>
      </w:r>
      <w:r w:rsidR="00CE579D">
        <w:t xml:space="preserve"> Companies</w:t>
      </w:r>
      <w:r w:rsidR="009A72D2">
        <w:t>,</w:t>
      </w:r>
      <w:r w:rsidR="003078B2">
        <w:t xml:space="preserve"> </w:t>
      </w:r>
      <w:r w:rsidR="00CE579D" w:rsidRPr="009F3455">
        <w:t>compl</w:t>
      </w:r>
      <w:r w:rsidR="00CE579D">
        <w:t>y</w:t>
      </w:r>
      <w:r w:rsidR="00CE579D" w:rsidRPr="009F3455">
        <w:t xml:space="preserve"> </w:t>
      </w:r>
      <w:r w:rsidRPr="009F3455">
        <w:t xml:space="preserve">with the terms and conditions of the Compliance Plan and this Consent Decree.  In addition to the general knowledge of the Communications Laws necessary to discharge his duties under this Consent Decree, </w:t>
      </w:r>
      <w:r w:rsidR="003078B2">
        <w:t xml:space="preserve">John </w:t>
      </w:r>
      <w:r w:rsidR="003B3BBD">
        <w:t xml:space="preserve">David </w:t>
      </w:r>
      <w:r w:rsidRPr="009F3455">
        <w:t>shall have</w:t>
      </w:r>
      <w:r w:rsidR="007C0D25">
        <w:t>, or acquire,</w:t>
      </w:r>
      <w:r w:rsidRPr="009F3455">
        <w:t xml:space="preserve"> specific knowledge of the Unsolicited Facsimile Rules. </w:t>
      </w:r>
    </w:p>
    <w:p w:rsidR="004B6A6E" w:rsidRPr="009F3455" w:rsidRDefault="00BB301A" w:rsidP="00313DA5">
      <w:pPr>
        <w:pStyle w:val="ParaNum0"/>
        <w:widowControl/>
      </w:pPr>
      <w:r w:rsidRPr="009F3455">
        <w:rPr>
          <w:b/>
          <w:u w:val="single"/>
        </w:rPr>
        <w:t>Compliance Plan</w:t>
      </w:r>
      <w:r w:rsidR="00C16F45" w:rsidRPr="009F3455">
        <w:t>.</w:t>
      </w:r>
      <w:r w:rsidRPr="009F3455">
        <w:t xml:space="preserve">  For purposes of settling the matters set forth herein,</w:t>
      </w:r>
      <w:r w:rsidR="00D16C3D">
        <w:t xml:space="preserve"> </w:t>
      </w:r>
      <w:r w:rsidR="00EF637C">
        <w:t xml:space="preserve">John David </w:t>
      </w:r>
      <w:r w:rsidR="00D04E74">
        <w:t>represent</w:t>
      </w:r>
      <w:r w:rsidR="009A72D2">
        <w:t>s</w:t>
      </w:r>
      <w:r w:rsidR="00D04E74">
        <w:t xml:space="preserve"> that, prior to the Effective</w:t>
      </w:r>
      <w:r w:rsidR="00387900">
        <w:t xml:space="preserve"> </w:t>
      </w:r>
      <w:r w:rsidR="00D04E74">
        <w:t xml:space="preserve">Date, </w:t>
      </w:r>
      <w:r w:rsidR="009A72D2">
        <w:t xml:space="preserve">he and </w:t>
      </w:r>
      <w:r w:rsidR="00CE579D">
        <w:t xml:space="preserve">each Company </w:t>
      </w:r>
      <w:r w:rsidR="006A7F28">
        <w:t xml:space="preserve">have </w:t>
      </w:r>
      <w:r w:rsidR="00D04E74">
        <w:t>ceased sending, or causing to be sent</w:t>
      </w:r>
      <w:r w:rsidR="00E24797">
        <w:t>,</w:t>
      </w:r>
      <w:r w:rsidR="00D04E74">
        <w:t xml:space="preserve"> all Advertisements by facsimile in the United States</w:t>
      </w:r>
      <w:r w:rsidR="00CD6C10">
        <w:t xml:space="preserve"> (including Unsolicited Advertisements)</w:t>
      </w:r>
      <w:r w:rsidR="00C813F3">
        <w:t>, and have advised all Covered Employees of the provisions of this consent decree</w:t>
      </w:r>
      <w:r w:rsidR="00D04E74">
        <w:t>.</w:t>
      </w:r>
      <w:r w:rsidR="00D04E74">
        <w:rPr>
          <w:rStyle w:val="FootnoteReference"/>
        </w:rPr>
        <w:footnoteReference w:id="17"/>
      </w:r>
      <w:r w:rsidR="00D04E74">
        <w:t xml:space="preserve">  Further, </w:t>
      </w:r>
      <w:r w:rsidR="00EF637C">
        <w:t xml:space="preserve">John David </w:t>
      </w:r>
      <w:r w:rsidR="00D16C3D">
        <w:t xml:space="preserve"> </w:t>
      </w:r>
      <w:r w:rsidR="00FC093E" w:rsidRPr="009F3455">
        <w:t>agree</w:t>
      </w:r>
      <w:r w:rsidR="009A72D2">
        <w:t>s</w:t>
      </w:r>
      <w:r w:rsidR="00FC093E" w:rsidRPr="009F3455">
        <w:t xml:space="preserve"> that</w:t>
      </w:r>
      <w:r w:rsidR="00D04E74">
        <w:t xml:space="preserve">, after the Effective Date, </w:t>
      </w:r>
      <w:r w:rsidR="00CE579D">
        <w:t xml:space="preserve">neither </w:t>
      </w:r>
      <w:r w:rsidR="009A72D2">
        <w:t xml:space="preserve">he </w:t>
      </w:r>
      <w:r w:rsidR="00CE579D">
        <w:t>nor any Company</w:t>
      </w:r>
      <w:r w:rsidR="009A72D2">
        <w:t xml:space="preserve"> </w:t>
      </w:r>
      <w:r w:rsidR="00D04E74">
        <w:t xml:space="preserve">shall send, or cause to be sent, any Advertisements by facsimile in the United States except under the following conditions: </w:t>
      </w:r>
      <w:r w:rsidR="00FC093E" w:rsidRPr="009F3455">
        <w:t xml:space="preserve"> </w:t>
      </w:r>
    </w:p>
    <w:p w:rsidR="00D04E74" w:rsidRPr="00D04E74" w:rsidRDefault="00D04E74" w:rsidP="003B03F6">
      <w:pPr>
        <w:pStyle w:val="ColorfulList-Accent11"/>
        <w:widowControl/>
        <w:numPr>
          <w:ilvl w:val="0"/>
          <w:numId w:val="14"/>
        </w:numPr>
        <w:tabs>
          <w:tab w:val="left" w:pos="2160"/>
        </w:tabs>
        <w:spacing w:after="120"/>
        <w:ind w:left="2160" w:hanging="720"/>
        <w:rPr>
          <w:szCs w:val="22"/>
        </w:rPr>
      </w:pPr>
      <w:r>
        <w:rPr>
          <w:b/>
          <w:szCs w:val="22"/>
          <w:u w:val="single"/>
        </w:rPr>
        <w:t>Implement</w:t>
      </w:r>
      <w:r w:rsidR="007C0D25">
        <w:rPr>
          <w:b/>
          <w:szCs w:val="22"/>
          <w:u w:val="single"/>
        </w:rPr>
        <w:t>ation</w:t>
      </w:r>
      <w:r>
        <w:rPr>
          <w:b/>
          <w:szCs w:val="22"/>
          <w:u w:val="single"/>
        </w:rPr>
        <w:t>.</w:t>
      </w:r>
      <w:r w:rsidR="001A2DDC">
        <w:rPr>
          <w:szCs w:val="22"/>
        </w:rPr>
        <w:t xml:space="preserve">  </w:t>
      </w:r>
      <w:r w:rsidR="00D16C3D">
        <w:rPr>
          <w:szCs w:val="22"/>
        </w:rPr>
        <w:t>Not</w:t>
      </w:r>
      <w:r>
        <w:t xml:space="preserve"> less than </w:t>
      </w:r>
      <w:r w:rsidR="003B03F6">
        <w:t>ninety</w:t>
      </w:r>
      <w:r w:rsidR="003B03F6" w:rsidRPr="009F3455">
        <w:t xml:space="preserve"> </w:t>
      </w:r>
      <w:r w:rsidRPr="009F3455">
        <w:t>(</w:t>
      </w:r>
      <w:r w:rsidR="003B03F6">
        <w:t>9</w:t>
      </w:r>
      <w:r w:rsidRPr="009F3455">
        <w:t xml:space="preserve">0) calendar days </w:t>
      </w:r>
      <w:r w:rsidR="007C0D25">
        <w:t>before</w:t>
      </w:r>
      <w:r>
        <w:t xml:space="preserve"> </w:t>
      </w:r>
      <w:r w:rsidR="00EF637C">
        <w:t>John David</w:t>
      </w:r>
      <w:r w:rsidR="009A72D2">
        <w:t xml:space="preserve">, </w:t>
      </w:r>
      <w:r w:rsidR="00EF637C">
        <w:t>or</w:t>
      </w:r>
      <w:r w:rsidR="009A72D2">
        <w:t xml:space="preserve"> any </w:t>
      </w:r>
      <w:r w:rsidR="00CE579D">
        <w:t>Company</w:t>
      </w:r>
      <w:r w:rsidR="009A72D2">
        <w:t>,</w:t>
      </w:r>
      <w:r w:rsidR="007C0D25">
        <w:t xml:space="preserve"> </w:t>
      </w:r>
      <w:r>
        <w:t>send</w:t>
      </w:r>
      <w:r w:rsidR="007C0D25">
        <w:t>s</w:t>
      </w:r>
      <w:r w:rsidR="00EF637C">
        <w:t>,</w:t>
      </w:r>
      <w:r w:rsidR="007C0D25">
        <w:t xml:space="preserve"> </w:t>
      </w:r>
      <w:r>
        <w:t>or caus</w:t>
      </w:r>
      <w:r w:rsidR="007C0D25">
        <w:t>es</w:t>
      </w:r>
      <w:r>
        <w:t xml:space="preserve"> to be sent</w:t>
      </w:r>
      <w:r w:rsidR="00EF637C">
        <w:t>,</w:t>
      </w:r>
      <w:r>
        <w:t xml:space="preserve"> any </w:t>
      </w:r>
      <w:r w:rsidR="007C0D25">
        <w:t>A</w:t>
      </w:r>
      <w:r>
        <w:t>dvertisement</w:t>
      </w:r>
      <w:r w:rsidR="007C0D25">
        <w:t xml:space="preserve"> by facsimile</w:t>
      </w:r>
      <w:r w:rsidR="00CD6C10">
        <w:t xml:space="preserve"> (including Unsolicited Advertisements)</w:t>
      </w:r>
      <w:r>
        <w:t xml:space="preserve">, </w:t>
      </w:r>
      <w:r w:rsidR="00EF637C">
        <w:t>John David</w:t>
      </w:r>
      <w:r w:rsidRPr="009F3455">
        <w:t xml:space="preserve"> </w:t>
      </w:r>
      <w:r>
        <w:t xml:space="preserve">shall (i) </w:t>
      </w:r>
      <w:r w:rsidRPr="009F3455">
        <w:t>develop</w:t>
      </w:r>
      <w:r>
        <w:t xml:space="preserve"> and </w:t>
      </w:r>
      <w:r w:rsidRPr="009F3455">
        <w:t>implement</w:t>
      </w:r>
      <w:r>
        <w:t xml:space="preserve"> </w:t>
      </w:r>
      <w:r w:rsidRPr="009F3455">
        <w:t>a Compliance Plan designed to ensure future compliance with the Communications Laws and with the terms and conditions of this Consent Decree</w:t>
      </w:r>
      <w:r>
        <w:t xml:space="preserve">, and (ii) notify </w:t>
      </w:r>
      <w:r>
        <w:rPr>
          <w:szCs w:val="22"/>
        </w:rPr>
        <w:t xml:space="preserve">the Commission that </w:t>
      </w:r>
      <w:r w:rsidR="00EB3ECB">
        <w:rPr>
          <w:szCs w:val="22"/>
        </w:rPr>
        <w:t>such</w:t>
      </w:r>
      <w:r>
        <w:rPr>
          <w:szCs w:val="22"/>
        </w:rPr>
        <w:t xml:space="preserve"> Compliance Plan</w:t>
      </w:r>
      <w:r w:rsidR="0095028F">
        <w:rPr>
          <w:szCs w:val="22"/>
        </w:rPr>
        <w:t xml:space="preserve"> has been implemented</w:t>
      </w:r>
      <w:r>
        <w:rPr>
          <w:szCs w:val="22"/>
        </w:rPr>
        <w:t xml:space="preserve">.  The notification shall be sent to </w:t>
      </w:r>
      <w:r>
        <w:rPr>
          <w:rStyle w:val="Hyperlink"/>
          <w:szCs w:val="22"/>
        </w:rPr>
        <w:t>Da</w:t>
      </w:r>
      <w:r w:rsidRPr="009F3455">
        <w:rPr>
          <w:rStyle w:val="Hyperlink"/>
          <w:szCs w:val="22"/>
        </w:rPr>
        <w:t>niel.</w:t>
      </w:r>
      <w:r>
        <w:rPr>
          <w:rStyle w:val="Hyperlink"/>
          <w:szCs w:val="22"/>
        </w:rPr>
        <w:t>G</w:t>
      </w:r>
      <w:r w:rsidRPr="009F3455">
        <w:rPr>
          <w:rStyle w:val="Hyperlink"/>
          <w:szCs w:val="22"/>
        </w:rPr>
        <w:t>rosh@fcc.gov</w:t>
      </w:r>
      <w:r>
        <w:rPr>
          <w:szCs w:val="22"/>
        </w:rPr>
        <w:t xml:space="preserve"> and to </w:t>
      </w:r>
      <w:hyperlink r:id="rId14" w:history="1">
        <w:r w:rsidRPr="006669DE">
          <w:rPr>
            <w:rStyle w:val="Hyperlink"/>
            <w:szCs w:val="22"/>
          </w:rPr>
          <w:t>Phillip.Priesman@fcc.gov</w:t>
        </w:r>
      </w:hyperlink>
      <w:r>
        <w:rPr>
          <w:szCs w:val="22"/>
        </w:rPr>
        <w:t xml:space="preserve">.  </w:t>
      </w:r>
      <w:r w:rsidRPr="009F3455">
        <w:t xml:space="preserve">The Compliance Plan shall </w:t>
      </w:r>
      <w:r>
        <w:t>i</w:t>
      </w:r>
      <w:r w:rsidRPr="009F3455">
        <w:t>nclude, without limitation, the</w:t>
      </w:r>
      <w:r w:rsidR="00180869">
        <w:t xml:space="preserve"> </w:t>
      </w:r>
      <w:r w:rsidRPr="009F3455">
        <w:t>components</w:t>
      </w:r>
      <w:r w:rsidR="00180869">
        <w:t xml:space="preserve"> set forth in this Paragraph </w:t>
      </w:r>
      <w:r w:rsidR="005E1F28">
        <w:t>11</w:t>
      </w:r>
      <w:r w:rsidR="00180869">
        <w:t>.</w:t>
      </w:r>
      <w:r w:rsidRPr="009F3455">
        <w:t xml:space="preserve"> </w:t>
      </w:r>
    </w:p>
    <w:p w:rsidR="00D61C95" w:rsidRPr="009F3455" w:rsidRDefault="00D61C95" w:rsidP="00C46B1F">
      <w:pPr>
        <w:pStyle w:val="ColorfulList-Accent11"/>
        <w:widowControl/>
        <w:numPr>
          <w:ilvl w:val="0"/>
          <w:numId w:val="14"/>
        </w:numPr>
        <w:tabs>
          <w:tab w:val="left" w:pos="2160"/>
        </w:tabs>
        <w:spacing w:after="120"/>
        <w:ind w:left="2160" w:hanging="720"/>
        <w:rPr>
          <w:szCs w:val="22"/>
        </w:rPr>
      </w:pPr>
      <w:r w:rsidRPr="009F3455">
        <w:rPr>
          <w:b/>
          <w:szCs w:val="22"/>
          <w:u w:val="single"/>
        </w:rPr>
        <w:t>Operating Procedures on Unsolicited Advertisements</w:t>
      </w:r>
      <w:r w:rsidR="007C0D25">
        <w:rPr>
          <w:szCs w:val="22"/>
        </w:rPr>
        <w:t xml:space="preserve">.  John David </w:t>
      </w:r>
      <w:r w:rsidRPr="009F3455">
        <w:rPr>
          <w:szCs w:val="22"/>
        </w:rPr>
        <w:t xml:space="preserve">shall establish Operating Procedures </w:t>
      </w:r>
      <w:r w:rsidR="007C71A1">
        <w:rPr>
          <w:szCs w:val="22"/>
        </w:rPr>
        <w:t xml:space="preserve">that </w:t>
      </w:r>
      <w:r w:rsidR="00180869">
        <w:rPr>
          <w:szCs w:val="22"/>
        </w:rPr>
        <w:t xml:space="preserve">he and </w:t>
      </w:r>
      <w:r w:rsidRPr="009F3455">
        <w:rPr>
          <w:szCs w:val="22"/>
        </w:rPr>
        <w:t xml:space="preserve">all Covered Employees </w:t>
      </w:r>
      <w:r w:rsidR="00180869">
        <w:rPr>
          <w:szCs w:val="22"/>
        </w:rPr>
        <w:t xml:space="preserve">shall </w:t>
      </w:r>
      <w:r w:rsidRPr="009F3455">
        <w:rPr>
          <w:szCs w:val="22"/>
        </w:rPr>
        <w:t>follow to ensure compliance with the Unsolicited Facsimile Rules</w:t>
      </w:r>
      <w:r w:rsidR="006D412C">
        <w:rPr>
          <w:szCs w:val="22"/>
        </w:rPr>
        <w:t xml:space="preserve"> and the Communications Laws</w:t>
      </w:r>
      <w:r w:rsidRPr="009F3455">
        <w:rPr>
          <w:szCs w:val="22"/>
        </w:rPr>
        <w:t xml:space="preserve">.  </w:t>
      </w:r>
      <w:r w:rsidR="004C5C1C">
        <w:rPr>
          <w:szCs w:val="22"/>
        </w:rPr>
        <w:t xml:space="preserve">These </w:t>
      </w:r>
      <w:r w:rsidRPr="009F3455">
        <w:rPr>
          <w:szCs w:val="22"/>
        </w:rPr>
        <w:t xml:space="preserve">Operating Procedures shall include, without limitation: </w:t>
      </w:r>
    </w:p>
    <w:p w:rsidR="00D61C95" w:rsidRPr="009F3455" w:rsidRDefault="00D61C95" w:rsidP="00C46B1F">
      <w:pPr>
        <w:pStyle w:val="ColorfulList-Accent11"/>
        <w:widowControl/>
        <w:numPr>
          <w:ilvl w:val="1"/>
          <w:numId w:val="14"/>
        </w:numPr>
        <w:spacing w:after="120"/>
        <w:ind w:left="2880"/>
      </w:pPr>
      <w:r w:rsidRPr="009F3455">
        <w:t xml:space="preserve">A “Compliance Checklist” that describes the steps that </w:t>
      </w:r>
      <w:r w:rsidR="00BC36D6">
        <w:t xml:space="preserve">John David and all </w:t>
      </w:r>
      <w:r w:rsidRPr="009F3455">
        <w:t>Covered Employee</w:t>
      </w:r>
      <w:r w:rsidR="00BC36D6">
        <w:t>s</w:t>
      </w:r>
      <w:r w:rsidRPr="009F3455">
        <w:t xml:space="preserve"> must follow to ensure </w:t>
      </w:r>
      <w:r w:rsidR="007C0D25">
        <w:t>c</w:t>
      </w:r>
      <w:r w:rsidRPr="009F3455">
        <w:t>ompli</w:t>
      </w:r>
      <w:r w:rsidR="007C0D25">
        <w:t>ance</w:t>
      </w:r>
      <w:r w:rsidRPr="009F3455">
        <w:t xml:space="preserve"> with this Consent Decree and the Unsolicited Facsimile Rules and appropriate report</w:t>
      </w:r>
      <w:r w:rsidR="00BC36D6">
        <w:t>ing of</w:t>
      </w:r>
      <w:r w:rsidRPr="009F3455">
        <w:t xml:space="preserve"> non</w:t>
      </w:r>
      <w:r w:rsidR="007C71A1">
        <w:t>-</w:t>
      </w:r>
      <w:r w:rsidRPr="009F3455">
        <w:t>com</w:t>
      </w:r>
      <w:r w:rsidR="00746E56" w:rsidRPr="009F3455">
        <w:t>pliance pursuant to paragraph 1</w:t>
      </w:r>
      <w:r w:rsidR="005E1F28">
        <w:t>4</w:t>
      </w:r>
      <w:r w:rsidRPr="009F3455">
        <w:t xml:space="preserve"> below; </w:t>
      </w:r>
    </w:p>
    <w:p w:rsidR="00D61C95" w:rsidRPr="009F3455" w:rsidRDefault="00D61C95" w:rsidP="00C46B1F">
      <w:pPr>
        <w:pStyle w:val="ColorfulList-Accent11"/>
        <w:widowControl/>
        <w:numPr>
          <w:ilvl w:val="1"/>
          <w:numId w:val="14"/>
        </w:numPr>
        <w:spacing w:after="120"/>
        <w:ind w:left="2880"/>
      </w:pPr>
      <w:r w:rsidRPr="009F3455">
        <w:t xml:space="preserve">Procedures for keeping, managing, updating </w:t>
      </w:r>
      <w:r w:rsidR="00BC36D6">
        <w:t>the</w:t>
      </w:r>
      <w:r w:rsidR="007C71A1">
        <w:t xml:space="preserve"> “</w:t>
      </w:r>
      <w:r w:rsidRPr="009F3455">
        <w:t>EBR List,</w:t>
      </w:r>
      <w:r w:rsidR="00BC36D6">
        <w:t xml:space="preserve">” </w:t>
      </w:r>
      <w:r w:rsidRPr="009F3455">
        <w:t xml:space="preserve"> </w:t>
      </w:r>
      <w:r w:rsidR="00BC36D6">
        <w:t>“</w:t>
      </w:r>
      <w:r w:rsidRPr="009F3455">
        <w:t>No-Fax List,</w:t>
      </w:r>
      <w:r w:rsidR="00BC36D6">
        <w:t>”</w:t>
      </w:r>
      <w:r w:rsidRPr="009F3455">
        <w:t xml:space="preserve"> and any </w:t>
      </w:r>
      <w:r w:rsidR="00BC36D6">
        <w:t>“</w:t>
      </w:r>
      <w:r w:rsidRPr="009F3455">
        <w:t>Fax Lists</w:t>
      </w:r>
      <w:r w:rsidR="00BC36D6">
        <w:t>,” as those terms are used below</w:t>
      </w:r>
      <w:r w:rsidRPr="009F3455">
        <w:t>;</w:t>
      </w:r>
    </w:p>
    <w:p w:rsidR="00D61C95" w:rsidRPr="009F3455" w:rsidRDefault="00D61C95" w:rsidP="00C46B1F">
      <w:pPr>
        <w:pStyle w:val="ColorfulList-Accent11"/>
        <w:widowControl/>
        <w:numPr>
          <w:ilvl w:val="1"/>
          <w:numId w:val="14"/>
        </w:numPr>
        <w:spacing w:after="120"/>
        <w:ind w:left="2880"/>
      </w:pPr>
      <w:r w:rsidRPr="009F3455">
        <w:t>Procedures for promptly investigating and resolving Complaints;</w:t>
      </w:r>
      <w:r w:rsidR="007C0D25">
        <w:t xml:space="preserve"> </w:t>
      </w:r>
    </w:p>
    <w:p w:rsidR="00D61C95" w:rsidRPr="009F3455" w:rsidRDefault="00D61C95" w:rsidP="00C46B1F">
      <w:pPr>
        <w:pStyle w:val="ColorfulList-Accent11"/>
        <w:widowControl/>
        <w:numPr>
          <w:ilvl w:val="1"/>
          <w:numId w:val="14"/>
        </w:numPr>
        <w:spacing w:after="120"/>
        <w:ind w:left="2880"/>
      </w:pPr>
      <w:r w:rsidRPr="009F3455">
        <w:t xml:space="preserve">A requirement that </w:t>
      </w:r>
      <w:r w:rsidR="003F7DB3">
        <w:t xml:space="preserve">John David </w:t>
      </w:r>
      <w:r w:rsidRPr="009F3455">
        <w:t xml:space="preserve">monitor all facsimile marketing activities </w:t>
      </w:r>
      <w:r w:rsidR="00937615">
        <w:t xml:space="preserve">of </w:t>
      </w:r>
      <w:r w:rsidR="008D37CF">
        <w:t xml:space="preserve">any business he controls, </w:t>
      </w:r>
      <w:r w:rsidRPr="009F3455">
        <w:t>for compliance and reporting non-compliance purposes.</w:t>
      </w:r>
    </w:p>
    <w:p w:rsidR="002815F2" w:rsidRPr="009F3455" w:rsidRDefault="004B6A6E" w:rsidP="00C46B1F">
      <w:pPr>
        <w:pStyle w:val="ColorfulList-Accent11"/>
        <w:widowControl/>
        <w:numPr>
          <w:ilvl w:val="0"/>
          <w:numId w:val="14"/>
        </w:numPr>
        <w:tabs>
          <w:tab w:val="left" w:pos="2160"/>
        </w:tabs>
        <w:spacing w:after="120"/>
        <w:ind w:left="2160" w:hanging="720"/>
        <w:rPr>
          <w:szCs w:val="22"/>
        </w:rPr>
      </w:pPr>
      <w:r w:rsidRPr="009F3455">
        <w:rPr>
          <w:b/>
          <w:szCs w:val="22"/>
          <w:u w:val="single"/>
        </w:rPr>
        <w:t>Company In-house EBR List</w:t>
      </w:r>
      <w:r w:rsidRPr="009F3455">
        <w:rPr>
          <w:szCs w:val="22"/>
        </w:rPr>
        <w:t xml:space="preserve">.  </w:t>
      </w:r>
      <w:r w:rsidR="003F7DB3">
        <w:rPr>
          <w:szCs w:val="22"/>
        </w:rPr>
        <w:t>John David</w:t>
      </w:r>
      <w:r w:rsidR="00D6364C">
        <w:rPr>
          <w:szCs w:val="22"/>
        </w:rPr>
        <w:t xml:space="preserve"> </w:t>
      </w:r>
      <w:r w:rsidRPr="009F3455">
        <w:rPr>
          <w:szCs w:val="22"/>
        </w:rPr>
        <w:t>shall create a</w:t>
      </w:r>
      <w:r w:rsidR="0098524A" w:rsidRPr="009F3455">
        <w:rPr>
          <w:szCs w:val="22"/>
        </w:rPr>
        <w:t xml:space="preserve">n “EBR List” that </w:t>
      </w:r>
      <w:r w:rsidR="00B7799B" w:rsidRPr="009F3455">
        <w:rPr>
          <w:szCs w:val="22"/>
        </w:rPr>
        <w:t>include</w:t>
      </w:r>
      <w:r w:rsidR="0098524A" w:rsidRPr="009F3455">
        <w:rPr>
          <w:szCs w:val="22"/>
        </w:rPr>
        <w:t>s</w:t>
      </w:r>
      <w:r w:rsidR="00B7799B" w:rsidRPr="009F3455">
        <w:rPr>
          <w:szCs w:val="22"/>
        </w:rPr>
        <w:t xml:space="preserve"> (i) the name of each </w:t>
      </w:r>
      <w:r w:rsidR="000E1B55" w:rsidRPr="009F3455">
        <w:rPr>
          <w:szCs w:val="22"/>
        </w:rPr>
        <w:t>P</w:t>
      </w:r>
      <w:r w:rsidR="00034B5A" w:rsidRPr="009F3455">
        <w:rPr>
          <w:szCs w:val="22"/>
        </w:rPr>
        <w:t>erson with whom</w:t>
      </w:r>
      <w:r w:rsidR="009A72D2">
        <w:rPr>
          <w:szCs w:val="22"/>
        </w:rPr>
        <w:t xml:space="preserve"> he, or any </w:t>
      </w:r>
      <w:r w:rsidR="00A9070A">
        <w:rPr>
          <w:szCs w:val="22"/>
        </w:rPr>
        <w:t>Company</w:t>
      </w:r>
      <w:r w:rsidR="009A72D2">
        <w:rPr>
          <w:szCs w:val="22"/>
        </w:rPr>
        <w:t xml:space="preserve">, </w:t>
      </w:r>
      <w:r w:rsidRPr="009F3455">
        <w:rPr>
          <w:szCs w:val="22"/>
        </w:rPr>
        <w:t xml:space="preserve">has an </w:t>
      </w:r>
      <w:r w:rsidR="002815F2" w:rsidRPr="009F3455">
        <w:rPr>
          <w:szCs w:val="22"/>
        </w:rPr>
        <w:t>EBR</w:t>
      </w:r>
      <w:r w:rsidR="00C84963" w:rsidRPr="009F3455">
        <w:rPr>
          <w:szCs w:val="22"/>
        </w:rPr>
        <w:t xml:space="preserve"> </w:t>
      </w:r>
      <w:r w:rsidR="00B7799B" w:rsidRPr="009F3455">
        <w:rPr>
          <w:szCs w:val="22"/>
        </w:rPr>
        <w:t xml:space="preserve">and whose facsimile number </w:t>
      </w:r>
      <w:r w:rsidR="008B0B07">
        <w:rPr>
          <w:szCs w:val="22"/>
        </w:rPr>
        <w:t>he</w:t>
      </w:r>
      <w:r w:rsidR="00A277EC">
        <w:rPr>
          <w:szCs w:val="22"/>
        </w:rPr>
        <w:t xml:space="preserve">, or any </w:t>
      </w:r>
      <w:r w:rsidR="00A9070A">
        <w:rPr>
          <w:szCs w:val="22"/>
        </w:rPr>
        <w:t>Company</w:t>
      </w:r>
      <w:r w:rsidR="00A277EC">
        <w:rPr>
          <w:szCs w:val="22"/>
        </w:rPr>
        <w:t>,</w:t>
      </w:r>
      <w:r w:rsidR="008B0B07">
        <w:rPr>
          <w:szCs w:val="22"/>
        </w:rPr>
        <w:t xml:space="preserve"> </w:t>
      </w:r>
      <w:r w:rsidR="00B7799B" w:rsidRPr="009F3455">
        <w:rPr>
          <w:szCs w:val="22"/>
        </w:rPr>
        <w:t>has obtained consistent with the Unsolicited Facsimile Rules; and (ii) the facsimile number for each such Person.</w:t>
      </w:r>
      <w:r w:rsidR="008B0B07">
        <w:rPr>
          <w:szCs w:val="22"/>
        </w:rPr>
        <w:t xml:space="preserve">  </w:t>
      </w:r>
      <w:r w:rsidR="00D6364C">
        <w:rPr>
          <w:szCs w:val="22"/>
        </w:rPr>
        <w:t xml:space="preserve">John David </w:t>
      </w:r>
      <w:r w:rsidRPr="009F3455">
        <w:rPr>
          <w:szCs w:val="22"/>
        </w:rPr>
        <w:t xml:space="preserve">shall update and maintain the EBR List to ensure </w:t>
      </w:r>
      <w:r w:rsidR="00034B5A" w:rsidRPr="009F3455">
        <w:rPr>
          <w:szCs w:val="22"/>
        </w:rPr>
        <w:t xml:space="preserve">that at all times </w:t>
      </w:r>
      <w:r w:rsidRPr="009F3455">
        <w:rPr>
          <w:szCs w:val="22"/>
        </w:rPr>
        <w:t xml:space="preserve">it is </w:t>
      </w:r>
      <w:r w:rsidR="0098524A" w:rsidRPr="009F3455">
        <w:rPr>
          <w:szCs w:val="22"/>
        </w:rPr>
        <w:t xml:space="preserve">accurate, </w:t>
      </w:r>
      <w:r w:rsidRPr="009F3455">
        <w:rPr>
          <w:szCs w:val="22"/>
        </w:rPr>
        <w:t>current</w:t>
      </w:r>
      <w:r w:rsidR="0098524A" w:rsidRPr="009F3455">
        <w:rPr>
          <w:szCs w:val="22"/>
        </w:rPr>
        <w:t>,</w:t>
      </w:r>
      <w:r w:rsidRPr="009F3455">
        <w:rPr>
          <w:szCs w:val="22"/>
        </w:rPr>
        <w:t xml:space="preserve"> and </w:t>
      </w:r>
      <w:r w:rsidR="00034B5A" w:rsidRPr="009F3455">
        <w:rPr>
          <w:szCs w:val="22"/>
        </w:rPr>
        <w:t xml:space="preserve">consistent </w:t>
      </w:r>
      <w:r w:rsidRPr="009F3455">
        <w:rPr>
          <w:szCs w:val="22"/>
        </w:rPr>
        <w:t>with the Unsolicited Facsimile Rules.</w:t>
      </w:r>
      <w:r w:rsidR="00537526" w:rsidRPr="009F3455">
        <w:rPr>
          <w:szCs w:val="22"/>
        </w:rPr>
        <w:t xml:space="preserve">  </w:t>
      </w:r>
    </w:p>
    <w:p w:rsidR="00537526" w:rsidRPr="009F3455" w:rsidRDefault="002815F2" w:rsidP="00C46B1F">
      <w:pPr>
        <w:pStyle w:val="ColorfulList-Accent11"/>
        <w:widowControl/>
        <w:numPr>
          <w:ilvl w:val="0"/>
          <w:numId w:val="14"/>
        </w:numPr>
        <w:tabs>
          <w:tab w:val="left" w:pos="2160"/>
        </w:tabs>
        <w:spacing w:after="120"/>
        <w:ind w:left="2160" w:hanging="720"/>
        <w:rPr>
          <w:szCs w:val="22"/>
        </w:rPr>
      </w:pPr>
      <w:r w:rsidRPr="009F3455">
        <w:rPr>
          <w:b/>
          <w:szCs w:val="22"/>
          <w:u w:val="single"/>
        </w:rPr>
        <w:t>Company In-house No-Fax List</w:t>
      </w:r>
      <w:r w:rsidR="00586B59" w:rsidRPr="009F3455">
        <w:rPr>
          <w:szCs w:val="22"/>
        </w:rPr>
        <w:t>.</w:t>
      </w:r>
      <w:r w:rsidRPr="009F3455">
        <w:rPr>
          <w:szCs w:val="22"/>
        </w:rPr>
        <w:t xml:space="preserve">  </w:t>
      </w:r>
      <w:r w:rsidR="00D6364C">
        <w:rPr>
          <w:szCs w:val="22"/>
        </w:rPr>
        <w:t xml:space="preserve">John David </w:t>
      </w:r>
      <w:r w:rsidRPr="009F3455">
        <w:rPr>
          <w:szCs w:val="22"/>
        </w:rPr>
        <w:t>shall create a</w:t>
      </w:r>
      <w:r w:rsidR="00537526" w:rsidRPr="009F3455">
        <w:rPr>
          <w:szCs w:val="22"/>
        </w:rPr>
        <w:t xml:space="preserve"> “No-Fax L</w:t>
      </w:r>
      <w:r w:rsidRPr="009F3455">
        <w:rPr>
          <w:szCs w:val="22"/>
        </w:rPr>
        <w:t>ist</w:t>
      </w:r>
      <w:r w:rsidR="00537526" w:rsidRPr="009F3455">
        <w:rPr>
          <w:szCs w:val="22"/>
        </w:rPr>
        <w:t>”</w:t>
      </w:r>
      <w:r w:rsidRPr="009F3455">
        <w:rPr>
          <w:szCs w:val="22"/>
        </w:rPr>
        <w:t xml:space="preserve"> containing </w:t>
      </w:r>
      <w:r w:rsidR="0098524A" w:rsidRPr="009F3455">
        <w:rPr>
          <w:szCs w:val="22"/>
        </w:rPr>
        <w:t>(i) the</w:t>
      </w:r>
      <w:r w:rsidRPr="009F3455">
        <w:rPr>
          <w:szCs w:val="22"/>
        </w:rPr>
        <w:t xml:space="preserve"> name of </w:t>
      </w:r>
      <w:r w:rsidR="0098524A" w:rsidRPr="009F3455">
        <w:rPr>
          <w:szCs w:val="22"/>
        </w:rPr>
        <w:t>each</w:t>
      </w:r>
      <w:r w:rsidRPr="009F3455">
        <w:rPr>
          <w:szCs w:val="22"/>
        </w:rPr>
        <w:t xml:space="preserve"> Person </w:t>
      </w:r>
      <w:r w:rsidR="00604267" w:rsidRPr="009F3455">
        <w:rPr>
          <w:szCs w:val="22"/>
        </w:rPr>
        <w:t>who</w:t>
      </w:r>
      <w:r w:rsidR="00FC093E" w:rsidRPr="009F3455">
        <w:rPr>
          <w:szCs w:val="22"/>
        </w:rPr>
        <w:t xml:space="preserve"> </w:t>
      </w:r>
      <w:r w:rsidRPr="009F3455">
        <w:rPr>
          <w:szCs w:val="22"/>
        </w:rPr>
        <w:t>h</w:t>
      </w:r>
      <w:r w:rsidR="0098524A" w:rsidRPr="009F3455">
        <w:rPr>
          <w:szCs w:val="22"/>
        </w:rPr>
        <w:t>as</w:t>
      </w:r>
      <w:r w:rsidRPr="009F3455">
        <w:rPr>
          <w:szCs w:val="22"/>
        </w:rPr>
        <w:t xml:space="preserve"> requested that </w:t>
      </w:r>
      <w:r w:rsidR="008D37CF">
        <w:rPr>
          <w:szCs w:val="22"/>
        </w:rPr>
        <w:t xml:space="preserve">he, or any </w:t>
      </w:r>
      <w:r w:rsidR="00A9070A">
        <w:rPr>
          <w:szCs w:val="22"/>
        </w:rPr>
        <w:t>Company</w:t>
      </w:r>
      <w:r w:rsidR="008D37CF">
        <w:rPr>
          <w:szCs w:val="22"/>
        </w:rPr>
        <w:t>,</w:t>
      </w:r>
      <w:r w:rsidR="00D6364C">
        <w:rPr>
          <w:szCs w:val="22"/>
        </w:rPr>
        <w:t xml:space="preserve"> </w:t>
      </w:r>
      <w:r w:rsidRPr="009F3455">
        <w:rPr>
          <w:szCs w:val="22"/>
        </w:rPr>
        <w:t xml:space="preserve">not send any </w:t>
      </w:r>
      <w:r w:rsidR="00604267" w:rsidRPr="009F3455">
        <w:rPr>
          <w:szCs w:val="22"/>
        </w:rPr>
        <w:t>additional</w:t>
      </w:r>
      <w:r w:rsidRPr="009F3455">
        <w:rPr>
          <w:szCs w:val="22"/>
        </w:rPr>
        <w:t xml:space="preserve"> Advertisements</w:t>
      </w:r>
      <w:r w:rsidR="0098524A" w:rsidRPr="009F3455">
        <w:rPr>
          <w:szCs w:val="22"/>
        </w:rPr>
        <w:t>; and (ii) the facsimile number for each such Person</w:t>
      </w:r>
      <w:r w:rsidRPr="009F3455">
        <w:rPr>
          <w:szCs w:val="22"/>
        </w:rPr>
        <w:t>.</w:t>
      </w:r>
      <w:r w:rsidR="00537526" w:rsidRPr="009F3455">
        <w:rPr>
          <w:szCs w:val="22"/>
        </w:rPr>
        <w:t xml:space="preserve">  </w:t>
      </w:r>
      <w:r w:rsidR="008B0B07">
        <w:rPr>
          <w:szCs w:val="22"/>
        </w:rPr>
        <w:t xml:space="preserve">John David </w:t>
      </w:r>
      <w:r w:rsidR="00537526" w:rsidRPr="009F3455">
        <w:rPr>
          <w:szCs w:val="22"/>
        </w:rPr>
        <w:t xml:space="preserve">shall </w:t>
      </w:r>
      <w:r w:rsidR="005D3E5A" w:rsidRPr="009F3455">
        <w:rPr>
          <w:szCs w:val="22"/>
        </w:rPr>
        <w:t xml:space="preserve">update and maintain the </w:t>
      </w:r>
      <w:r w:rsidR="00537526" w:rsidRPr="009F3455">
        <w:rPr>
          <w:szCs w:val="22"/>
        </w:rPr>
        <w:t xml:space="preserve">No-Fax List to ensure that </w:t>
      </w:r>
      <w:r w:rsidR="00034B5A" w:rsidRPr="009F3455">
        <w:rPr>
          <w:szCs w:val="22"/>
        </w:rPr>
        <w:t xml:space="preserve">at all times </w:t>
      </w:r>
      <w:r w:rsidR="00537526" w:rsidRPr="009F3455">
        <w:rPr>
          <w:szCs w:val="22"/>
        </w:rPr>
        <w:t>it is accurate</w:t>
      </w:r>
      <w:r w:rsidR="0098524A" w:rsidRPr="009F3455">
        <w:rPr>
          <w:szCs w:val="22"/>
        </w:rPr>
        <w:t>,</w:t>
      </w:r>
      <w:r w:rsidR="00537526" w:rsidRPr="009F3455">
        <w:rPr>
          <w:szCs w:val="22"/>
        </w:rPr>
        <w:t xml:space="preserve"> current</w:t>
      </w:r>
      <w:r w:rsidR="0098524A" w:rsidRPr="009F3455">
        <w:rPr>
          <w:szCs w:val="22"/>
        </w:rPr>
        <w:t>, and consistent</w:t>
      </w:r>
      <w:r w:rsidR="00604267" w:rsidRPr="009F3455">
        <w:rPr>
          <w:szCs w:val="22"/>
        </w:rPr>
        <w:t xml:space="preserve"> with the Unsolicited Facsimile Rules</w:t>
      </w:r>
      <w:r w:rsidR="00537526" w:rsidRPr="009F3455">
        <w:rPr>
          <w:szCs w:val="22"/>
        </w:rPr>
        <w:t>.</w:t>
      </w:r>
      <w:r w:rsidR="008B0B07">
        <w:rPr>
          <w:szCs w:val="22"/>
        </w:rPr>
        <w:t xml:space="preserve">  </w:t>
      </w:r>
      <w:r w:rsidR="00A9070A">
        <w:rPr>
          <w:szCs w:val="22"/>
        </w:rPr>
        <w:t xml:space="preserve">Neither </w:t>
      </w:r>
      <w:r w:rsidR="008B0B07">
        <w:rPr>
          <w:szCs w:val="22"/>
        </w:rPr>
        <w:t xml:space="preserve">John David </w:t>
      </w:r>
      <w:r w:rsidR="00A9070A">
        <w:rPr>
          <w:szCs w:val="22"/>
        </w:rPr>
        <w:t xml:space="preserve">nor </w:t>
      </w:r>
      <w:r w:rsidR="008D37CF">
        <w:rPr>
          <w:szCs w:val="22"/>
        </w:rPr>
        <w:t xml:space="preserve">any </w:t>
      </w:r>
      <w:r w:rsidR="00A9070A">
        <w:rPr>
          <w:szCs w:val="22"/>
        </w:rPr>
        <w:t>Company</w:t>
      </w:r>
      <w:r w:rsidR="009C104D" w:rsidRPr="009F3455">
        <w:rPr>
          <w:szCs w:val="22"/>
        </w:rPr>
        <w:t xml:space="preserve"> shall send</w:t>
      </w:r>
      <w:r w:rsidR="003518F0">
        <w:rPr>
          <w:szCs w:val="22"/>
        </w:rPr>
        <w:t>,</w:t>
      </w:r>
      <w:r w:rsidR="009C104D" w:rsidRPr="009F3455">
        <w:rPr>
          <w:szCs w:val="22"/>
        </w:rPr>
        <w:t xml:space="preserve"> or cause </w:t>
      </w:r>
      <w:r w:rsidR="003518F0">
        <w:rPr>
          <w:szCs w:val="22"/>
        </w:rPr>
        <w:t xml:space="preserve">to be sent, </w:t>
      </w:r>
      <w:r w:rsidR="009C104D" w:rsidRPr="009F3455">
        <w:rPr>
          <w:szCs w:val="22"/>
        </w:rPr>
        <w:t xml:space="preserve">any Advertisement to the facsimile </w:t>
      </w:r>
      <w:r w:rsidR="00E45759">
        <w:rPr>
          <w:szCs w:val="22"/>
        </w:rPr>
        <w:t xml:space="preserve">number </w:t>
      </w:r>
      <w:r w:rsidR="009C104D" w:rsidRPr="009F3455">
        <w:rPr>
          <w:szCs w:val="22"/>
        </w:rPr>
        <w:t xml:space="preserve">of any </w:t>
      </w:r>
      <w:r w:rsidR="0098524A" w:rsidRPr="009F3455">
        <w:rPr>
          <w:szCs w:val="22"/>
        </w:rPr>
        <w:t>P</w:t>
      </w:r>
      <w:r w:rsidR="009C104D" w:rsidRPr="009F3455">
        <w:rPr>
          <w:szCs w:val="22"/>
        </w:rPr>
        <w:t xml:space="preserve">erson on the No-Fax List.   </w:t>
      </w:r>
    </w:p>
    <w:p w:rsidR="00A764BF" w:rsidRPr="009F3455" w:rsidRDefault="00537526" w:rsidP="00C46B1F">
      <w:pPr>
        <w:pStyle w:val="ColorfulList-Accent11"/>
        <w:widowControl/>
        <w:numPr>
          <w:ilvl w:val="0"/>
          <w:numId w:val="14"/>
        </w:numPr>
        <w:tabs>
          <w:tab w:val="left" w:pos="2160"/>
        </w:tabs>
        <w:spacing w:after="120"/>
        <w:ind w:left="2160" w:hanging="720"/>
        <w:rPr>
          <w:szCs w:val="22"/>
        </w:rPr>
      </w:pPr>
      <w:r w:rsidRPr="009F3455">
        <w:rPr>
          <w:b/>
          <w:szCs w:val="22"/>
          <w:u w:val="single"/>
        </w:rPr>
        <w:t>Company Fax List</w:t>
      </w:r>
      <w:r w:rsidRPr="009F3455">
        <w:rPr>
          <w:szCs w:val="22"/>
        </w:rPr>
        <w:t>.</w:t>
      </w:r>
      <w:r w:rsidR="001A2DDC">
        <w:rPr>
          <w:szCs w:val="22"/>
        </w:rPr>
        <w:t xml:space="preserve">  </w:t>
      </w:r>
      <w:r w:rsidR="00D6364C">
        <w:rPr>
          <w:szCs w:val="22"/>
        </w:rPr>
        <w:t xml:space="preserve">John David </w:t>
      </w:r>
      <w:r w:rsidRPr="009F3455">
        <w:rPr>
          <w:szCs w:val="22"/>
        </w:rPr>
        <w:t>shall create a “Fax List</w:t>
      </w:r>
      <w:r w:rsidR="00FA3169" w:rsidRPr="009F3455">
        <w:rPr>
          <w:szCs w:val="22"/>
        </w:rPr>
        <w:t>.</w:t>
      </w:r>
      <w:r w:rsidRPr="009F3455">
        <w:rPr>
          <w:szCs w:val="22"/>
        </w:rPr>
        <w:t xml:space="preserve">” </w:t>
      </w:r>
      <w:r w:rsidR="00FA3169" w:rsidRPr="009F3455">
        <w:rPr>
          <w:szCs w:val="22"/>
        </w:rPr>
        <w:t xml:space="preserve"> The Fax List shall</w:t>
      </w:r>
      <w:r w:rsidRPr="009F3455">
        <w:rPr>
          <w:szCs w:val="22"/>
        </w:rPr>
        <w:t xml:space="preserve"> </w:t>
      </w:r>
      <w:r w:rsidR="00034B5A" w:rsidRPr="009F3455">
        <w:rPr>
          <w:szCs w:val="22"/>
        </w:rPr>
        <w:t>contain</w:t>
      </w:r>
      <w:r w:rsidR="00FA3169" w:rsidRPr="009F3455">
        <w:rPr>
          <w:szCs w:val="22"/>
        </w:rPr>
        <w:t xml:space="preserve"> </w:t>
      </w:r>
      <w:r w:rsidR="00034B5A" w:rsidRPr="009F3455">
        <w:rPr>
          <w:szCs w:val="22"/>
        </w:rPr>
        <w:t xml:space="preserve">the names </w:t>
      </w:r>
      <w:r w:rsidRPr="009F3455">
        <w:rPr>
          <w:szCs w:val="22"/>
        </w:rPr>
        <w:t xml:space="preserve">of </w:t>
      </w:r>
      <w:r w:rsidR="006D14A8" w:rsidRPr="009F3455">
        <w:rPr>
          <w:szCs w:val="22"/>
        </w:rPr>
        <w:t xml:space="preserve">(i) Persons who have given </w:t>
      </w:r>
      <w:r w:rsidR="008D37CF">
        <w:rPr>
          <w:szCs w:val="22"/>
        </w:rPr>
        <w:t xml:space="preserve">John David or any </w:t>
      </w:r>
      <w:r w:rsidR="00A9070A">
        <w:rPr>
          <w:szCs w:val="22"/>
        </w:rPr>
        <w:t>Company</w:t>
      </w:r>
      <w:r w:rsidR="008D37CF">
        <w:rPr>
          <w:szCs w:val="22"/>
        </w:rPr>
        <w:t>,</w:t>
      </w:r>
      <w:r w:rsidR="007D27A8" w:rsidRPr="009F3455">
        <w:rPr>
          <w:szCs w:val="22"/>
        </w:rPr>
        <w:t xml:space="preserve"> </w:t>
      </w:r>
      <w:r w:rsidR="006D14A8" w:rsidRPr="009F3455">
        <w:rPr>
          <w:szCs w:val="22"/>
        </w:rPr>
        <w:t xml:space="preserve">prior express invitation or permission to send them Advertisements; (ii) Persons </w:t>
      </w:r>
      <w:r w:rsidR="00DD7188" w:rsidRPr="009F3455">
        <w:rPr>
          <w:szCs w:val="22"/>
        </w:rPr>
        <w:t xml:space="preserve">on the EBR </w:t>
      </w:r>
      <w:r w:rsidR="00FA3169" w:rsidRPr="009F3455">
        <w:rPr>
          <w:szCs w:val="22"/>
        </w:rPr>
        <w:t>L</w:t>
      </w:r>
      <w:r w:rsidR="00DD7188" w:rsidRPr="009F3455">
        <w:rPr>
          <w:szCs w:val="22"/>
        </w:rPr>
        <w:t>ist</w:t>
      </w:r>
      <w:r w:rsidR="007D27A8" w:rsidRPr="009F3455">
        <w:rPr>
          <w:szCs w:val="22"/>
        </w:rPr>
        <w:t xml:space="preserve">; </w:t>
      </w:r>
      <w:r w:rsidR="00FA3169" w:rsidRPr="009F3455">
        <w:rPr>
          <w:szCs w:val="22"/>
        </w:rPr>
        <w:t xml:space="preserve"> </w:t>
      </w:r>
      <w:r w:rsidR="00A57333" w:rsidRPr="009F3455">
        <w:rPr>
          <w:szCs w:val="22"/>
        </w:rPr>
        <w:t xml:space="preserve">and </w:t>
      </w:r>
      <w:r w:rsidR="00FA3169" w:rsidRPr="009F3455">
        <w:rPr>
          <w:szCs w:val="22"/>
        </w:rPr>
        <w:t>(</w:t>
      </w:r>
      <w:r w:rsidR="00974AB9" w:rsidRPr="009F3455">
        <w:rPr>
          <w:szCs w:val="22"/>
        </w:rPr>
        <w:t>i</w:t>
      </w:r>
      <w:r w:rsidR="00FA3169" w:rsidRPr="009F3455">
        <w:rPr>
          <w:szCs w:val="22"/>
        </w:rPr>
        <w:t xml:space="preserve">ii) </w:t>
      </w:r>
      <w:r w:rsidR="00A57333" w:rsidRPr="009F3455">
        <w:rPr>
          <w:szCs w:val="22"/>
        </w:rPr>
        <w:t>the fa</w:t>
      </w:r>
      <w:r w:rsidR="00FA3169" w:rsidRPr="009F3455">
        <w:rPr>
          <w:szCs w:val="22"/>
        </w:rPr>
        <w:t>csimile</w:t>
      </w:r>
      <w:r w:rsidR="00A57333" w:rsidRPr="009F3455">
        <w:rPr>
          <w:szCs w:val="22"/>
        </w:rPr>
        <w:t xml:space="preserve"> number for </w:t>
      </w:r>
      <w:r w:rsidR="00604267" w:rsidRPr="009F3455">
        <w:rPr>
          <w:szCs w:val="22"/>
        </w:rPr>
        <w:t>each</w:t>
      </w:r>
      <w:r w:rsidR="00FA3169" w:rsidRPr="009F3455">
        <w:rPr>
          <w:szCs w:val="22"/>
        </w:rPr>
        <w:t xml:space="preserve"> such</w:t>
      </w:r>
      <w:r w:rsidR="00A57333" w:rsidRPr="009F3455">
        <w:rPr>
          <w:szCs w:val="22"/>
        </w:rPr>
        <w:t xml:space="preserve"> </w:t>
      </w:r>
      <w:r w:rsidR="00FA3169" w:rsidRPr="009F3455">
        <w:rPr>
          <w:szCs w:val="22"/>
        </w:rPr>
        <w:t>P</w:t>
      </w:r>
      <w:r w:rsidR="00A57333" w:rsidRPr="009F3455">
        <w:rPr>
          <w:szCs w:val="22"/>
        </w:rPr>
        <w:t>erson</w:t>
      </w:r>
      <w:r w:rsidRPr="009F3455">
        <w:rPr>
          <w:szCs w:val="22"/>
        </w:rPr>
        <w:t xml:space="preserve">.  </w:t>
      </w:r>
      <w:r w:rsidR="00357877">
        <w:rPr>
          <w:szCs w:val="22"/>
        </w:rPr>
        <w:t xml:space="preserve">John David </w:t>
      </w:r>
      <w:r w:rsidRPr="009F3455">
        <w:rPr>
          <w:szCs w:val="22"/>
        </w:rPr>
        <w:t xml:space="preserve">shall ensure that no </w:t>
      </w:r>
      <w:r w:rsidR="006D14A8" w:rsidRPr="009F3455">
        <w:rPr>
          <w:szCs w:val="22"/>
        </w:rPr>
        <w:t>P</w:t>
      </w:r>
      <w:r w:rsidRPr="009F3455">
        <w:rPr>
          <w:szCs w:val="22"/>
        </w:rPr>
        <w:t xml:space="preserve">erson on the </w:t>
      </w:r>
      <w:r w:rsidR="004F7620" w:rsidRPr="009F3455">
        <w:rPr>
          <w:szCs w:val="22"/>
        </w:rPr>
        <w:t xml:space="preserve">No-Fax </w:t>
      </w:r>
      <w:r w:rsidR="000C4D17" w:rsidRPr="009F3455">
        <w:rPr>
          <w:szCs w:val="22"/>
        </w:rPr>
        <w:t xml:space="preserve">List </w:t>
      </w:r>
      <w:r w:rsidR="00FA3169" w:rsidRPr="009F3455">
        <w:rPr>
          <w:szCs w:val="22"/>
        </w:rPr>
        <w:t>appears</w:t>
      </w:r>
      <w:r w:rsidR="000C4D17" w:rsidRPr="009F3455">
        <w:rPr>
          <w:szCs w:val="22"/>
        </w:rPr>
        <w:t xml:space="preserve"> on the Fax List.</w:t>
      </w:r>
      <w:r w:rsidR="00B04859">
        <w:rPr>
          <w:szCs w:val="22"/>
        </w:rPr>
        <w:t xml:space="preserve">  </w:t>
      </w:r>
      <w:r w:rsidR="00A9070A">
        <w:rPr>
          <w:szCs w:val="22"/>
        </w:rPr>
        <w:t xml:space="preserve">Neither </w:t>
      </w:r>
      <w:r w:rsidR="00357877">
        <w:rPr>
          <w:szCs w:val="22"/>
        </w:rPr>
        <w:t xml:space="preserve">John David </w:t>
      </w:r>
      <w:r w:rsidR="00A9070A">
        <w:rPr>
          <w:szCs w:val="22"/>
        </w:rPr>
        <w:t xml:space="preserve">nor </w:t>
      </w:r>
      <w:r w:rsidR="00B04859">
        <w:rPr>
          <w:szCs w:val="22"/>
        </w:rPr>
        <w:t xml:space="preserve">any </w:t>
      </w:r>
      <w:r w:rsidR="00A9070A">
        <w:rPr>
          <w:szCs w:val="22"/>
        </w:rPr>
        <w:t>Company</w:t>
      </w:r>
      <w:r w:rsidR="00B04859">
        <w:rPr>
          <w:szCs w:val="22"/>
        </w:rPr>
        <w:t>,</w:t>
      </w:r>
      <w:r w:rsidR="00873B16" w:rsidRPr="009F3455">
        <w:rPr>
          <w:szCs w:val="22"/>
        </w:rPr>
        <w:t xml:space="preserve"> shall </w:t>
      </w:r>
      <w:r w:rsidR="00034B5A" w:rsidRPr="009F3455">
        <w:rPr>
          <w:szCs w:val="22"/>
        </w:rPr>
        <w:t>send</w:t>
      </w:r>
      <w:r w:rsidR="00BF7BB3">
        <w:rPr>
          <w:szCs w:val="22"/>
        </w:rPr>
        <w:t>,</w:t>
      </w:r>
      <w:r w:rsidR="00034B5A" w:rsidRPr="009F3455">
        <w:rPr>
          <w:szCs w:val="22"/>
        </w:rPr>
        <w:t xml:space="preserve"> or cause </w:t>
      </w:r>
      <w:r w:rsidR="00BF7BB3">
        <w:rPr>
          <w:szCs w:val="22"/>
        </w:rPr>
        <w:t xml:space="preserve">to be sent, </w:t>
      </w:r>
      <w:r w:rsidR="00542469" w:rsidRPr="009F3455">
        <w:rPr>
          <w:szCs w:val="22"/>
        </w:rPr>
        <w:t xml:space="preserve">any Advertisement </w:t>
      </w:r>
      <w:r w:rsidR="00A57333" w:rsidRPr="009F3455">
        <w:rPr>
          <w:szCs w:val="22"/>
        </w:rPr>
        <w:t xml:space="preserve">to </w:t>
      </w:r>
      <w:r w:rsidR="00542469" w:rsidRPr="009F3455">
        <w:rPr>
          <w:szCs w:val="22"/>
        </w:rPr>
        <w:t xml:space="preserve">the </w:t>
      </w:r>
      <w:r w:rsidR="00A57333" w:rsidRPr="009F3455">
        <w:rPr>
          <w:szCs w:val="22"/>
        </w:rPr>
        <w:t xml:space="preserve">facsimile </w:t>
      </w:r>
      <w:r w:rsidR="000E4504">
        <w:rPr>
          <w:szCs w:val="22"/>
        </w:rPr>
        <w:t xml:space="preserve">machine </w:t>
      </w:r>
      <w:r w:rsidR="00542469" w:rsidRPr="009F3455">
        <w:rPr>
          <w:szCs w:val="22"/>
        </w:rPr>
        <w:t xml:space="preserve">of any </w:t>
      </w:r>
      <w:r w:rsidR="00337E5C" w:rsidRPr="009F3455">
        <w:rPr>
          <w:szCs w:val="22"/>
        </w:rPr>
        <w:t>P</w:t>
      </w:r>
      <w:r w:rsidR="00A57333" w:rsidRPr="009F3455">
        <w:rPr>
          <w:szCs w:val="22"/>
        </w:rPr>
        <w:t xml:space="preserve">erson </w:t>
      </w:r>
      <w:r w:rsidR="00FA3169" w:rsidRPr="009F3455">
        <w:rPr>
          <w:szCs w:val="22"/>
        </w:rPr>
        <w:t xml:space="preserve">or to any facsimile number </w:t>
      </w:r>
      <w:r w:rsidR="00337E5C" w:rsidRPr="009F3455">
        <w:rPr>
          <w:szCs w:val="22"/>
        </w:rPr>
        <w:t>that is not identified on the Fax List</w:t>
      </w:r>
      <w:r w:rsidR="009C104D" w:rsidRPr="009F3455">
        <w:rPr>
          <w:szCs w:val="22"/>
        </w:rPr>
        <w:t xml:space="preserve">.  </w:t>
      </w:r>
    </w:p>
    <w:p w:rsidR="00BB301A" w:rsidRPr="009F3455" w:rsidRDefault="00C4261B" w:rsidP="00C46B1F">
      <w:pPr>
        <w:pStyle w:val="ColorfulList-Accent11"/>
        <w:widowControl/>
        <w:numPr>
          <w:ilvl w:val="0"/>
          <w:numId w:val="14"/>
        </w:numPr>
        <w:tabs>
          <w:tab w:val="left" w:pos="2160"/>
        </w:tabs>
        <w:spacing w:after="120"/>
        <w:ind w:left="2160" w:hanging="720"/>
        <w:rPr>
          <w:szCs w:val="22"/>
        </w:rPr>
      </w:pPr>
      <w:r w:rsidRPr="009F3455">
        <w:rPr>
          <w:b/>
          <w:szCs w:val="22"/>
          <w:u w:val="single"/>
        </w:rPr>
        <w:t>Compliance Manual</w:t>
      </w:r>
      <w:r w:rsidR="00586B59" w:rsidRPr="009F3455">
        <w:rPr>
          <w:szCs w:val="22"/>
        </w:rPr>
        <w:t>.</w:t>
      </w:r>
      <w:r w:rsidR="007B4164" w:rsidRPr="009F3455">
        <w:rPr>
          <w:szCs w:val="22"/>
        </w:rPr>
        <w:t xml:space="preserve">  </w:t>
      </w:r>
      <w:r w:rsidR="008B0B07">
        <w:rPr>
          <w:szCs w:val="22"/>
        </w:rPr>
        <w:t xml:space="preserve">John David </w:t>
      </w:r>
      <w:r w:rsidR="00786DB4" w:rsidRPr="009F3455">
        <w:rPr>
          <w:szCs w:val="22"/>
        </w:rPr>
        <w:t xml:space="preserve">shall </w:t>
      </w:r>
      <w:r w:rsidR="005D1A67" w:rsidRPr="009F3455">
        <w:rPr>
          <w:szCs w:val="22"/>
        </w:rPr>
        <w:t>develop and distribute</w:t>
      </w:r>
      <w:r w:rsidR="005C088D" w:rsidRPr="009F3455">
        <w:rPr>
          <w:szCs w:val="22"/>
        </w:rPr>
        <w:t xml:space="preserve"> </w:t>
      </w:r>
      <w:r w:rsidR="00337E5C" w:rsidRPr="009F3455">
        <w:rPr>
          <w:szCs w:val="22"/>
        </w:rPr>
        <w:t xml:space="preserve">a </w:t>
      </w:r>
      <w:r w:rsidR="000A0DDD" w:rsidRPr="009F3455">
        <w:rPr>
          <w:szCs w:val="22"/>
        </w:rPr>
        <w:t>Compliance Manual</w:t>
      </w:r>
      <w:r w:rsidR="00FB6B32" w:rsidRPr="009F3455">
        <w:rPr>
          <w:szCs w:val="22"/>
        </w:rPr>
        <w:t xml:space="preserve"> </w:t>
      </w:r>
      <w:r w:rsidR="005D1A67" w:rsidRPr="009F3455">
        <w:rPr>
          <w:szCs w:val="22"/>
        </w:rPr>
        <w:t>to all Covered Employees.</w:t>
      </w:r>
      <w:r w:rsidR="00856656">
        <w:rPr>
          <w:szCs w:val="22"/>
        </w:rPr>
        <w:t xml:space="preserve">  </w:t>
      </w:r>
      <w:r w:rsidR="005D1A67" w:rsidRPr="009F3455">
        <w:rPr>
          <w:szCs w:val="22"/>
        </w:rPr>
        <w:t>The Compliance Manual shall explain the Unsolicited Facsimile Rules and set forth</w:t>
      </w:r>
      <w:r w:rsidR="00604267" w:rsidRPr="009F3455">
        <w:rPr>
          <w:szCs w:val="22"/>
        </w:rPr>
        <w:t xml:space="preserve"> </w:t>
      </w:r>
      <w:r w:rsidR="005D1A67" w:rsidRPr="009F3455">
        <w:rPr>
          <w:szCs w:val="22"/>
        </w:rPr>
        <w:t xml:space="preserve">the Operating Procedures </w:t>
      </w:r>
      <w:r w:rsidR="00FB6B32" w:rsidRPr="009F3455">
        <w:rPr>
          <w:szCs w:val="22"/>
        </w:rPr>
        <w:t xml:space="preserve">that all </w:t>
      </w:r>
      <w:r w:rsidR="00610EA7" w:rsidRPr="009F3455">
        <w:rPr>
          <w:szCs w:val="22"/>
        </w:rPr>
        <w:t xml:space="preserve">Covered Employees must follow to </w:t>
      </w:r>
      <w:r w:rsidR="005D1A67" w:rsidRPr="009F3455">
        <w:rPr>
          <w:szCs w:val="22"/>
        </w:rPr>
        <w:t>help</w:t>
      </w:r>
      <w:r w:rsidR="00610EA7" w:rsidRPr="009F3455">
        <w:rPr>
          <w:szCs w:val="22"/>
        </w:rPr>
        <w:t xml:space="preserve"> ensure</w:t>
      </w:r>
      <w:r w:rsidR="000E39A5" w:rsidRPr="009F3455">
        <w:rPr>
          <w:szCs w:val="22"/>
        </w:rPr>
        <w:t xml:space="preserve"> compliance with this Consent Decree and </w:t>
      </w:r>
      <w:r w:rsidR="00604267" w:rsidRPr="009F3455">
        <w:rPr>
          <w:szCs w:val="22"/>
        </w:rPr>
        <w:t xml:space="preserve">with </w:t>
      </w:r>
      <w:r w:rsidR="000E39A5" w:rsidRPr="009F3455">
        <w:rPr>
          <w:szCs w:val="22"/>
        </w:rPr>
        <w:t xml:space="preserve">the </w:t>
      </w:r>
      <w:r w:rsidR="00610EA7" w:rsidRPr="009F3455">
        <w:rPr>
          <w:szCs w:val="22"/>
        </w:rPr>
        <w:t xml:space="preserve">Unsolicited Facsimile Rules.  </w:t>
      </w:r>
      <w:r w:rsidR="00604267" w:rsidRPr="009F3455">
        <w:rPr>
          <w:szCs w:val="22"/>
        </w:rPr>
        <w:t>T</w:t>
      </w:r>
      <w:r w:rsidR="00886204" w:rsidRPr="009F3455">
        <w:rPr>
          <w:szCs w:val="22"/>
        </w:rPr>
        <w:t xml:space="preserve">he Compliance Manual shall </w:t>
      </w:r>
      <w:r w:rsidR="00604267" w:rsidRPr="009F3455">
        <w:rPr>
          <w:szCs w:val="22"/>
        </w:rPr>
        <w:t>memorialize, without limitation, the Operating Procedures</w:t>
      </w:r>
      <w:r w:rsidR="00D61C95" w:rsidRPr="009F3455">
        <w:rPr>
          <w:szCs w:val="22"/>
        </w:rPr>
        <w:t xml:space="preserve"> </w:t>
      </w:r>
      <w:r w:rsidR="00E90ADF" w:rsidRPr="009F3455">
        <w:rPr>
          <w:szCs w:val="22"/>
        </w:rPr>
        <w:t xml:space="preserve">listed in </w:t>
      </w:r>
      <w:r w:rsidR="00D61C95" w:rsidRPr="009F3455">
        <w:rPr>
          <w:szCs w:val="22"/>
        </w:rPr>
        <w:t xml:space="preserve">subparagraph </w:t>
      </w:r>
      <w:r w:rsidR="00C85325">
        <w:rPr>
          <w:szCs w:val="22"/>
        </w:rPr>
        <w:t>(b)</w:t>
      </w:r>
      <w:r w:rsidR="00D61C95" w:rsidRPr="009F3455">
        <w:rPr>
          <w:szCs w:val="22"/>
        </w:rPr>
        <w:t xml:space="preserve"> above.</w:t>
      </w:r>
    </w:p>
    <w:p w:rsidR="002A59AE" w:rsidRPr="009F3455" w:rsidRDefault="00D3108C" w:rsidP="00C46B1F">
      <w:pPr>
        <w:pStyle w:val="ColorfulList-Accent11"/>
        <w:widowControl/>
        <w:numPr>
          <w:ilvl w:val="0"/>
          <w:numId w:val="14"/>
        </w:numPr>
        <w:tabs>
          <w:tab w:val="left" w:pos="2160"/>
        </w:tabs>
        <w:spacing w:after="120"/>
        <w:ind w:left="2160" w:hanging="720"/>
        <w:rPr>
          <w:szCs w:val="22"/>
        </w:rPr>
      </w:pPr>
      <w:r w:rsidRPr="009F3455">
        <w:rPr>
          <w:b/>
          <w:szCs w:val="22"/>
          <w:u w:val="single"/>
        </w:rPr>
        <w:t>Contractor Agreements</w:t>
      </w:r>
      <w:r w:rsidR="001A2DDC">
        <w:rPr>
          <w:szCs w:val="22"/>
        </w:rPr>
        <w:t xml:space="preserve">  </w:t>
      </w:r>
      <w:r w:rsidR="008B0B07">
        <w:rPr>
          <w:szCs w:val="22"/>
        </w:rPr>
        <w:t xml:space="preserve">John David and </w:t>
      </w:r>
      <w:r w:rsidR="00A9070A">
        <w:rPr>
          <w:szCs w:val="22"/>
        </w:rPr>
        <w:t xml:space="preserve">each Company </w:t>
      </w:r>
      <w:r w:rsidR="008B0B07">
        <w:rPr>
          <w:szCs w:val="22"/>
        </w:rPr>
        <w:t xml:space="preserve">shall include in every contract with every Covered Employee entered into after the Effective Date a </w:t>
      </w:r>
      <w:r w:rsidR="003A6AC1" w:rsidRPr="009F3455">
        <w:rPr>
          <w:szCs w:val="22"/>
        </w:rPr>
        <w:t xml:space="preserve">binding obligation on the part of </w:t>
      </w:r>
      <w:r w:rsidR="008B0B07">
        <w:rPr>
          <w:szCs w:val="22"/>
        </w:rPr>
        <w:t>such Covered Employee to</w:t>
      </w:r>
      <w:r w:rsidR="003A6AC1" w:rsidRPr="009F3455">
        <w:rPr>
          <w:szCs w:val="22"/>
        </w:rPr>
        <w:t xml:space="preserve">: </w:t>
      </w:r>
    </w:p>
    <w:p w:rsidR="002666A1" w:rsidRPr="009F3455" w:rsidRDefault="002666A1" w:rsidP="00C46B1F">
      <w:pPr>
        <w:widowControl/>
        <w:numPr>
          <w:ilvl w:val="8"/>
          <w:numId w:val="7"/>
        </w:numPr>
        <w:tabs>
          <w:tab w:val="clear" w:pos="1800"/>
          <w:tab w:val="num" w:pos="2880"/>
        </w:tabs>
        <w:ind w:left="2880" w:hanging="720"/>
      </w:pPr>
      <w:r w:rsidRPr="009F3455">
        <w:t>Comply with the Unsolicited Facsimile Rules;</w:t>
      </w:r>
    </w:p>
    <w:p w:rsidR="002666A1" w:rsidRPr="009F3455" w:rsidRDefault="002666A1" w:rsidP="00C46B1F">
      <w:pPr>
        <w:widowControl/>
        <w:tabs>
          <w:tab w:val="num" w:pos="2880"/>
        </w:tabs>
        <w:ind w:left="2880" w:hanging="720"/>
      </w:pPr>
    </w:p>
    <w:p w:rsidR="002666A1" w:rsidRPr="009F3455" w:rsidRDefault="002666A1" w:rsidP="00C46B1F">
      <w:pPr>
        <w:widowControl/>
        <w:numPr>
          <w:ilvl w:val="8"/>
          <w:numId w:val="7"/>
        </w:numPr>
        <w:tabs>
          <w:tab w:val="clear" w:pos="1800"/>
          <w:tab w:val="num" w:pos="2880"/>
        </w:tabs>
        <w:ind w:left="2880" w:hanging="720"/>
      </w:pPr>
      <w:r w:rsidRPr="009F3455">
        <w:t xml:space="preserve">Comply with </w:t>
      </w:r>
      <w:r w:rsidR="003A11DD">
        <w:t xml:space="preserve">the </w:t>
      </w:r>
      <w:r w:rsidR="00604267" w:rsidRPr="009F3455">
        <w:t>Operating P</w:t>
      </w:r>
      <w:r w:rsidRPr="009F3455">
        <w:t xml:space="preserve">rocedures and all supplemental instructions from </w:t>
      </w:r>
      <w:r w:rsidR="003A11DD">
        <w:t>John David and an</w:t>
      </w:r>
      <w:r w:rsidR="000F2CC0">
        <w:t>y</w:t>
      </w:r>
      <w:r w:rsidR="003A11DD">
        <w:t xml:space="preserve"> </w:t>
      </w:r>
      <w:r w:rsidR="00A9070A">
        <w:t>Company</w:t>
      </w:r>
      <w:r w:rsidRPr="009F3455">
        <w:t>;</w:t>
      </w:r>
    </w:p>
    <w:p w:rsidR="002666A1" w:rsidRPr="009F3455" w:rsidRDefault="002666A1" w:rsidP="00C46B1F">
      <w:pPr>
        <w:widowControl/>
        <w:tabs>
          <w:tab w:val="num" w:pos="2880"/>
        </w:tabs>
        <w:ind w:left="2880" w:hanging="720"/>
      </w:pPr>
    </w:p>
    <w:p w:rsidR="002666A1" w:rsidRPr="009F3455" w:rsidRDefault="002666A1" w:rsidP="00C46B1F">
      <w:pPr>
        <w:widowControl/>
        <w:numPr>
          <w:ilvl w:val="8"/>
          <w:numId w:val="7"/>
        </w:numPr>
        <w:tabs>
          <w:tab w:val="clear" w:pos="1800"/>
          <w:tab w:val="num" w:pos="2880"/>
        </w:tabs>
        <w:ind w:left="2880" w:hanging="720"/>
      </w:pPr>
      <w:r w:rsidRPr="009F3455">
        <w:t xml:space="preserve">Transmit to </w:t>
      </w:r>
      <w:r w:rsidR="008B0B07">
        <w:t>John David</w:t>
      </w:r>
      <w:r w:rsidRPr="009F3455">
        <w:t>, on a daily basis, reports that identify and provide data for each complaint or “Do-Not-Fax” request relating to unsolicited facsimiles; and</w:t>
      </w:r>
    </w:p>
    <w:p w:rsidR="002666A1" w:rsidRPr="009F3455" w:rsidRDefault="002666A1" w:rsidP="00C46B1F">
      <w:pPr>
        <w:widowControl/>
        <w:tabs>
          <w:tab w:val="num" w:pos="2880"/>
        </w:tabs>
        <w:ind w:left="2880" w:hanging="720"/>
      </w:pPr>
    </w:p>
    <w:p w:rsidR="002666A1" w:rsidRPr="009F3455" w:rsidRDefault="002666A1" w:rsidP="00C46B1F">
      <w:pPr>
        <w:widowControl/>
        <w:numPr>
          <w:ilvl w:val="8"/>
          <w:numId w:val="7"/>
        </w:numPr>
        <w:tabs>
          <w:tab w:val="clear" w:pos="1800"/>
          <w:tab w:val="num" w:pos="2880"/>
        </w:tabs>
        <w:ind w:left="2880" w:hanging="720"/>
      </w:pPr>
      <w:r w:rsidRPr="009F3455">
        <w:t xml:space="preserve">Permit </w:t>
      </w:r>
      <w:r w:rsidR="00A362B5">
        <w:t xml:space="preserve">John David and any </w:t>
      </w:r>
      <w:r w:rsidR="00A9070A">
        <w:t>Company</w:t>
      </w:r>
      <w:r w:rsidR="00A362B5">
        <w:t xml:space="preserve">, </w:t>
      </w:r>
      <w:r w:rsidRPr="009F3455">
        <w:t xml:space="preserve">to take appropriate action, including </w:t>
      </w:r>
      <w:r w:rsidR="00604267" w:rsidRPr="009F3455">
        <w:t>immediate</w:t>
      </w:r>
      <w:r w:rsidR="00DC2263">
        <w:t>ly</w:t>
      </w:r>
      <w:r w:rsidR="00604267" w:rsidRPr="009F3455">
        <w:t xml:space="preserve"> terminati</w:t>
      </w:r>
      <w:r w:rsidR="00DC2263">
        <w:t>ng</w:t>
      </w:r>
      <w:r w:rsidRPr="009F3455">
        <w:t xml:space="preserve"> the agreement, i</w:t>
      </w:r>
      <w:r w:rsidR="00DC2263">
        <w:t xml:space="preserve">f </w:t>
      </w:r>
      <w:r w:rsidRPr="009F3455">
        <w:t xml:space="preserve">the Contractor </w:t>
      </w:r>
      <w:r w:rsidR="00604267" w:rsidRPr="009F3455">
        <w:t xml:space="preserve">or agent </w:t>
      </w:r>
      <w:r w:rsidRPr="009F3455">
        <w:t xml:space="preserve">fails </w:t>
      </w:r>
      <w:r w:rsidR="00D4011B" w:rsidRPr="009F3455">
        <w:rPr>
          <w:szCs w:val="22"/>
        </w:rPr>
        <w:t>to follow the Operating Procedures or to comply with its legal obligations under this Consent Decree or with the Unsolicited Fa</w:t>
      </w:r>
      <w:r w:rsidR="00095A45">
        <w:rPr>
          <w:szCs w:val="22"/>
        </w:rPr>
        <w:t xml:space="preserve">csimile </w:t>
      </w:r>
      <w:r w:rsidR="00D4011B" w:rsidRPr="009F3455">
        <w:rPr>
          <w:szCs w:val="22"/>
        </w:rPr>
        <w:t>Rules.</w:t>
      </w:r>
    </w:p>
    <w:p w:rsidR="005A3822" w:rsidRPr="009F3455" w:rsidRDefault="005A3822" w:rsidP="00C46B1F">
      <w:pPr>
        <w:widowControl/>
        <w:ind w:left="720"/>
      </w:pPr>
    </w:p>
    <w:p w:rsidR="005A3822" w:rsidRPr="009F3455" w:rsidRDefault="00C4429D" w:rsidP="00C46B1F">
      <w:pPr>
        <w:pStyle w:val="ColorfulList-Accent11"/>
        <w:widowControl/>
        <w:numPr>
          <w:ilvl w:val="0"/>
          <w:numId w:val="14"/>
        </w:numPr>
        <w:tabs>
          <w:tab w:val="left" w:pos="2160"/>
        </w:tabs>
        <w:spacing w:after="120"/>
        <w:ind w:left="2160" w:hanging="720"/>
        <w:rPr>
          <w:szCs w:val="22"/>
        </w:rPr>
      </w:pPr>
      <w:r w:rsidRPr="009F3455">
        <w:rPr>
          <w:b/>
          <w:szCs w:val="22"/>
          <w:u w:val="single"/>
        </w:rPr>
        <w:t>Disciplinary Action</w:t>
      </w:r>
      <w:r w:rsidR="00962C39">
        <w:rPr>
          <w:szCs w:val="22"/>
        </w:rPr>
        <w:t xml:space="preserve">.  </w:t>
      </w:r>
      <w:r w:rsidR="00A362B5">
        <w:rPr>
          <w:szCs w:val="22"/>
        </w:rPr>
        <w:t xml:space="preserve">John David </w:t>
      </w:r>
      <w:r w:rsidR="002E5D23" w:rsidRPr="009F3455">
        <w:rPr>
          <w:szCs w:val="22"/>
        </w:rPr>
        <w:t xml:space="preserve">shall </w:t>
      </w:r>
      <w:r w:rsidR="00BB301A" w:rsidRPr="009F3455">
        <w:rPr>
          <w:szCs w:val="22"/>
        </w:rPr>
        <w:t>take appropriate disciplinary action</w:t>
      </w:r>
      <w:r w:rsidR="00A139BD">
        <w:rPr>
          <w:szCs w:val="22"/>
        </w:rPr>
        <w:t xml:space="preserve"> if </w:t>
      </w:r>
      <w:r w:rsidR="006F14B8">
        <w:rPr>
          <w:szCs w:val="22"/>
        </w:rPr>
        <w:t>he</w:t>
      </w:r>
      <w:r w:rsidR="00BB301A" w:rsidRPr="009F3455">
        <w:rPr>
          <w:szCs w:val="22"/>
        </w:rPr>
        <w:t xml:space="preserve"> discovers that any </w:t>
      </w:r>
      <w:r w:rsidR="002E5D23" w:rsidRPr="009F3455">
        <w:rPr>
          <w:szCs w:val="22"/>
        </w:rPr>
        <w:t>Covered Employee</w:t>
      </w:r>
      <w:r w:rsidR="00BB301A" w:rsidRPr="009F3455">
        <w:rPr>
          <w:szCs w:val="22"/>
        </w:rPr>
        <w:t xml:space="preserve"> has failed to follow </w:t>
      </w:r>
      <w:r w:rsidR="007F3F40" w:rsidRPr="009F3455">
        <w:rPr>
          <w:szCs w:val="22"/>
        </w:rPr>
        <w:t xml:space="preserve">the </w:t>
      </w:r>
      <w:r w:rsidR="00D4011B" w:rsidRPr="009F3455">
        <w:rPr>
          <w:szCs w:val="22"/>
        </w:rPr>
        <w:t xml:space="preserve">Operating Procedures or to comply with </w:t>
      </w:r>
      <w:r w:rsidR="00095A45">
        <w:rPr>
          <w:szCs w:val="22"/>
        </w:rPr>
        <w:t xml:space="preserve">the </w:t>
      </w:r>
      <w:r w:rsidR="00BB301A" w:rsidRPr="009F3455">
        <w:rPr>
          <w:szCs w:val="22"/>
        </w:rPr>
        <w:t>legal obligations</w:t>
      </w:r>
      <w:r w:rsidR="007F65CA">
        <w:rPr>
          <w:szCs w:val="22"/>
        </w:rPr>
        <w:t xml:space="preserve"> of John David</w:t>
      </w:r>
      <w:r w:rsidR="00A362B5">
        <w:rPr>
          <w:szCs w:val="22"/>
        </w:rPr>
        <w:t xml:space="preserve">, </w:t>
      </w:r>
      <w:r w:rsidR="00A9070A">
        <w:rPr>
          <w:szCs w:val="22"/>
        </w:rPr>
        <w:t xml:space="preserve">or </w:t>
      </w:r>
      <w:r w:rsidR="00A362B5">
        <w:rPr>
          <w:szCs w:val="22"/>
        </w:rPr>
        <w:t xml:space="preserve">any </w:t>
      </w:r>
      <w:r w:rsidR="00A9070A">
        <w:rPr>
          <w:szCs w:val="22"/>
        </w:rPr>
        <w:t>Company</w:t>
      </w:r>
      <w:r w:rsidR="00A362B5">
        <w:rPr>
          <w:szCs w:val="22"/>
        </w:rPr>
        <w:t>,</w:t>
      </w:r>
      <w:r w:rsidR="00BB301A" w:rsidRPr="009F3455">
        <w:rPr>
          <w:szCs w:val="22"/>
        </w:rPr>
        <w:t xml:space="preserve"> </w:t>
      </w:r>
      <w:r w:rsidR="00D4011B" w:rsidRPr="009F3455">
        <w:rPr>
          <w:szCs w:val="22"/>
        </w:rPr>
        <w:t>under</w:t>
      </w:r>
      <w:r w:rsidR="007F3F40" w:rsidRPr="009F3455">
        <w:rPr>
          <w:szCs w:val="22"/>
        </w:rPr>
        <w:t xml:space="preserve"> this Consent Decree or </w:t>
      </w:r>
      <w:r w:rsidR="00D4011B" w:rsidRPr="009F3455">
        <w:rPr>
          <w:szCs w:val="22"/>
        </w:rPr>
        <w:t xml:space="preserve">with </w:t>
      </w:r>
      <w:r w:rsidR="007F3F40" w:rsidRPr="009F3455">
        <w:rPr>
          <w:szCs w:val="22"/>
        </w:rPr>
        <w:t>the Unsolicited Fa</w:t>
      </w:r>
      <w:r w:rsidR="00095A45">
        <w:rPr>
          <w:szCs w:val="22"/>
        </w:rPr>
        <w:t xml:space="preserve">csimile </w:t>
      </w:r>
      <w:r w:rsidR="007F3F40" w:rsidRPr="009F3455">
        <w:rPr>
          <w:szCs w:val="22"/>
        </w:rPr>
        <w:t>Rules</w:t>
      </w:r>
      <w:r w:rsidR="00BB301A" w:rsidRPr="009F3455">
        <w:rPr>
          <w:szCs w:val="22"/>
        </w:rPr>
        <w:t xml:space="preserve">.  </w:t>
      </w:r>
    </w:p>
    <w:p w:rsidR="005A3822" w:rsidRPr="009F3455" w:rsidRDefault="002E5D23" w:rsidP="00C46B1F">
      <w:pPr>
        <w:pStyle w:val="ColorfulList-Accent11"/>
        <w:widowControl/>
        <w:numPr>
          <w:ilvl w:val="0"/>
          <w:numId w:val="14"/>
        </w:numPr>
        <w:tabs>
          <w:tab w:val="left" w:pos="2160"/>
        </w:tabs>
        <w:spacing w:after="120"/>
        <w:ind w:left="2160" w:hanging="720"/>
        <w:rPr>
          <w:szCs w:val="22"/>
        </w:rPr>
      </w:pPr>
      <w:r w:rsidRPr="009F3455">
        <w:rPr>
          <w:b/>
          <w:szCs w:val="22"/>
          <w:u w:val="single"/>
        </w:rPr>
        <w:t>Compliance with Bureau Requests</w:t>
      </w:r>
      <w:r w:rsidR="00586B59" w:rsidRPr="009F3455">
        <w:rPr>
          <w:szCs w:val="22"/>
        </w:rPr>
        <w:t>.</w:t>
      </w:r>
      <w:r w:rsidRPr="009F3455">
        <w:rPr>
          <w:szCs w:val="22"/>
        </w:rPr>
        <w:t xml:space="preserve">  </w:t>
      </w:r>
      <w:r w:rsidR="00095A45">
        <w:rPr>
          <w:szCs w:val="22"/>
        </w:rPr>
        <w:t xml:space="preserve">John David </w:t>
      </w:r>
      <w:r w:rsidR="00D4011B" w:rsidRPr="009F3455">
        <w:rPr>
          <w:szCs w:val="22"/>
        </w:rPr>
        <w:t>sha</w:t>
      </w:r>
      <w:r w:rsidR="00BB301A" w:rsidRPr="009F3455">
        <w:rPr>
          <w:szCs w:val="22"/>
        </w:rPr>
        <w:t>ll maintain and make available to the Bureau, within fourteen (14) days of receipt of any specific request from the Bureau, business records documenting its compliance with the terms and provisions of this Consent Decree</w:t>
      </w:r>
      <w:r w:rsidR="00F17CC1" w:rsidRPr="009F3455">
        <w:rPr>
          <w:szCs w:val="22"/>
        </w:rPr>
        <w:t>.</w:t>
      </w:r>
      <w:r w:rsidR="00CF6DAF" w:rsidRPr="009F3455">
        <w:rPr>
          <w:szCs w:val="22"/>
        </w:rPr>
        <w:t xml:space="preserve"> </w:t>
      </w:r>
      <w:r w:rsidR="00C4429D" w:rsidRPr="009F3455">
        <w:rPr>
          <w:szCs w:val="22"/>
        </w:rPr>
        <w:t xml:space="preserve"> </w:t>
      </w:r>
    </w:p>
    <w:p w:rsidR="00302B5C" w:rsidRDefault="00A17A3B" w:rsidP="0007072B">
      <w:pPr>
        <w:pStyle w:val="ParaNum0"/>
        <w:widowControl/>
      </w:pPr>
      <w:r w:rsidRPr="00E47DD7">
        <w:rPr>
          <w:b/>
          <w:u w:val="single"/>
        </w:rPr>
        <w:t>Compliance Reports</w:t>
      </w:r>
      <w:r w:rsidRPr="009F3455">
        <w:t xml:space="preserve">.  </w:t>
      </w:r>
      <w:r w:rsidR="00A362B5">
        <w:t xml:space="preserve">John David </w:t>
      </w:r>
      <w:r w:rsidRPr="009F3455">
        <w:t xml:space="preserve">shall submit </w:t>
      </w:r>
      <w:r w:rsidR="00E47DD7">
        <w:t>Compliance Reports to the Bureau for</w:t>
      </w:r>
      <w:r w:rsidR="008B517C">
        <w:t xml:space="preserve"> three</w:t>
      </w:r>
      <w:r w:rsidR="00E47DD7">
        <w:t xml:space="preserve"> (</w:t>
      </w:r>
      <w:r w:rsidR="008B517C">
        <w:t>3</w:t>
      </w:r>
      <w:r w:rsidR="00E47DD7">
        <w:t xml:space="preserve">) years after the Effective Date.  Such reports shall be due </w:t>
      </w:r>
      <w:r w:rsidR="0007072B">
        <w:t xml:space="preserve">every three (3) months </w:t>
      </w:r>
      <w:r w:rsidR="00E47DD7">
        <w:t xml:space="preserve">for the first two years after the Effective Date, </w:t>
      </w:r>
      <w:r w:rsidR="008B517C">
        <w:t xml:space="preserve">and </w:t>
      </w:r>
      <w:r w:rsidR="00E47DD7">
        <w:t>every six (6) months during the third year after the Effective Date</w:t>
      </w:r>
      <w:r w:rsidR="008B517C">
        <w:t xml:space="preserve">. </w:t>
      </w:r>
      <w:r w:rsidR="00223E8D">
        <w:t xml:space="preserve"> </w:t>
      </w:r>
      <w:r w:rsidR="00E47DD7">
        <w:t xml:space="preserve">Such reports shall be due on the first day of each </w:t>
      </w:r>
      <w:r w:rsidR="00223E8D">
        <w:t xml:space="preserve">reporting period.  </w:t>
      </w:r>
      <w:r w:rsidR="00E47DD7">
        <w:t xml:space="preserve">  </w:t>
      </w:r>
    </w:p>
    <w:p w:rsidR="007335C1" w:rsidRDefault="00A17A3B" w:rsidP="00C46B1F">
      <w:pPr>
        <w:pStyle w:val="ColorfulList-Accent11"/>
        <w:widowControl/>
        <w:numPr>
          <w:ilvl w:val="0"/>
          <w:numId w:val="15"/>
        </w:numPr>
        <w:tabs>
          <w:tab w:val="left" w:pos="2160"/>
        </w:tabs>
        <w:spacing w:after="120"/>
        <w:ind w:left="2160" w:hanging="720"/>
        <w:rPr>
          <w:szCs w:val="22"/>
        </w:rPr>
      </w:pPr>
      <w:r w:rsidRPr="009F3455">
        <w:rPr>
          <w:szCs w:val="22"/>
        </w:rPr>
        <w:t xml:space="preserve">Each Compliance Report shall </w:t>
      </w:r>
      <w:r w:rsidR="0093490E" w:rsidRPr="009F3455">
        <w:rPr>
          <w:szCs w:val="22"/>
        </w:rPr>
        <w:t>includ</w:t>
      </w:r>
      <w:r w:rsidR="00D4011B" w:rsidRPr="009F3455">
        <w:rPr>
          <w:szCs w:val="22"/>
        </w:rPr>
        <w:t xml:space="preserve">e </w:t>
      </w:r>
      <w:r w:rsidR="00107F47">
        <w:rPr>
          <w:szCs w:val="22"/>
        </w:rPr>
        <w:t xml:space="preserve">a </w:t>
      </w:r>
      <w:r w:rsidR="0032052D" w:rsidRPr="009F3455">
        <w:rPr>
          <w:szCs w:val="22"/>
        </w:rPr>
        <w:t xml:space="preserve">certification by </w:t>
      </w:r>
      <w:r w:rsidR="00107F47">
        <w:rPr>
          <w:szCs w:val="22"/>
        </w:rPr>
        <w:t xml:space="preserve">John David </w:t>
      </w:r>
      <w:r w:rsidR="0032052D" w:rsidRPr="009F3455">
        <w:rPr>
          <w:szCs w:val="22"/>
        </w:rPr>
        <w:t xml:space="preserve">stating </w:t>
      </w:r>
      <w:r w:rsidR="00107F47">
        <w:rPr>
          <w:szCs w:val="22"/>
        </w:rPr>
        <w:t>whether</w:t>
      </w:r>
      <w:r w:rsidR="006F14B8">
        <w:rPr>
          <w:szCs w:val="22"/>
        </w:rPr>
        <w:t>,</w:t>
      </w:r>
      <w:r w:rsidR="00107F47">
        <w:rPr>
          <w:szCs w:val="22"/>
        </w:rPr>
        <w:t xml:space="preserve"> he</w:t>
      </w:r>
      <w:r w:rsidR="006F14B8">
        <w:rPr>
          <w:szCs w:val="22"/>
        </w:rPr>
        <w:t>,</w:t>
      </w:r>
      <w:r w:rsidR="00107F47">
        <w:rPr>
          <w:szCs w:val="22"/>
        </w:rPr>
        <w:t xml:space="preserve"> or </w:t>
      </w:r>
      <w:r w:rsidR="00A362B5">
        <w:rPr>
          <w:szCs w:val="22"/>
        </w:rPr>
        <w:t xml:space="preserve">any </w:t>
      </w:r>
      <w:r w:rsidR="00A9070A">
        <w:rPr>
          <w:szCs w:val="22"/>
        </w:rPr>
        <w:t xml:space="preserve">Company, </w:t>
      </w:r>
      <w:r w:rsidR="003064E6">
        <w:rPr>
          <w:szCs w:val="22"/>
        </w:rPr>
        <w:t xml:space="preserve">has </w:t>
      </w:r>
      <w:r w:rsidR="00E56328">
        <w:rPr>
          <w:szCs w:val="22"/>
        </w:rPr>
        <w:t>sent or caused to be sent</w:t>
      </w:r>
      <w:r w:rsidR="00107F47">
        <w:rPr>
          <w:szCs w:val="22"/>
        </w:rPr>
        <w:t>, A</w:t>
      </w:r>
      <w:r w:rsidR="00E56328">
        <w:rPr>
          <w:szCs w:val="22"/>
        </w:rPr>
        <w:t>dvertisemen</w:t>
      </w:r>
      <w:r w:rsidR="00107F47">
        <w:rPr>
          <w:szCs w:val="22"/>
        </w:rPr>
        <w:t xml:space="preserve">ts by facsimile during the reporting period.  </w:t>
      </w:r>
      <w:r w:rsidR="002D315F">
        <w:rPr>
          <w:szCs w:val="22"/>
        </w:rPr>
        <w:t xml:space="preserve">If John David or any Company has sent, or caused to be sent, any Advertisement by facsimile during the reporting period, the certification shall also state that John David, in his personal capacity, and on behalf of each Company, has (i) implemented the Compliance Plan and so notified the Commission as required by Paragraph </w:t>
      </w:r>
      <w:r w:rsidR="00E2264A">
        <w:rPr>
          <w:szCs w:val="22"/>
        </w:rPr>
        <w:t>11</w:t>
      </w:r>
      <w:r w:rsidR="002D315F">
        <w:rPr>
          <w:szCs w:val="22"/>
        </w:rPr>
        <w:t xml:space="preserve">; (ii) has utilized the Operating Procedures since implementing the Compliance Plan; and (iii) </w:t>
      </w:r>
      <w:r w:rsidR="002D315F" w:rsidRPr="009F3455">
        <w:rPr>
          <w:szCs w:val="22"/>
        </w:rPr>
        <w:t>is not aware of any instances of non</w:t>
      </w:r>
      <w:r w:rsidR="002D315F">
        <w:rPr>
          <w:szCs w:val="22"/>
        </w:rPr>
        <w:t>-</w:t>
      </w:r>
      <w:r w:rsidR="002D315F" w:rsidRPr="009F3455">
        <w:rPr>
          <w:szCs w:val="22"/>
        </w:rPr>
        <w:t>compliance with the terms and conditions of this Consent Decree, including the reporting obligations set forth in paragraph 1</w:t>
      </w:r>
      <w:r w:rsidR="002D315F">
        <w:rPr>
          <w:szCs w:val="22"/>
        </w:rPr>
        <w:t>2</w:t>
      </w:r>
      <w:r w:rsidR="002D315F" w:rsidRPr="009F3455">
        <w:rPr>
          <w:szCs w:val="22"/>
        </w:rPr>
        <w:t xml:space="preserve"> hereof.</w:t>
      </w:r>
      <w:r w:rsidR="002D315F">
        <w:rPr>
          <w:szCs w:val="22"/>
        </w:rPr>
        <w:t xml:space="preserve">  </w:t>
      </w:r>
    </w:p>
    <w:p w:rsidR="00F956EB" w:rsidRPr="009F3455" w:rsidRDefault="005B4D7F" w:rsidP="00C46B1F">
      <w:pPr>
        <w:pStyle w:val="ColorfulList-Accent11"/>
        <w:widowControl/>
        <w:numPr>
          <w:ilvl w:val="0"/>
          <w:numId w:val="15"/>
        </w:numPr>
        <w:tabs>
          <w:tab w:val="left" w:pos="2160"/>
        </w:tabs>
        <w:spacing w:after="120"/>
        <w:ind w:left="2160" w:hanging="720"/>
        <w:rPr>
          <w:szCs w:val="22"/>
        </w:rPr>
      </w:pPr>
      <w:r>
        <w:rPr>
          <w:szCs w:val="22"/>
        </w:rPr>
        <w:t xml:space="preserve">Each Compliance Report shall also include the number of telephone line accounts billed to </w:t>
      </w:r>
      <w:r w:rsidR="007335C1">
        <w:rPr>
          <w:szCs w:val="22"/>
        </w:rPr>
        <w:t xml:space="preserve">John David and </w:t>
      </w:r>
      <w:r w:rsidR="00A9070A">
        <w:rPr>
          <w:szCs w:val="22"/>
        </w:rPr>
        <w:t>each Company</w:t>
      </w:r>
      <w:r w:rsidR="007335C1">
        <w:rPr>
          <w:szCs w:val="22"/>
        </w:rPr>
        <w:t xml:space="preserve">, </w:t>
      </w:r>
      <w:r>
        <w:rPr>
          <w:szCs w:val="22"/>
        </w:rPr>
        <w:t>including the contact numbers, billing contact, and billing addresses for each telephone line identified as belonging to</w:t>
      </w:r>
      <w:r w:rsidR="007335C1">
        <w:rPr>
          <w:szCs w:val="22"/>
        </w:rPr>
        <w:t xml:space="preserve"> Mr</w:t>
      </w:r>
      <w:r w:rsidR="00750033">
        <w:rPr>
          <w:szCs w:val="22"/>
        </w:rPr>
        <w:t xml:space="preserve">. </w:t>
      </w:r>
      <w:r w:rsidR="007335C1">
        <w:rPr>
          <w:szCs w:val="22"/>
        </w:rPr>
        <w:t xml:space="preserve">David </w:t>
      </w:r>
      <w:r w:rsidR="00591CCB">
        <w:rPr>
          <w:szCs w:val="22"/>
        </w:rPr>
        <w:t>or</w:t>
      </w:r>
      <w:r w:rsidR="007335C1">
        <w:rPr>
          <w:szCs w:val="22"/>
        </w:rPr>
        <w:t xml:space="preserve"> </w:t>
      </w:r>
      <w:r w:rsidR="00A362B5">
        <w:rPr>
          <w:szCs w:val="22"/>
        </w:rPr>
        <w:t xml:space="preserve">any </w:t>
      </w:r>
      <w:r w:rsidR="00A9070A">
        <w:rPr>
          <w:szCs w:val="22"/>
        </w:rPr>
        <w:t>Company</w:t>
      </w:r>
      <w:r>
        <w:rPr>
          <w:szCs w:val="22"/>
        </w:rPr>
        <w:t>.</w:t>
      </w:r>
    </w:p>
    <w:p w:rsidR="00F956EB" w:rsidRPr="009F3455" w:rsidRDefault="007335C1" w:rsidP="00C46B1F">
      <w:pPr>
        <w:pStyle w:val="ColorfulList-Accent11"/>
        <w:widowControl/>
        <w:numPr>
          <w:ilvl w:val="0"/>
          <w:numId w:val="15"/>
        </w:numPr>
        <w:tabs>
          <w:tab w:val="left" w:pos="2160"/>
        </w:tabs>
        <w:spacing w:after="120"/>
        <w:ind w:left="2160" w:hanging="720"/>
        <w:rPr>
          <w:szCs w:val="22"/>
        </w:rPr>
      </w:pPr>
      <w:r>
        <w:rPr>
          <w:szCs w:val="22"/>
        </w:rPr>
        <w:t xml:space="preserve">John David’s </w:t>
      </w:r>
      <w:r w:rsidR="00F956EB" w:rsidRPr="009F3455">
        <w:rPr>
          <w:szCs w:val="22"/>
        </w:rPr>
        <w:t xml:space="preserve">certification shall be accompanied by a statement explaining the basis for such certification and must </w:t>
      </w:r>
      <w:r w:rsidR="003064E6">
        <w:rPr>
          <w:szCs w:val="22"/>
        </w:rPr>
        <w:t xml:space="preserve">be in the form set forth in </w:t>
      </w:r>
      <w:r w:rsidR="00F956EB" w:rsidRPr="009F3455">
        <w:rPr>
          <w:szCs w:val="22"/>
        </w:rPr>
        <w:t>Section 1.16 of the Rules</w:t>
      </w:r>
      <w:r w:rsidR="00F956EB" w:rsidRPr="009F3455">
        <w:rPr>
          <w:szCs w:val="22"/>
          <w:vertAlign w:val="superscript"/>
        </w:rPr>
        <w:footnoteReference w:id="18"/>
      </w:r>
      <w:r w:rsidR="00F956EB" w:rsidRPr="009F3455">
        <w:rPr>
          <w:szCs w:val="22"/>
        </w:rPr>
        <w:t xml:space="preserve"> and be subscribed as true under penalty of perjury substantially </w:t>
      </w:r>
      <w:r w:rsidR="000041D3">
        <w:rPr>
          <w:szCs w:val="22"/>
        </w:rPr>
        <w:t xml:space="preserve">in </w:t>
      </w:r>
      <w:r w:rsidR="00F956EB" w:rsidRPr="009F3455">
        <w:rPr>
          <w:szCs w:val="22"/>
        </w:rPr>
        <w:t xml:space="preserve">the form set forth therein. </w:t>
      </w:r>
    </w:p>
    <w:p w:rsidR="00F956EB" w:rsidRPr="009F3455" w:rsidRDefault="00F956EB" w:rsidP="00C46B1F">
      <w:pPr>
        <w:pStyle w:val="ColorfulList-Accent11"/>
        <w:widowControl/>
        <w:numPr>
          <w:ilvl w:val="0"/>
          <w:numId w:val="15"/>
        </w:numPr>
        <w:tabs>
          <w:tab w:val="left" w:pos="2160"/>
        </w:tabs>
        <w:spacing w:after="120"/>
        <w:ind w:left="2160" w:hanging="720"/>
        <w:rPr>
          <w:szCs w:val="22"/>
        </w:rPr>
      </w:pPr>
      <w:r w:rsidRPr="009F3455">
        <w:rPr>
          <w:szCs w:val="22"/>
        </w:rPr>
        <w:t xml:space="preserve">If </w:t>
      </w:r>
      <w:r w:rsidR="007335C1">
        <w:rPr>
          <w:szCs w:val="22"/>
        </w:rPr>
        <w:t>John David</w:t>
      </w:r>
      <w:r w:rsidRPr="009F3455">
        <w:rPr>
          <w:szCs w:val="22"/>
        </w:rPr>
        <w:t xml:space="preserve"> cannot provide the requisite certification, </w:t>
      </w:r>
      <w:r w:rsidR="007335C1">
        <w:rPr>
          <w:szCs w:val="22"/>
        </w:rPr>
        <w:t xml:space="preserve">he </w:t>
      </w:r>
      <w:r w:rsidRPr="009F3455">
        <w:rPr>
          <w:szCs w:val="22"/>
        </w:rPr>
        <w:t>shall provide the Commission with a detailed explanation of the reason(s) why and describe fully (i) each instance of non</w:t>
      </w:r>
      <w:r w:rsidR="003358A1">
        <w:rPr>
          <w:szCs w:val="22"/>
        </w:rPr>
        <w:t>-</w:t>
      </w:r>
      <w:r w:rsidRPr="009F3455">
        <w:rPr>
          <w:szCs w:val="22"/>
        </w:rPr>
        <w:t xml:space="preserve">compliance; (ii) the steps that </w:t>
      </w:r>
      <w:r w:rsidR="007335C1">
        <w:rPr>
          <w:szCs w:val="22"/>
        </w:rPr>
        <w:t>he</w:t>
      </w:r>
      <w:r w:rsidR="002618E1">
        <w:rPr>
          <w:szCs w:val="22"/>
        </w:rPr>
        <w:t xml:space="preserve"> </w:t>
      </w:r>
      <w:r w:rsidR="00020B44">
        <w:rPr>
          <w:szCs w:val="22"/>
        </w:rPr>
        <w:t xml:space="preserve">and each Company </w:t>
      </w:r>
      <w:r w:rsidR="002618E1">
        <w:rPr>
          <w:szCs w:val="22"/>
        </w:rPr>
        <w:t>ha</w:t>
      </w:r>
      <w:r w:rsidR="001A2DDC">
        <w:rPr>
          <w:szCs w:val="22"/>
        </w:rPr>
        <w:t>ve</w:t>
      </w:r>
      <w:r w:rsidRPr="009F3455">
        <w:rPr>
          <w:szCs w:val="22"/>
        </w:rPr>
        <w:t xml:space="preserve"> taken or will take to remedy such non</w:t>
      </w:r>
      <w:r w:rsidR="003358A1">
        <w:rPr>
          <w:szCs w:val="22"/>
        </w:rPr>
        <w:t>-</w:t>
      </w:r>
      <w:r w:rsidRPr="009F3455">
        <w:rPr>
          <w:szCs w:val="22"/>
        </w:rPr>
        <w:t xml:space="preserve">compliance, including the schedule on which proposed remedial actions will be taken; and (iii) the steps that </w:t>
      </w:r>
      <w:r w:rsidR="007335C1">
        <w:rPr>
          <w:szCs w:val="22"/>
        </w:rPr>
        <w:t xml:space="preserve">he </w:t>
      </w:r>
      <w:r w:rsidR="00020B44">
        <w:rPr>
          <w:szCs w:val="22"/>
        </w:rPr>
        <w:t xml:space="preserve">and each Company </w:t>
      </w:r>
      <w:r w:rsidRPr="009F3455">
        <w:rPr>
          <w:szCs w:val="22"/>
        </w:rPr>
        <w:t>ha</w:t>
      </w:r>
      <w:r w:rsidR="001A2DDC">
        <w:rPr>
          <w:szCs w:val="22"/>
        </w:rPr>
        <w:t>ve</w:t>
      </w:r>
      <w:r w:rsidRPr="009F3455">
        <w:rPr>
          <w:szCs w:val="22"/>
        </w:rPr>
        <w:t xml:space="preserve"> taken or will take to prevent the recurrence of any such non</w:t>
      </w:r>
      <w:r w:rsidR="003358A1">
        <w:rPr>
          <w:szCs w:val="22"/>
        </w:rPr>
        <w:t>-</w:t>
      </w:r>
      <w:r w:rsidRPr="009F3455">
        <w:rPr>
          <w:szCs w:val="22"/>
        </w:rPr>
        <w:t xml:space="preserve">compliance, including the schedule on which such preventive action will be taken. </w:t>
      </w:r>
    </w:p>
    <w:p w:rsidR="007335C1" w:rsidRPr="009F3455" w:rsidRDefault="00C110F5" w:rsidP="00C46B1F">
      <w:pPr>
        <w:pStyle w:val="ParaNum0"/>
        <w:widowControl/>
      </w:pPr>
      <w:r w:rsidRPr="009F3455">
        <w:t>All Compliance Reports shall be submitted to the Chief, Telecommunications Consumers Division, Enforcement Bureau, Federal Communications Commission, 445 12</w:t>
      </w:r>
      <w:r w:rsidRPr="005B1335">
        <w:rPr>
          <w:vertAlign w:val="superscript"/>
        </w:rPr>
        <w:t>th</w:t>
      </w:r>
      <w:r w:rsidRPr="009F3455">
        <w:t xml:space="preserve"> Street, S.W.</w:t>
      </w:r>
      <w:r w:rsidR="008C2920">
        <w:t xml:space="preserve">, </w:t>
      </w:r>
      <w:r w:rsidRPr="009F3455">
        <w:t xml:space="preserve">Washington, D.C. 20554. </w:t>
      </w:r>
      <w:r w:rsidR="006A7F28">
        <w:t xml:space="preserve"> </w:t>
      </w:r>
      <w:r w:rsidR="00A9070A">
        <w:t>John David</w:t>
      </w:r>
      <w:r w:rsidRPr="009F3455">
        <w:t xml:space="preserve"> shall also send an electronic copy of its </w:t>
      </w:r>
      <w:r>
        <w:t xml:space="preserve">compliance report and </w:t>
      </w:r>
      <w:r w:rsidRPr="009F3455">
        <w:t xml:space="preserve">certification to  </w:t>
      </w:r>
      <w:hyperlink r:id="rId15" w:history="1">
        <w:r w:rsidRPr="006669DE">
          <w:rPr>
            <w:rStyle w:val="Hyperlink"/>
          </w:rPr>
          <w:t>Daniel.Grosh@fcc.gov</w:t>
        </w:r>
      </w:hyperlink>
      <w:r>
        <w:t xml:space="preserve">, and to </w:t>
      </w:r>
      <w:hyperlink r:id="rId16" w:history="1">
        <w:r w:rsidRPr="006669DE">
          <w:rPr>
            <w:rStyle w:val="Hyperlink"/>
          </w:rPr>
          <w:t>Phillip.Priesman@fcc.gov</w:t>
        </w:r>
      </w:hyperlink>
    </w:p>
    <w:p w:rsidR="005A3822" w:rsidRPr="00D570A9" w:rsidRDefault="0013481A" w:rsidP="00C46B1F">
      <w:pPr>
        <w:pStyle w:val="ParaNum0"/>
        <w:widowControl/>
        <w:rPr>
          <w:szCs w:val="22"/>
        </w:rPr>
      </w:pPr>
      <w:r w:rsidRPr="005B1335">
        <w:rPr>
          <w:b/>
          <w:u w:val="single"/>
        </w:rPr>
        <w:t xml:space="preserve">Reporting </w:t>
      </w:r>
      <w:r w:rsidR="00FA061C" w:rsidRPr="005C23DE">
        <w:rPr>
          <w:b/>
          <w:u w:val="single"/>
        </w:rPr>
        <w:t>Non</w:t>
      </w:r>
      <w:r w:rsidR="003358A1">
        <w:rPr>
          <w:b/>
          <w:u w:val="single"/>
        </w:rPr>
        <w:t>-C</w:t>
      </w:r>
      <w:r w:rsidR="00FA061C" w:rsidRPr="005C23DE">
        <w:rPr>
          <w:b/>
          <w:u w:val="single"/>
        </w:rPr>
        <w:t>ompliance</w:t>
      </w:r>
      <w:r w:rsidRPr="009F3455">
        <w:t xml:space="preserve">. </w:t>
      </w:r>
      <w:r w:rsidR="008A6CCB">
        <w:t xml:space="preserve">John David and </w:t>
      </w:r>
      <w:r w:rsidR="00A9070A">
        <w:t>each Company</w:t>
      </w:r>
      <w:r w:rsidR="008A6CCB">
        <w:t xml:space="preserve"> </w:t>
      </w:r>
      <w:r w:rsidRPr="009F3455">
        <w:t xml:space="preserve">shall disclose any failure to comply with the </w:t>
      </w:r>
      <w:r w:rsidR="00586B59" w:rsidRPr="009F3455">
        <w:t xml:space="preserve">Unsolicited Facsimile Rules </w:t>
      </w:r>
      <w:r w:rsidR="001B081D">
        <w:t>and</w:t>
      </w:r>
      <w:r w:rsidRPr="009F3455">
        <w:t xml:space="preserve"> the terms and conditions of this Consent Decree within fifteen (15) </w:t>
      </w:r>
      <w:r w:rsidR="00B828A1" w:rsidRPr="009F3455">
        <w:t>calendar</w:t>
      </w:r>
      <w:r w:rsidRPr="009F3455">
        <w:t xml:space="preserve"> days after discovery of such </w:t>
      </w:r>
      <w:r w:rsidR="001B081D">
        <w:t xml:space="preserve">failure to comply.  </w:t>
      </w:r>
      <w:r w:rsidRPr="009F3455">
        <w:t>Such reports shall include a detailed explanation of (i) each instance of non</w:t>
      </w:r>
      <w:r w:rsidR="001B081D">
        <w:t>-</w:t>
      </w:r>
      <w:r w:rsidRPr="009F3455">
        <w:t xml:space="preserve">compliance; (ii) the steps that </w:t>
      </w:r>
      <w:r w:rsidR="008A6CCB">
        <w:t>John David and</w:t>
      </w:r>
      <w:r w:rsidRPr="009F3455">
        <w:t xml:space="preserve"> </w:t>
      </w:r>
      <w:r w:rsidR="00167750">
        <w:t xml:space="preserve">each Company </w:t>
      </w:r>
      <w:r w:rsidRPr="009F3455">
        <w:t>ha</w:t>
      </w:r>
      <w:r w:rsidR="008A6CCB">
        <w:t>ve</w:t>
      </w:r>
      <w:r w:rsidRPr="009F3455">
        <w:t xml:space="preserve"> taken or will take to remedy such non</w:t>
      </w:r>
      <w:r w:rsidR="001B081D">
        <w:t>-</w:t>
      </w:r>
      <w:r w:rsidRPr="009F3455">
        <w:t>compliance</w:t>
      </w:r>
      <w:r w:rsidR="00496101">
        <w:t xml:space="preserve">; (iii) </w:t>
      </w:r>
      <w:r w:rsidR="008A6CCB">
        <w:t xml:space="preserve">the schedule on which </w:t>
      </w:r>
      <w:r w:rsidR="00496101">
        <w:t xml:space="preserve">such </w:t>
      </w:r>
      <w:r w:rsidR="008A6CCB">
        <w:t xml:space="preserve">proposed remedial actions will be taken; and </w:t>
      </w:r>
      <w:r w:rsidRPr="009F3455">
        <w:t>(i</w:t>
      </w:r>
      <w:r w:rsidR="00496101">
        <w:t>v</w:t>
      </w:r>
      <w:r w:rsidRPr="009F3455">
        <w:t xml:space="preserve">) the steps that </w:t>
      </w:r>
      <w:r w:rsidR="008A6CCB">
        <w:t>John David and</w:t>
      </w:r>
      <w:r w:rsidR="00167750">
        <w:t xml:space="preserve"> each Company</w:t>
      </w:r>
      <w:r w:rsidRPr="009F3455">
        <w:t xml:space="preserve"> ha</w:t>
      </w:r>
      <w:r w:rsidR="008A6CCB">
        <w:t>ve</w:t>
      </w:r>
      <w:r w:rsidRPr="009F3455">
        <w:t xml:space="preserve"> taken or will take to prevent the recurrence of any such non</w:t>
      </w:r>
      <w:r w:rsidR="001B081D">
        <w:t>-</w:t>
      </w:r>
      <w:r w:rsidRPr="009F3455">
        <w:t>compliance.</w:t>
      </w:r>
      <w:r w:rsidR="008A6CCB">
        <w:t xml:space="preserve">  </w:t>
      </w:r>
      <w:r w:rsidRPr="009F3455">
        <w:t>All reports of non</w:t>
      </w:r>
      <w:r w:rsidR="001B081D">
        <w:t>-</w:t>
      </w:r>
      <w:r w:rsidRPr="009F3455">
        <w:t>compliance shall be submitted to the Chief, Telecommunications Consumers Division, Enforcement Bureau, Federal Communications Commission, 445 12</w:t>
      </w:r>
      <w:r w:rsidRPr="009F3455">
        <w:rPr>
          <w:vertAlign w:val="superscript"/>
        </w:rPr>
        <w:t>th</w:t>
      </w:r>
      <w:r w:rsidRPr="009F3455">
        <w:t xml:space="preserve"> Street, S.W., Rm. 4</w:t>
      </w:r>
      <w:r w:rsidR="00DA751E">
        <w:t>-</w:t>
      </w:r>
      <w:r w:rsidR="00733BF1">
        <w:t>C</w:t>
      </w:r>
      <w:r w:rsidRPr="009F3455">
        <w:t xml:space="preserve">224, Washington, D.C. 20554, with copies submitted electronically to </w:t>
      </w:r>
      <w:hyperlink r:id="rId17" w:history="1">
        <w:r w:rsidR="00877459" w:rsidRPr="006669DE">
          <w:rPr>
            <w:rStyle w:val="Hyperlink"/>
            <w:szCs w:val="22"/>
          </w:rPr>
          <w:t>Daniel.Grosh@fcc.gov</w:t>
        </w:r>
      </w:hyperlink>
      <w:r w:rsidR="00877459">
        <w:rPr>
          <w:rStyle w:val="Hyperlink"/>
          <w:color w:val="auto"/>
          <w:szCs w:val="22"/>
          <w:u w:val="none"/>
        </w:rPr>
        <w:t xml:space="preserve"> and to </w:t>
      </w:r>
      <w:r w:rsidR="00877459">
        <w:rPr>
          <w:rStyle w:val="Hyperlink"/>
          <w:szCs w:val="22"/>
        </w:rPr>
        <w:t>P</w:t>
      </w:r>
      <w:r w:rsidR="006D6C20">
        <w:rPr>
          <w:rStyle w:val="Hyperlink"/>
          <w:szCs w:val="22"/>
        </w:rPr>
        <w:t>hillip.</w:t>
      </w:r>
      <w:r w:rsidR="00877459">
        <w:rPr>
          <w:rStyle w:val="Hyperlink"/>
          <w:szCs w:val="22"/>
        </w:rPr>
        <w:t>P</w:t>
      </w:r>
      <w:r w:rsidR="006D6C20">
        <w:rPr>
          <w:rStyle w:val="Hyperlink"/>
          <w:szCs w:val="22"/>
        </w:rPr>
        <w:t>riesman@fcc,gov</w:t>
      </w:r>
      <w:r w:rsidRPr="009F3455">
        <w:t xml:space="preserve">. </w:t>
      </w:r>
      <w:r w:rsidR="00E35272" w:rsidRPr="009F3455">
        <w:t xml:space="preserve"> </w:t>
      </w:r>
    </w:p>
    <w:p w:rsidR="00D570A9" w:rsidRPr="009F3455" w:rsidRDefault="00D570A9" w:rsidP="00C46B1F">
      <w:pPr>
        <w:pStyle w:val="ParaNum0"/>
        <w:widowControl/>
        <w:rPr>
          <w:szCs w:val="22"/>
        </w:rPr>
      </w:pPr>
      <w:r>
        <w:rPr>
          <w:b/>
          <w:u w:val="single"/>
        </w:rPr>
        <w:t>Termination Date</w:t>
      </w:r>
      <w:r w:rsidRPr="00D570A9">
        <w:rPr>
          <w:szCs w:val="22"/>
        </w:rPr>
        <w:t>.</w:t>
      </w:r>
      <w:r>
        <w:rPr>
          <w:szCs w:val="22"/>
        </w:rPr>
        <w:t xml:space="preserve">  Unless stated otherwise, the obligations set forth in paragraphs </w:t>
      </w:r>
      <w:r w:rsidR="00E2264A">
        <w:rPr>
          <w:szCs w:val="22"/>
        </w:rPr>
        <w:t>10</w:t>
      </w:r>
      <w:r>
        <w:rPr>
          <w:szCs w:val="22"/>
        </w:rPr>
        <w:t xml:space="preserve"> through 1</w:t>
      </w:r>
      <w:r w:rsidR="00E2264A">
        <w:rPr>
          <w:szCs w:val="22"/>
        </w:rPr>
        <w:t>4</w:t>
      </w:r>
      <w:r>
        <w:rPr>
          <w:szCs w:val="22"/>
        </w:rPr>
        <w:t xml:space="preserve"> </w:t>
      </w:r>
      <w:r w:rsidR="006A7F28">
        <w:rPr>
          <w:szCs w:val="22"/>
        </w:rPr>
        <w:t xml:space="preserve">of this Consent Decree </w:t>
      </w:r>
      <w:r>
        <w:rPr>
          <w:szCs w:val="22"/>
        </w:rPr>
        <w:t>shall expire</w:t>
      </w:r>
      <w:r w:rsidR="00140DE8">
        <w:rPr>
          <w:szCs w:val="22"/>
        </w:rPr>
        <w:t xml:space="preserve"> thirty-six (36) </w:t>
      </w:r>
      <w:r>
        <w:rPr>
          <w:szCs w:val="22"/>
        </w:rPr>
        <w:t xml:space="preserve"> months after the Effective Date. </w:t>
      </w:r>
    </w:p>
    <w:p w:rsidR="00215253" w:rsidRPr="00E5227A" w:rsidRDefault="006650E1" w:rsidP="00C46B1F">
      <w:pPr>
        <w:pStyle w:val="ParaNum0"/>
        <w:widowControl/>
        <w:rPr>
          <w:rFonts w:eastAsia="MS Mincho" w:cs="Arial"/>
        </w:rPr>
      </w:pPr>
      <w:r w:rsidRPr="009F3455">
        <w:rPr>
          <w:b/>
          <w:bCs/>
          <w:u w:val="single"/>
        </w:rPr>
        <w:t>Voluntary Contribution</w:t>
      </w:r>
      <w:r w:rsidRPr="009F3455">
        <w:t xml:space="preserve">.  </w:t>
      </w:r>
      <w:r w:rsidR="008A6CCB">
        <w:t xml:space="preserve">John David </w:t>
      </w:r>
      <w:r w:rsidR="00167750">
        <w:t xml:space="preserve">or the Companies shall </w:t>
      </w:r>
      <w:r w:rsidRPr="009F3455">
        <w:t xml:space="preserve">make a </w:t>
      </w:r>
      <w:r w:rsidR="001D7B3C">
        <w:t>V</w:t>
      </w:r>
      <w:r w:rsidRPr="009F3455">
        <w:t xml:space="preserve">oluntary </w:t>
      </w:r>
      <w:r w:rsidR="001D7B3C">
        <w:t>C</w:t>
      </w:r>
      <w:r w:rsidRPr="009F3455">
        <w:t xml:space="preserve">ontribution to the United States Treasury in the amount </w:t>
      </w:r>
      <w:r w:rsidR="00A41A4A">
        <w:t xml:space="preserve">fifty </w:t>
      </w:r>
      <w:r w:rsidR="004870E7">
        <w:t>thousand</w:t>
      </w:r>
      <w:r w:rsidR="00D570A9">
        <w:t xml:space="preserve"> </w:t>
      </w:r>
      <w:r w:rsidR="004870E7">
        <w:t>dollars</w:t>
      </w:r>
      <w:r w:rsidR="00D570A9">
        <w:t xml:space="preserve"> </w:t>
      </w:r>
      <w:r w:rsidRPr="009F3455">
        <w:t>($</w:t>
      </w:r>
      <w:r w:rsidR="00A41A4A">
        <w:t>50,000</w:t>
      </w:r>
      <w:r w:rsidRPr="009F3455">
        <w:t>)</w:t>
      </w:r>
      <w:r w:rsidR="0094383E" w:rsidRPr="009F3455">
        <w:t xml:space="preserve"> </w:t>
      </w:r>
      <w:r w:rsidR="007749F8">
        <w:t xml:space="preserve">within thirty (30) calendar days after </w:t>
      </w:r>
      <w:r w:rsidR="00037E11">
        <w:t>the Effective Date</w:t>
      </w:r>
      <w:r w:rsidR="00A41A4A">
        <w:t>.</w:t>
      </w:r>
      <w:r w:rsidR="00805198">
        <w:t xml:space="preserve">  </w:t>
      </w:r>
      <w:r w:rsidR="00E45047">
        <w:t xml:space="preserve">John David and </w:t>
      </w:r>
      <w:r w:rsidR="00167750">
        <w:t>the Companies</w:t>
      </w:r>
      <w:r w:rsidR="008E08AE" w:rsidRPr="009F3455">
        <w:t xml:space="preserve"> </w:t>
      </w:r>
      <w:r w:rsidR="00215253" w:rsidRPr="00E5227A">
        <w:rPr>
          <w:szCs w:val="22"/>
        </w:rPr>
        <w:t>acknowledge and agree that upon executi</w:t>
      </w:r>
      <w:r w:rsidR="00215253">
        <w:rPr>
          <w:szCs w:val="22"/>
        </w:rPr>
        <w:t>ng</w:t>
      </w:r>
      <w:r w:rsidR="00215253" w:rsidRPr="00E5227A">
        <w:rPr>
          <w:szCs w:val="22"/>
        </w:rPr>
        <w:t xml:space="preserve"> this Consent Decree, the </w:t>
      </w:r>
      <w:r w:rsidR="001D7B3C">
        <w:rPr>
          <w:szCs w:val="22"/>
        </w:rPr>
        <w:t>V</w:t>
      </w:r>
      <w:r w:rsidR="00215253" w:rsidRPr="00E5227A">
        <w:rPr>
          <w:szCs w:val="22"/>
        </w:rPr>
        <w:t xml:space="preserve">oluntary </w:t>
      </w:r>
      <w:r w:rsidR="001D7B3C">
        <w:rPr>
          <w:szCs w:val="22"/>
        </w:rPr>
        <w:t>C</w:t>
      </w:r>
      <w:r w:rsidR="00215253" w:rsidRPr="00E5227A">
        <w:rPr>
          <w:szCs w:val="22"/>
        </w:rPr>
        <w:t>ontribution shall become a “Claim” or “Debt” as defined in 31 U.S.C. § 3701(b)(1).</w:t>
      </w:r>
      <w:r w:rsidR="00215253">
        <w:rPr>
          <w:rStyle w:val="FootnoteReference"/>
          <w:szCs w:val="22"/>
        </w:rPr>
        <w:footnoteReference w:id="19"/>
      </w:r>
      <w:r w:rsidR="007749F8">
        <w:rPr>
          <w:szCs w:val="22"/>
        </w:rPr>
        <w:t xml:space="preserve">  U</w:t>
      </w:r>
      <w:r w:rsidR="00215253" w:rsidRPr="00E5227A">
        <w:rPr>
          <w:szCs w:val="22"/>
        </w:rPr>
        <w:t xml:space="preserve">pon an </w:t>
      </w:r>
      <w:r w:rsidR="006F14B8">
        <w:rPr>
          <w:szCs w:val="22"/>
        </w:rPr>
        <w:t>E</w:t>
      </w:r>
      <w:r w:rsidR="00215253" w:rsidRPr="00E5227A">
        <w:rPr>
          <w:szCs w:val="22"/>
        </w:rPr>
        <w:t xml:space="preserve">vent of </w:t>
      </w:r>
      <w:r w:rsidR="006F14B8">
        <w:rPr>
          <w:szCs w:val="22"/>
        </w:rPr>
        <w:t>D</w:t>
      </w:r>
      <w:r w:rsidR="00215253" w:rsidRPr="00E5227A">
        <w:rPr>
          <w:szCs w:val="22"/>
        </w:rPr>
        <w:t xml:space="preserve">efault by </w:t>
      </w:r>
      <w:r w:rsidR="006F14B8">
        <w:rPr>
          <w:szCs w:val="22"/>
        </w:rPr>
        <w:t>N</w:t>
      </w:r>
      <w:r w:rsidR="00215253" w:rsidRPr="00E5227A">
        <w:rPr>
          <w:szCs w:val="22"/>
        </w:rPr>
        <w:t xml:space="preserve">onpayment of the </w:t>
      </w:r>
      <w:r w:rsidR="001D7B3C">
        <w:rPr>
          <w:szCs w:val="22"/>
        </w:rPr>
        <w:t>V</w:t>
      </w:r>
      <w:r w:rsidR="007749F8">
        <w:rPr>
          <w:szCs w:val="22"/>
        </w:rPr>
        <w:t xml:space="preserve">oluntary </w:t>
      </w:r>
      <w:r w:rsidR="001D7B3C">
        <w:rPr>
          <w:szCs w:val="22"/>
        </w:rPr>
        <w:t>C</w:t>
      </w:r>
      <w:r w:rsidR="007749F8">
        <w:rPr>
          <w:szCs w:val="22"/>
        </w:rPr>
        <w:t xml:space="preserve">ontribution, </w:t>
      </w:r>
      <w:r w:rsidR="00215253" w:rsidRPr="00E5227A">
        <w:rPr>
          <w:szCs w:val="22"/>
        </w:rPr>
        <w:t>all procedures for collection permitted by the Debt Collection Improvement Act of 1996</w:t>
      </w:r>
      <w:r w:rsidR="00215253">
        <w:rPr>
          <w:rStyle w:val="FootnoteReference"/>
          <w:szCs w:val="22"/>
        </w:rPr>
        <w:footnoteReference w:id="20"/>
      </w:r>
      <w:r w:rsidR="00215253" w:rsidRPr="00E5227A">
        <w:rPr>
          <w:szCs w:val="22"/>
        </w:rPr>
        <w:t xml:space="preserve"> and other provisions of law</w:t>
      </w:r>
      <w:r w:rsidR="00215253">
        <w:rPr>
          <w:rStyle w:val="FootnoteReference"/>
          <w:szCs w:val="22"/>
        </w:rPr>
        <w:footnoteReference w:id="21"/>
      </w:r>
      <w:r w:rsidR="007749F8">
        <w:rPr>
          <w:szCs w:val="22"/>
        </w:rPr>
        <w:t xml:space="preserve"> may, at the Commission’s discretion, be initiated.  </w:t>
      </w:r>
      <w:r w:rsidR="00E45047">
        <w:rPr>
          <w:szCs w:val="22"/>
        </w:rPr>
        <w:t>John David</w:t>
      </w:r>
      <w:r w:rsidR="00215253" w:rsidRPr="00E5227A">
        <w:rPr>
          <w:rFonts w:eastAsia="MS Mincho"/>
        </w:rPr>
        <w:t xml:space="preserve"> shall also send electronic notification of payment to Johnny Drake at </w:t>
      </w:r>
      <w:hyperlink r:id="rId18" w:history="1">
        <w:r w:rsidR="00215253" w:rsidRPr="002E0BCF">
          <w:rPr>
            <w:rStyle w:val="Hyperlink"/>
            <w:rFonts w:eastAsia="MS Mincho"/>
          </w:rPr>
          <w:t>Johnny.Drake@fcc.gov</w:t>
        </w:r>
      </w:hyperlink>
      <w:r w:rsidR="00215253" w:rsidRPr="002E0BCF">
        <w:rPr>
          <w:rFonts w:eastAsia="MS Mincho"/>
        </w:rPr>
        <w:t xml:space="preserve"> </w:t>
      </w:r>
      <w:r w:rsidR="007749F8">
        <w:rPr>
          <w:rFonts w:eastAsia="MS Mincho"/>
        </w:rPr>
        <w:t xml:space="preserve"> on the date said payment </w:t>
      </w:r>
      <w:r w:rsidR="00215253" w:rsidRPr="002E0BCF">
        <w:rPr>
          <w:rFonts w:eastAsia="MS Mincho"/>
        </w:rPr>
        <w:t xml:space="preserve">is made.  </w:t>
      </w:r>
      <w:r w:rsidR="00215253" w:rsidRPr="002E0BCF">
        <w:rPr>
          <w:rFonts w:eastAsia="MS Mincho" w:cs="Arial"/>
        </w:rPr>
        <w:t>The payment must be made by check or similar instrument, wire transfer, or credit card, and must include the NAL/Account number and FRN referenced above.  Regardless of the form of payment, a completed FCC Form 159 (Remittance Advice) must be submitted.</w:t>
      </w:r>
      <w:r w:rsidR="00215253">
        <w:rPr>
          <w:rStyle w:val="FootnoteReference"/>
          <w:rFonts w:eastAsia="MS Mincho" w:cs="Arial"/>
        </w:rPr>
        <w:footnoteReference w:id="22"/>
      </w:r>
      <w:r w:rsidR="00215253" w:rsidRPr="00E5227A">
        <w:rPr>
          <w:rFonts w:eastAsia="MS Mincho" w:cs="Arial"/>
        </w:rPr>
        <w:t xml:space="preserve">  When completing the FCC Form 159, enter the Account Number in block number 23A (call sign/other ID) and enter the letters “FORF” in block number 24A (payment type code).   </w:t>
      </w:r>
      <w:r w:rsidR="00215253" w:rsidRPr="00E5227A">
        <w:rPr>
          <w:color w:val="000000"/>
          <w:szCs w:val="22"/>
        </w:rPr>
        <w:t>Below are additional instructions you should follow based on the form of payment you select:</w:t>
      </w:r>
    </w:p>
    <w:p w:rsidR="00215253" w:rsidRPr="00626BA2" w:rsidRDefault="00215253" w:rsidP="00C46B1F">
      <w:pPr>
        <w:pStyle w:val="ParaNum0"/>
        <w:widowControl/>
        <w:numPr>
          <w:ilvl w:val="0"/>
          <w:numId w:val="17"/>
        </w:numPr>
        <w:tabs>
          <w:tab w:val="clear" w:pos="1440"/>
        </w:tabs>
        <w:rPr>
          <w:rFonts w:eastAsia="MS Mincho"/>
        </w:rPr>
      </w:pPr>
      <w:r>
        <w:rPr>
          <w:rFonts w:eastAsia="MS Mincho"/>
        </w:rPr>
        <w:t>P</w:t>
      </w:r>
      <w:r w:rsidRPr="00626BA2">
        <w:rPr>
          <w:rFonts w:eastAsia="MS Mincho"/>
        </w:rPr>
        <w:t>ayment by check or money order must be made payable to the order of the Federal Communications Commission.  Such payments (along with the completed Form 159) </w:t>
      </w:r>
      <w:r>
        <w:rPr>
          <w:rFonts w:eastAsia="MS Mincho"/>
        </w:rPr>
        <w:t>must</w:t>
      </w:r>
      <w:r w:rsidRPr="00626BA2">
        <w:rPr>
          <w:rFonts w:eastAsia="MS Mincho"/>
        </w:rPr>
        <w:t xml:space="preserve"> be mailed to Federal Communications Commission, P.O. Box 979088, St. Louis, MO 63197-9000, or sent via overnight mail to U.S. Bank – Government Lockbox #979088, SL-MO-C2-GL, 1005 Convention Plaza, St. Louis, MO 63101.  </w:t>
      </w:r>
    </w:p>
    <w:p w:rsidR="00215253" w:rsidRPr="00626BA2" w:rsidRDefault="00215253" w:rsidP="00C46B1F">
      <w:pPr>
        <w:pStyle w:val="ParaNum0"/>
        <w:widowControl/>
        <w:numPr>
          <w:ilvl w:val="0"/>
          <w:numId w:val="17"/>
        </w:numPr>
        <w:tabs>
          <w:tab w:val="clear" w:pos="1440"/>
        </w:tabs>
        <w:rPr>
          <w:rFonts w:eastAsia="MS Mincho"/>
        </w:rPr>
      </w:pPr>
      <w:r>
        <w:rPr>
          <w:rFonts w:eastAsia="MS Mincho"/>
        </w:rPr>
        <w:t>Payment by wire transfer must</w:t>
      </w:r>
      <w:r w:rsidRPr="00626BA2">
        <w:rPr>
          <w:rFonts w:eastAsia="MS Mincho"/>
        </w:rPr>
        <w:t xml:space="preserve"> be made to ABA Number 021030004, receiving bank TREAS/NYC, and Account Number 27000001.  </w:t>
      </w:r>
      <w:r>
        <w:rPr>
          <w:rFonts w:eastAsia="MS Mincho"/>
        </w:rPr>
        <w:t xml:space="preserve">To complete the wire transfer and ensure appropriate crediting of the wired funds, a </w:t>
      </w:r>
      <w:r w:rsidRPr="00626BA2">
        <w:rPr>
          <w:rFonts w:eastAsia="MS Mincho"/>
        </w:rPr>
        <w:t>completed Form 159 must be faxed to U.S. Bank at (314) 418-4232</w:t>
      </w:r>
      <w:r>
        <w:rPr>
          <w:rFonts w:eastAsia="MS Mincho"/>
        </w:rPr>
        <w:t xml:space="preserve"> on</w:t>
      </w:r>
      <w:r w:rsidRPr="00626BA2">
        <w:rPr>
          <w:rFonts w:eastAsia="MS Mincho"/>
        </w:rPr>
        <w:t xml:space="preserve"> the same business day </w:t>
      </w:r>
      <w:r>
        <w:rPr>
          <w:rFonts w:eastAsia="MS Mincho"/>
        </w:rPr>
        <w:t>the wire transfer is initiated</w:t>
      </w:r>
      <w:r w:rsidRPr="00626BA2">
        <w:rPr>
          <w:rFonts w:eastAsia="MS Mincho"/>
        </w:rPr>
        <w:t>.</w:t>
      </w:r>
      <w:r>
        <w:rPr>
          <w:rFonts w:eastAsia="MS Mincho"/>
        </w:rPr>
        <w:t xml:space="preserve"> </w:t>
      </w:r>
      <w:r w:rsidRPr="00626BA2">
        <w:rPr>
          <w:rFonts w:eastAsia="MS Mincho"/>
        </w:rPr>
        <w:t xml:space="preserve"> </w:t>
      </w:r>
    </w:p>
    <w:p w:rsidR="00215253" w:rsidRPr="00626BA2" w:rsidRDefault="00215253" w:rsidP="00C46B1F">
      <w:pPr>
        <w:pStyle w:val="ParaNum0"/>
        <w:widowControl/>
        <w:numPr>
          <w:ilvl w:val="0"/>
          <w:numId w:val="17"/>
        </w:numPr>
        <w:tabs>
          <w:tab w:val="clear" w:pos="1440"/>
        </w:tabs>
        <w:rPr>
          <w:rFonts w:eastAsia="MS Mincho"/>
        </w:rPr>
      </w:pPr>
      <w:r>
        <w:rPr>
          <w:rFonts w:eastAsia="MS Mincho"/>
        </w:rPr>
        <w:t>Payment by credit card must</w:t>
      </w:r>
      <w:r w:rsidRPr="00626BA2">
        <w:rPr>
          <w:rFonts w:eastAsia="MS Mincho"/>
        </w:rPr>
        <w:t xml:space="preserve"> be made by providing the required credit card information on FCC Form 159 and signing</w:t>
      </w:r>
      <w:r>
        <w:rPr>
          <w:rFonts w:eastAsia="MS Mincho"/>
        </w:rPr>
        <w:t xml:space="preserve"> </w:t>
      </w:r>
      <w:r w:rsidRPr="00626BA2">
        <w:rPr>
          <w:rFonts w:eastAsia="MS Mincho"/>
        </w:rPr>
        <w:t>and dating</w:t>
      </w:r>
      <w:r>
        <w:rPr>
          <w:rFonts w:eastAsia="MS Mincho"/>
        </w:rPr>
        <w:t xml:space="preserve"> </w:t>
      </w:r>
      <w:r w:rsidRPr="00626BA2">
        <w:rPr>
          <w:rFonts w:eastAsia="MS Mincho"/>
        </w:rPr>
        <w:t>the Form 159 to authorize</w:t>
      </w:r>
      <w:r>
        <w:rPr>
          <w:rFonts w:eastAsia="MS Mincho"/>
        </w:rPr>
        <w:t xml:space="preserve"> </w:t>
      </w:r>
      <w:r w:rsidRPr="00626BA2">
        <w:rPr>
          <w:rFonts w:eastAsia="MS Mincho"/>
        </w:rPr>
        <w:t>the credit card payment.</w:t>
      </w:r>
      <w:r>
        <w:rPr>
          <w:rFonts w:eastAsia="MS Mincho"/>
        </w:rPr>
        <w:t xml:space="preserve">   </w:t>
      </w:r>
      <w:r w:rsidRPr="00626BA2">
        <w:rPr>
          <w:rFonts w:eastAsia="MS Mincho"/>
        </w:rPr>
        <w:t xml:space="preserve">The completed Form 159 </w:t>
      </w:r>
      <w:r>
        <w:rPr>
          <w:rFonts w:eastAsia="MS Mincho"/>
        </w:rPr>
        <w:t>must</w:t>
      </w:r>
      <w:r w:rsidRPr="00626BA2">
        <w:rPr>
          <w:rFonts w:eastAsia="MS Mincho"/>
        </w:rPr>
        <w:t xml:space="preserve"> then be mailed to Federal Communications Commission, P.O. Box 979088, St. Louis, MO 63197-9000, </w:t>
      </w:r>
      <w:r>
        <w:rPr>
          <w:rFonts w:eastAsia="MS Mincho"/>
        </w:rPr>
        <w:t xml:space="preserve">or </w:t>
      </w:r>
      <w:r w:rsidRPr="00626BA2">
        <w:rPr>
          <w:rFonts w:eastAsia="MS Mincho"/>
        </w:rPr>
        <w:t>sent via</w:t>
      </w:r>
      <w:r>
        <w:rPr>
          <w:rFonts w:eastAsia="MS Mincho"/>
        </w:rPr>
        <w:t xml:space="preserve"> </w:t>
      </w:r>
      <w:r w:rsidRPr="00626BA2">
        <w:rPr>
          <w:rFonts w:eastAsia="MS Mincho"/>
        </w:rPr>
        <w:t>overnight mail</w:t>
      </w:r>
      <w:r>
        <w:rPr>
          <w:rFonts w:eastAsia="MS Mincho"/>
        </w:rPr>
        <w:t xml:space="preserve"> </w:t>
      </w:r>
      <w:r w:rsidRPr="00626BA2">
        <w:rPr>
          <w:rFonts w:eastAsia="MS Mincho"/>
        </w:rPr>
        <w:t xml:space="preserve">to U.S. Bank – Government Lockbox #979088, SL-MO-C2-GL, 1005 Convention Plaza, St. Louis, MO 63101. </w:t>
      </w:r>
    </w:p>
    <w:p w:rsidR="009A72D2" w:rsidRDefault="00215253" w:rsidP="00C46B1F">
      <w:pPr>
        <w:pStyle w:val="ParaNum0"/>
        <w:widowControl/>
        <w:numPr>
          <w:ilvl w:val="0"/>
          <w:numId w:val="0"/>
        </w:numPr>
        <w:rPr>
          <w:rFonts w:eastAsia="MS Mincho"/>
        </w:rPr>
      </w:pPr>
      <w:r w:rsidRPr="00626BA2">
        <w:rPr>
          <w:rFonts w:eastAsia="MS Mincho"/>
        </w:rPr>
        <w:t>If you have questions regarding payment procedures, please contact the Financial Operations Group Help Desk by phone,</w:t>
      </w:r>
      <w:r>
        <w:rPr>
          <w:rFonts w:eastAsia="MS Mincho"/>
        </w:rPr>
        <w:t xml:space="preserve"> </w:t>
      </w:r>
      <w:r w:rsidRPr="00626BA2">
        <w:rPr>
          <w:rFonts w:eastAsia="MS Mincho"/>
        </w:rPr>
        <w:t>1-877-480-3201, or</w:t>
      </w:r>
      <w:r>
        <w:rPr>
          <w:rFonts w:eastAsia="MS Mincho"/>
        </w:rPr>
        <w:t xml:space="preserve"> </w:t>
      </w:r>
      <w:r w:rsidRPr="00626BA2">
        <w:rPr>
          <w:rFonts w:eastAsia="MS Mincho"/>
        </w:rPr>
        <w:t>by e</w:t>
      </w:r>
      <w:r>
        <w:rPr>
          <w:rFonts w:eastAsia="MS Mincho"/>
        </w:rPr>
        <w:noBreakHyphen/>
      </w:r>
      <w:r w:rsidRPr="00626BA2">
        <w:rPr>
          <w:rFonts w:eastAsia="MS Mincho"/>
        </w:rPr>
        <w:t>mail,</w:t>
      </w:r>
      <w:r>
        <w:rPr>
          <w:rFonts w:eastAsia="MS Mincho"/>
        </w:rPr>
        <w:t xml:space="preserve"> </w:t>
      </w:r>
      <w:hyperlink r:id="rId19" w:history="1">
        <w:r w:rsidRPr="00283776">
          <w:rPr>
            <w:rStyle w:val="Hyperlink"/>
            <w:rFonts w:eastAsia="MS Mincho" w:cs="Arial"/>
          </w:rPr>
          <w:t>ARINQUIRIES@fcc.gov</w:t>
        </w:r>
      </w:hyperlink>
      <w:r w:rsidRPr="00626BA2">
        <w:rPr>
          <w:rFonts w:eastAsia="MS Mincho"/>
        </w:rPr>
        <w:t>.</w:t>
      </w:r>
      <w:r w:rsidR="009A72D2">
        <w:rPr>
          <w:rFonts w:eastAsia="MS Mincho"/>
        </w:rPr>
        <w:t xml:space="preserve"> </w:t>
      </w:r>
    </w:p>
    <w:p w:rsidR="00215253" w:rsidRDefault="009A72D2" w:rsidP="00C46B1F">
      <w:pPr>
        <w:pStyle w:val="ParaNum0"/>
        <w:widowControl/>
        <w:rPr>
          <w:rFonts w:eastAsia="MS Mincho"/>
        </w:rPr>
      </w:pPr>
      <w:r w:rsidRPr="006A2C72">
        <w:rPr>
          <w:b/>
          <w:u w:val="single"/>
        </w:rPr>
        <w:t>Event of Default by Nonpayment</w:t>
      </w:r>
      <w:r>
        <w:t xml:space="preserve">.  John David </w:t>
      </w:r>
      <w:r w:rsidR="00167750">
        <w:t xml:space="preserve">and each Company </w:t>
      </w:r>
      <w:r w:rsidR="002D315F">
        <w:t>agree that</w:t>
      </w:r>
      <w:r>
        <w:t xml:space="preserve"> an Event of Default by Nonpayment shall occur upon the failure by </w:t>
      </w:r>
      <w:r w:rsidR="00167750">
        <w:t>them</w:t>
      </w:r>
      <w:r>
        <w:t xml:space="preserve"> to pay the full amount of the Voluntary Contribution on or before the due date specified in this Consent Decree.  John David </w:t>
      </w:r>
      <w:r w:rsidR="00167750">
        <w:t xml:space="preserve">and each Company </w:t>
      </w:r>
      <w:r>
        <w:t xml:space="preserve">further agree to toll and/or revive any applicable statutes of limitations for any and all possible violations that form the basis of the Investigation such that, upon an Event of Default by Nonpayment, the statutes of limitations shall expire six (6) months after the date of default by nonpayment.  Further, upon an Event of Default for Nonpayment, the provisions of paragraph </w:t>
      </w:r>
      <w:r w:rsidR="00E2264A">
        <w:t>9</w:t>
      </w:r>
      <w:r>
        <w:t xml:space="preserve"> shall be null and void.</w:t>
      </w:r>
    </w:p>
    <w:p w:rsidR="005A3822" w:rsidRDefault="009008B5" w:rsidP="00C46B1F">
      <w:pPr>
        <w:pStyle w:val="ParaNum0"/>
        <w:widowControl/>
      </w:pPr>
      <w:r w:rsidRPr="009F3455">
        <w:rPr>
          <w:b/>
          <w:bCs/>
          <w:u w:val="single"/>
        </w:rPr>
        <w:t>Interest</w:t>
      </w:r>
      <w:r w:rsidR="00F76F25">
        <w:rPr>
          <w:b/>
          <w:bCs/>
          <w:u w:val="single"/>
        </w:rPr>
        <w:t xml:space="preserve"> and</w:t>
      </w:r>
      <w:r w:rsidRPr="009F3455">
        <w:rPr>
          <w:b/>
          <w:bCs/>
          <w:u w:val="single"/>
        </w:rPr>
        <w:t xml:space="preserve"> Charges for Collection</w:t>
      </w:r>
      <w:r w:rsidR="00533791">
        <w:t>.</w:t>
      </w:r>
      <w:r w:rsidR="00962C39">
        <w:t xml:space="preserve">  </w:t>
      </w:r>
      <w:r w:rsidR="006C4844">
        <w:t xml:space="preserve">Upon an Event of Default by Nonpayment under this Consent Decree, the then unpaid amount of the </w:t>
      </w:r>
      <w:r w:rsidR="001D7B3C">
        <w:t>V</w:t>
      </w:r>
      <w:r w:rsidR="006C4844">
        <w:t xml:space="preserve">oluntary </w:t>
      </w:r>
      <w:r w:rsidR="001D7B3C">
        <w:t>C</w:t>
      </w:r>
      <w:r w:rsidR="006C4844">
        <w:t xml:space="preserve">ontribution shall accrue interest, computed using the U.S. Prime Rate in effect on the date of the Event of Default by Nonpayment plus 4.75%, from the date of the Event of Default by Nonpayment until payment in full.  Upon an Event of Default by Nonpayment, the then unpaid amount of the </w:t>
      </w:r>
      <w:r w:rsidR="001D7B3C">
        <w:t>V</w:t>
      </w:r>
      <w:r w:rsidR="00AB797D">
        <w:t xml:space="preserve">oluntary </w:t>
      </w:r>
      <w:r w:rsidR="001D7B3C">
        <w:t>C</w:t>
      </w:r>
      <w:r w:rsidR="006C4844">
        <w:t xml:space="preserve">ontribution together with interest, as aforesaid, any penalties permitted and/or required by the law, including but not limited to 31 U.S.C. § 3717 and administrative charge(s), plus the costs of collection, litigation, and attorneys’ fees, is accelerated and shall become immediately due and payable, without notice, presentment, demand, protest, or notice of protest of any kind, all of which are waived by </w:t>
      </w:r>
      <w:r w:rsidR="00E45047">
        <w:t>John David</w:t>
      </w:r>
      <w:r w:rsidR="00167750">
        <w:t xml:space="preserve"> and each Company</w:t>
      </w:r>
      <w:r w:rsidR="00560215">
        <w:t xml:space="preserve">. </w:t>
      </w:r>
    </w:p>
    <w:p w:rsidR="00387632" w:rsidRPr="003260CC" w:rsidRDefault="00387632" w:rsidP="00DA54CF">
      <w:pPr>
        <w:pStyle w:val="ParaNum0"/>
        <w:widowControl/>
      </w:pPr>
      <w:r w:rsidRPr="003260CC">
        <w:rPr>
          <w:b/>
          <w:u w:val="single"/>
        </w:rPr>
        <w:t>Representations</w:t>
      </w:r>
      <w:r w:rsidRPr="009F3455">
        <w:t xml:space="preserve">.  </w:t>
      </w:r>
      <w:r w:rsidR="003260CC">
        <w:rPr>
          <w:szCs w:val="22"/>
        </w:rPr>
        <w:t xml:space="preserve">John David and each Company represent that they are not engaged in any activity that is subject to oversight by the Commission, including activities involving faxing Advertisements.  John David and each Company acknowledge that sending Advertisements by facsimile is unlawful, unless they have </w:t>
      </w:r>
      <w:r w:rsidR="003260CC">
        <w:rPr>
          <w:color w:val="000000"/>
          <w:szCs w:val="22"/>
        </w:rPr>
        <w:t xml:space="preserve">an EBR with the recipient and they obtained the facsimile number from the recipient through voluntary communication in the context of an EBR, or from a directory, advertisement, or website through which the recipient voluntarily agreed to make its facsimile number available for public distribution; and, the facsimile Advertisement notifies the recipient in accordance </w:t>
      </w:r>
      <w:r w:rsidR="000D2531">
        <w:rPr>
          <w:color w:val="000000"/>
          <w:szCs w:val="22"/>
        </w:rPr>
        <w:t xml:space="preserve">with </w:t>
      </w:r>
      <w:r w:rsidR="003260CC">
        <w:rPr>
          <w:color w:val="000000"/>
          <w:szCs w:val="22"/>
        </w:rPr>
        <w:t xml:space="preserve">the Unsolicited Facsimile Rules how to opt out of receiving future such Advertisements.  John David and each Company </w:t>
      </w:r>
      <w:r w:rsidR="003260CC">
        <w:rPr>
          <w:szCs w:val="22"/>
        </w:rPr>
        <w:t>hereby waive their right to send Advertisements by facsimile unless they satisfy the requirements of the Unsolicited Facsimile Rules and this Consent Decree, including the adoption of the Compliance Plan. </w:t>
      </w:r>
    </w:p>
    <w:p w:rsidR="00C74243" w:rsidRPr="00C74243" w:rsidRDefault="00A17A3B" w:rsidP="00DA54CF">
      <w:pPr>
        <w:pStyle w:val="ParaNum0"/>
        <w:widowControl/>
      </w:pPr>
      <w:r w:rsidRPr="003260CC">
        <w:rPr>
          <w:b/>
          <w:u w:val="single"/>
        </w:rPr>
        <w:t>Waiver</w:t>
      </w:r>
      <w:r w:rsidRPr="009F3455">
        <w:rPr>
          <w:b/>
          <w:u w:val="single"/>
        </w:rPr>
        <w:t>s</w:t>
      </w:r>
      <w:r w:rsidRPr="009F3455">
        <w:t xml:space="preserve">.  </w:t>
      </w:r>
      <w:r w:rsidR="00E45047">
        <w:t xml:space="preserve">John David </w:t>
      </w:r>
      <w:r w:rsidR="00167750">
        <w:t xml:space="preserve">and each Company </w:t>
      </w:r>
      <w:r w:rsidRPr="009F3455">
        <w:t>waive any and all rights</w:t>
      </w:r>
      <w:r w:rsidR="006E214C">
        <w:t xml:space="preserve"> </w:t>
      </w:r>
      <w:r w:rsidR="00167750">
        <w:t xml:space="preserve">they </w:t>
      </w:r>
      <w:r w:rsidRPr="009F3455">
        <w:t xml:space="preserve">may have to seek administrative or judicial reconsideration, review, appeal, or stay, or to otherwise challenge or contest the validity of this Consent Decree and the Adopting Order, provided the Bureau issues </w:t>
      </w:r>
      <w:r w:rsidR="00327CC3">
        <w:t xml:space="preserve">the Adopting Order.  </w:t>
      </w:r>
      <w:r w:rsidRPr="009F3455">
        <w:t xml:space="preserve">If </w:t>
      </w:r>
      <w:r w:rsidR="00167750">
        <w:t>any</w:t>
      </w:r>
      <w:r w:rsidR="00167750" w:rsidRPr="009F3455">
        <w:t xml:space="preserve"> </w:t>
      </w:r>
      <w:r w:rsidRPr="009F3455">
        <w:t xml:space="preserve">Party (or the United States on behalf of the Commission) brings a judicial action to enforce the terms of the Adopting Order or Consent Decree, neither </w:t>
      </w:r>
      <w:r w:rsidR="00167750">
        <w:t>that Party</w:t>
      </w:r>
      <w:r w:rsidR="00A62D39">
        <w:t xml:space="preserve"> </w:t>
      </w:r>
      <w:r w:rsidRPr="009F3455">
        <w:t xml:space="preserve">nor the Commission shall contest the validity of the Consent Decree or the Adopting Order, and </w:t>
      </w:r>
      <w:r w:rsidR="00E45047">
        <w:t>John David</w:t>
      </w:r>
      <w:r w:rsidR="00A62D39">
        <w:t xml:space="preserve"> </w:t>
      </w:r>
      <w:r w:rsidR="00167750">
        <w:t xml:space="preserve">and each Company </w:t>
      </w:r>
      <w:r w:rsidRPr="009F3455">
        <w:t>shall waive any statutory right to a trial</w:t>
      </w:r>
      <w:r w:rsidRPr="00A203A3">
        <w:rPr>
          <w:i/>
        </w:rPr>
        <w:t xml:space="preserve"> de nov</w:t>
      </w:r>
      <w:r w:rsidRPr="009F3455">
        <w:rPr>
          <w:i/>
        </w:rPr>
        <w:t>o</w:t>
      </w:r>
      <w:r w:rsidRPr="009F3455">
        <w:t xml:space="preserve">.  </w:t>
      </w:r>
      <w:r w:rsidR="00E45047">
        <w:t xml:space="preserve">John David </w:t>
      </w:r>
      <w:r w:rsidR="00167750">
        <w:t xml:space="preserve">and each Company </w:t>
      </w:r>
      <w:r w:rsidRPr="009F3455">
        <w:t xml:space="preserve">hereby waive any claims </w:t>
      </w:r>
      <w:r w:rsidR="00167750">
        <w:t>they</w:t>
      </w:r>
      <w:r w:rsidR="00167750" w:rsidRPr="009F3455">
        <w:t xml:space="preserve"> </w:t>
      </w:r>
      <w:r w:rsidRPr="009F3455">
        <w:t>may otherwise have under the Equal Access to Justice Act, 5 U.S.C. § 504 and 47 C.F.R. § 1.1501</w:t>
      </w:r>
      <w:r w:rsidRPr="00A203A3">
        <w:rPr>
          <w:i/>
        </w:rPr>
        <w:t xml:space="preserve"> et se</w:t>
      </w:r>
      <w:r w:rsidRPr="009F3455">
        <w:rPr>
          <w:i/>
        </w:rPr>
        <w:t>q</w:t>
      </w:r>
      <w:r w:rsidRPr="009F3455">
        <w:t>., relating to the matters addressed in this Consent Decree</w:t>
      </w:r>
      <w:bookmarkStart w:id="2" w:name="OLE_LINK2"/>
      <w:bookmarkEnd w:id="2"/>
      <w:r w:rsidR="005A3822" w:rsidRPr="009F3455">
        <w:t>.</w:t>
      </w:r>
      <w:bookmarkStart w:id="3" w:name="SR;2972"/>
      <w:bookmarkStart w:id="4" w:name="SR;2973"/>
      <w:bookmarkStart w:id="5" w:name="SR;2974"/>
      <w:bookmarkEnd w:id="3"/>
      <w:bookmarkEnd w:id="4"/>
      <w:bookmarkEnd w:id="5"/>
      <w:r w:rsidR="00387632">
        <w:t xml:space="preserve"> </w:t>
      </w:r>
      <w:r w:rsidR="00DA54CF">
        <w:t xml:space="preserve"> </w:t>
      </w:r>
    </w:p>
    <w:p w:rsidR="00B23301" w:rsidRPr="009F3455" w:rsidRDefault="00B23301" w:rsidP="00C46B1F">
      <w:pPr>
        <w:pStyle w:val="ParaNum0"/>
        <w:widowControl/>
      </w:pPr>
      <w:r w:rsidRPr="00D77E2C">
        <w:rPr>
          <w:b/>
          <w:szCs w:val="22"/>
          <w:u w:val="single"/>
        </w:rPr>
        <w:t>Severability</w:t>
      </w:r>
      <w:r w:rsidRPr="00D77E2C">
        <w:rPr>
          <w:szCs w:val="22"/>
        </w:rPr>
        <w:t xml:space="preserve">. </w:t>
      </w:r>
      <w:bookmarkStart w:id="6" w:name="SearchTerm"/>
      <w:r w:rsidRPr="00D77E2C">
        <w:rPr>
          <w:szCs w:val="22"/>
        </w:rPr>
        <w:t xml:space="preserve"> The Parties agree that if </w:t>
      </w:r>
      <w:r w:rsidR="009331A3">
        <w:rPr>
          <w:szCs w:val="22"/>
        </w:rPr>
        <w:t xml:space="preserve">a court of competent jurisdiction renders </w:t>
      </w:r>
      <w:r w:rsidRPr="00D77E2C">
        <w:rPr>
          <w:szCs w:val="22"/>
        </w:rPr>
        <w:t xml:space="preserve">any of the provisions of the Adopting Order or the Consent Decree invalid or unenforceable, such invalidity or unenforceability shall not invalidate or render unenforceable the entire Adopting Order or Consent Decree, but rather the entire Adopting Order or Consent Decree shall be construed as if not containing the particular invalid or unenforceable provision or provisions, and the rights and obligations of the Parties shall be construed and enforced accordingly.  In the event that this Consent Decree </w:t>
      </w:r>
      <w:bookmarkEnd w:id="6"/>
      <w:r w:rsidRPr="00D77E2C">
        <w:rPr>
          <w:szCs w:val="22"/>
        </w:rPr>
        <w:t>in its entirety is rendered invalid by any court of competent jurisdiction, it shall become null and void and may not be used in any manner in any legal proceeding</w:t>
      </w:r>
    </w:p>
    <w:p w:rsidR="00215253" w:rsidRPr="00215253" w:rsidRDefault="00A17A3B" w:rsidP="00C46B1F">
      <w:pPr>
        <w:pStyle w:val="ParaNum0"/>
        <w:widowControl/>
      </w:pPr>
      <w:r w:rsidRPr="009F3455">
        <w:rPr>
          <w:b/>
          <w:u w:val="single"/>
        </w:rPr>
        <w:t>Subsequent Rule or Order</w:t>
      </w:r>
      <w:r w:rsidRPr="009F3455">
        <w:t>.  The Parties agree that if any provision of this Consent Decree</w:t>
      </w:r>
      <w:r w:rsidR="0098370A" w:rsidRPr="009F3455">
        <w:t xml:space="preserve"> conflicts with any subsequent </w:t>
      </w:r>
      <w:r w:rsidR="0077598A">
        <w:t>R</w:t>
      </w:r>
      <w:r w:rsidRPr="009F3455">
        <w:t>ule or order adopted by the Commission (except an order specifically intended to revise the terms of this Consent Decree to which</w:t>
      </w:r>
      <w:r w:rsidR="00167750">
        <w:t xml:space="preserve"> neither</w:t>
      </w:r>
      <w:r w:rsidRPr="009F3455">
        <w:t xml:space="preserve"> </w:t>
      </w:r>
      <w:r w:rsidR="0099423D">
        <w:t xml:space="preserve">John David </w:t>
      </w:r>
      <w:r w:rsidR="00167750">
        <w:t xml:space="preserve">nor any Company </w:t>
      </w:r>
      <w:r w:rsidRPr="009F3455">
        <w:t>expressly consent</w:t>
      </w:r>
      <w:r w:rsidR="00167750">
        <w:t>s</w:t>
      </w:r>
      <w:r w:rsidRPr="009F3455">
        <w:t xml:space="preserve">), </w:t>
      </w:r>
      <w:r w:rsidR="009F00E4" w:rsidRPr="009F3455">
        <w:t>that provision shall be</w:t>
      </w:r>
      <w:r w:rsidR="0099423D">
        <w:t xml:space="preserve"> suspended </w:t>
      </w:r>
      <w:r w:rsidR="009F00E4" w:rsidRPr="009F3455">
        <w:t xml:space="preserve">by such Commission </w:t>
      </w:r>
      <w:r w:rsidR="0077598A">
        <w:t>R</w:t>
      </w:r>
      <w:r w:rsidR="009F00E4" w:rsidRPr="009F3455">
        <w:t xml:space="preserve">ule or order. </w:t>
      </w:r>
      <w:r w:rsidRPr="009F3455">
        <w:t xml:space="preserve">  </w:t>
      </w:r>
    </w:p>
    <w:p w:rsidR="005A3822" w:rsidRPr="009F3455" w:rsidRDefault="00A17A3B" w:rsidP="00C46B1F">
      <w:pPr>
        <w:pStyle w:val="ParaNum0"/>
        <w:widowControl/>
      </w:pPr>
      <w:r w:rsidRPr="009F3455">
        <w:rPr>
          <w:b/>
          <w:u w:val="single"/>
        </w:rPr>
        <w:t>Successors and Assigns</w:t>
      </w:r>
      <w:r w:rsidRPr="009F3455">
        <w:t xml:space="preserve">.  </w:t>
      </w:r>
      <w:r w:rsidR="007C0606">
        <w:t xml:space="preserve">John David </w:t>
      </w:r>
      <w:r w:rsidR="00167750">
        <w:t xml:space="preserve">and each Company </w:t>
      </w:r>
      <w:r w:rsidRPr="009F3455">
        <w:t xml:space="preserve">agree that the provisions of this Consent Decree shall be binding on </w:t>
      </w:r>
      <w:r w:rsidR="00167750">
        <w:t>them</w:t>
      </w:r>
      <w:r w:rsidR="004D29AD">
        <w:t xml:space="preserve">, and their </w:t>
      </w:r>
      <w:r w:rsidRPr="009F3455">
        <w:t>successors, assigns, and transferees.</w:t>
      </w:r>
    </w:p>
    <w:p w:rsidR="00CE7CA0" w:rsidRPr="009F3455" w:rsidRDefault="00A17A3B" w:rsidP="00C46B1F">
      <w:pPr>
        <w:pStyle w:val="ParaNum0"/>
        <w:widowControl/>
      </w:pPr>
      <w:r w:rsidRPr="009F3455">
        <w:rPr>
          <w:b/>
          <w:u w:val="single"/>
        </w:rPr>
        <w:t>Final Settlement</w:t>
      </w:r>
      <w:r w:rsidRPr="009F3455">
        <w:t>.  The Parties agree and acknowledge that this Consent Decree shall constitute a final settlement between the Parties</w:t>
      </w:r>
      <w:r w:rsidR="009C104D" w:rsidRPr="009F3455">
        <w:t xml:space="preserve">.  </w:t>
      </w:r>
      <w:r w:rsidR="00CE7CA0" w:rsidRPr="009F3455">
        <w:t>The Parties further agree that this Consent Decree does not constitute either an adjudication on the merits or a factual or legal finding or determination regarding any compliance or non</w:t>
      </w:r>
      <w:r w:rsidR="000B5B2D">
        <w:t>-</w:t>
      </w:r>
      <w:r w:rsidR="00CE7CA0" w:rsidRPr="009F3455">
        <w:t>compliance with the Communications Laws.</w:t>
      </w:r>
    </w:p>
    <w:p w:rsidR="005A3822" w:rsidRPr="009F3455" w:rsidRDefault="00A17A3B" w:rsidP="00C46B1F">
      <w:pPr>
        <w:pStyle w:val="ParaNum0"/>
        <w:widowControl/>
      </w:pPr>
      <w:r w:rsidRPr="009F3455">
        <w:rPr>
          <w:b/>
          <w:u w:val="single"/>
        </w:rPr>
        <w:t>Modifications</w:t>
      </w:r>
      <w:r w:rsidRPr="009F3455">
        <w:t>.  This Consent Decree cannot be modified or amended without the advance written consent of both Parties.</w:t>
      </w:r>
    </w:p>
    <w:p w:rsidR="005A3822" w:rsidRPr="009F3455" w:rsidRDefault="00A17A3B" w:rsidP="00C46B1F">
      <w:pPr>
        <w:pStyle w:val="ParaNum0"/>
        <w:widowControl/>
      </w:pPr>
      <w:r w:rsidRPr="009F3455">
        <w:rPr>
          <w:b/>
          <w:u w:val="single"/>
        </w:rPr>
        <w:t>Paragraph Headings</w:t>
      </w:r>
      <w:r w:rsidRPr="009F3455">
        <w:t>.  The headings of the paragraphs in this Consent Decree are inserted for convenience only and are not intended to affect the meaning or interpretation of this Consent Decree.</w:t>
      </w:r>
    </w:p>
    <w:p w:rsidR="00912929" w:rsidRPr="00912929" w:rsidRDefault="00A17A3B" w:rsidP="00C46B1F">
      <w:pPr>
        <w:pStyle w:val="ParaNum0"/>
        <w:widowControl/>
      </w:pPr>
      <w:r w:rsidRPr="009F3455">
        <w:rPr>
          <w:b/>
          <w:u w:val="single"/>
        </w:rPr>
        <w:t>Authorized Representative</w:t>
      </w:r>
      <w:r w:rsidRPr="009F3455">
        <w:t xml:space="preserve">.  </w:t>
      </w:r>
      <w:r w:rsidR="00B57EC8">
        <w:t>John David represents and agrees that he</w:t>
      </w:r>
      <w:r w:rsidR="007C0606">
        <w:t xml:space="preserve"> </w:t>
      </w:r>
      <w:r w:rsidR="000B5B2D">
        <w:t xml:space="preserve">is signing </w:t>
      </w:r>
      <w:r w:rsidR="00B57EC8">
        <w:t xml:space="preserve">this Consent Decree in </w:t>
      </w:r>
      <w:r w:rsidR="007C0606">
        <w:t xml:space="preserve">his personal capacity and </w:t>
      </w:r>
      <w:r w:rsidR="00BA5695" w:rsidRPr="009F3455">
        <w:t xml:space="preserve">on behalf of </w:t>
      </w:r>
      <w:r w:rsidR="00B57EC8">
        <w:t xml:space="preserve">each Company, </w:t>
      </w:r>
      <w:r w:rsidR="00BA5695" w:rsidRPr="009F3455">
        <w:t xml:space="preserve">and warrants that he is authorized by </w:t>
      </w:r>
      <w:r w:rsidR="00B57EC8">
        <w:t>such</w:t>
      </w:r>
      <w:r w:rsidR="00BA5695" w:rsidRPr="009F3455">
        <w:rPr>
          <w:szCs w:val="22"/>
        </w:rPr>
        <w:t xml:space="preserve"> </w:t>
      </w:r>
      <w:r w:rsidR="00BA5695" w:rsidRPr="009F3455">
        <w:t xml:space="preserve">to execute this Consent Decree and to bind </w:t>
      </w:r>
      <w:r w:rsidR="00B57EC8">
        <w:t>each Company</w:t>
      </w:r>
      <w:r w:rsidR="00BA5695" w:rsidRPr="009F3455">
        <w:t xml:space="preserve"> to the obligations</w:t>
      </w:r>
      <w:r w:rsidR="00B57EC8">
        <w:t xml:space="preserve"> this Consent Decree imposes on it</w:t>
      </w:r>
      <w:r w:rsidR="00BA5695" w:rsidRPr="009F3455">
        <w:t>.  The FCC signatory represents that she is signing this Consent Decree in her official capacity and that she is authorized to execute this Consent Decree.</w:t>
      </w:r>
    </w:p>
    <w:p w:rsidR="00A17A3B" w:rsidRPr="009F3455" w:rsidRDefault="00A17A3B" w:rsidP="00C46B1F">
      <w:pPr>
        <w:pStyle w:val="ParaNum0"/>
        <w:widowControl/>
      </w:pPr>
      <w:r w:rsidRPr="009F3455">
        <w:rPr>
          <w:b/>
          <w:u w:val="single"/>
        </w:rPr>
        <w:t>Counterparts</w:t>
      </w:r>
      <w:r w:rsidRPr="009F3455">
        <w:t>.  This Consent Decree may be signed in any number of counterparts (including by facsimile), each of which, when executed and delivered, shall be an original, and all of which counterparts together shall constitute one and the same fully executed instrument.</w:t>
      </w:r>
    </w:p>
    <w:p w:rsidR="00820406" w:rsidRPr="009F3455" w:rsidRDefault="00820406" w:rsidP="00C46B1F">
      <w:pPr>
        <w:keepNext/>
        <w:widowControl/>
        <w:rPr>
          <w:szCs w:val="22"/>
        </w:rPr>
      </w:pPr>
    </w:p>
    <w:p w:rsidR="00A17A3B" w:rsidRPr="009F3455" w:rsidRDefault="00A66336" w:rsidP="00C46B1F">
      <w:pPr>
        <w:keepNext/>
        <w:widowControl/>
        <w:rPr>
          <w:szCs w:val="22"/>
        </w:rPr>
      </w:pPr>
      <w:r w:rsidRPr="009F3455">
        <w:rPr>
          <w:szCs w:val="22"/>
        </w:rPr>
        <w:t>For:  Federal Communications Commission</w:t>
      </w:r>
    </w:p>
    <w:p w:rsidR="00A17A3B" w:rsidRPr="009F3455" w:rsidRDefault="00A17A3B" w:rsidP="00C46B1F">
      <w:pPr>
        <w:keepNext/>
        <w:widowControl/>
        <w:rPr>
          <w:szCs w:val="22"/>
        </w:rPr>
      </w:pPr>
    </w:p>
    <w:p w:rsidR="00A17A3B" w:rsidRPr="009F3455" w:rsidRDefault="00A17A3B" w:rsidP="00C46B1F">
      <w:pPr>
        <w:keepNext/>
        <w:widowControl/>
        <w:rPr>
          <w:szCs w:val="22"/>
        </w:rPr>
      </w:pPr>
    </w:p>
    <w:p w:rsidR="00364C2D" w:rsidRPr="009F3455" w:rsidRDefault="00364C2D" w:rsidP="00C46B1F">
      <w:pPr>
        <w:keepNext/>
        <w:widowControl/>
        <w:rPr>
          <w:szCs w:val="22"/>
          <w:lang w:val="fr-FR"/>
        </w:rPr>
      </w:pPr>
    </w:p>
    <w:p w:rsidR="00A17A3B" w:rsidRPr="009F3455" w:rsidRDefault="00A17A3B" w:rsidP="00C46B1F">
      <w:pPr>
        <w:keepNext/>
        <w:widowControl/>
        <w:rPr>
          <w:szCs w:val="22"/>
          <w:lang w:val="fr-FR"/>
        </w:rPr>
      </w:pPr>
      <w:r w:rsidRPr="009F3455">
        <w:rPr>
          <w:szCs w:val="22"/>
          <w:lang w:val="fr-FR"/>
        </w:rPr>
        <w:t>_________________________________________</w:t>
      </w:r>
    </w:p>
    <w:p w:rsidR="00A17A3B" w:rsidRPr="009F3455" w:rsidRDefault="005B4565" w:rsidP="00C46B1F">
      <w:pPr>
        <w:keepNext/>
        <w:widowControl/>
        <w:outlineLvl w:val="0"/>
        <w:rPr>
          <w:szCs w:val="22"/>
          <w:lang w:val="fr-FR"/>
        </w:rPr>
      </w:pPr>
      <w:r w:rsidRPr="009F3455">
        <w:rPr>
          <w:szCs w:val="22"/>
          <w:lang w:val="fr-FR"/>
        </w:rPr>
        <w:t xml:space="preserve">P. Michele Ellison </w:t>
      </w:r>
      <w:r w:rsidR="00A66336" w:rsidRPr="009F3455">
        <w:rPr>
          <w:szCs w:val="22"/>
          <w:lang w:val="fr-FR"/>
        </w:rPr>
        <w:t xml:space="preserve"> </w:t>
      </w:r>
      <w:r w:rsidR="00A17A3B" w:rsidRPr="009F3455">
        <w:rPr>
          <w:szCs w:val="22"/>
          <w:lang w:val="fr-FR"/>
        </w:rPr>
        <w:t xml:space="preserve"> </w:t>
      </w:r>
    </w:p>
    <w:p w:rsidR="005B4565" w:rsidRPr="009F3455" w:rsidRDefault="005B4565" w:rsidP="00C46B1F">
      <w:pPr>
        <w:keepNext/>
        <w:widowControl/>
        <w:rPr>
          <w:szCs w:val="22"/>
        </w:rPr>
      </w:pPr>
      <w:r w:rsidRPr="009F3455">
        <w:rPr>
          <w:szCs w:val="22"/>
        </w:rPr>
        <w:t>Chief</w:t>
      </w:r>
      <w:r w:rsidR="00327CC3">
        <w:rPr>
          <w:szCs w:val="22"/>
        </w:rPr>
        <w:t xml:space="preserve">, </w:t>
      </w:r>
      <w:r w:rsidRPr="009F3455">
        <w:rPr>
          <w:szCs w:val="22"/>
        </w:rPr>
        <w:t>Enforcement Bureau</w:t>
      </w:r>
    </w:p>
    <w:p w:rsidR="00A17A3B" w:rsidRPr="009F3455" w:rsidRDefault="00A17A3B" w:rsidP="00C46B1F">
      <w:pPr>
        <w:keepNext/>
        <w:widowControl/>
        <w:rPr>
          <w:szCs w:val="22"/>
        </w:rPr>
      </w:pPr>
    </w:p>
    <w:p w:rsidR="00A17A3B" w:rsidRPr="009F3455" w:rsidRDefault="00A17A3B" w:rsidP="00C46B1F">
      <w:pPr>
        <w:keepNext/>
        <w:widowControl/>
        <w:rPr>
          <w:szCs w:val="22"/>
        </w:rPr>
      </w:pPr>
      <w:r w:rsidRPr="009F3455">
        <w:rPr>
          <w:szCs w:val="22"/>
        </w:rPr>
        <w:t>__________________________________________</w:t>
      </w:r>
    </w:p>
    <w:p w:rsidR="00A17A3B" w:rsidRPr="009F3455" w:rsidRDefault="00A17A3B" w:rsidP="00C46B1F">
      <w:pPr>
        <w:keepNext/>
        <w:widowControl/>
        <w:outlineLvl w:val="0"/>
        <w:rPr>
          <w:szCs w:val="22"/>
        </w:rPr>
      </w:pPr>
      <w:r w:rsidRPr="009F3455">
        <w:rPr>
          <w:szCs w:val="22"/>
        </w:rPr>
        <w:t>Date</w:t>
      </w:r>
    </w:p>
    <w:p w:rsidR="00A17A3B" w:rsidRPr="009F3455" w:rsidRDefault="00A17A3B" w:rsidP="00C46B1F">
      <w:pPr>
        <w:keepNext/>
        <w:widowControl/>
        <w:rPr>
          <w:szCs w:val="22"/>
        </w:rPr>
      </w:pPr>
    </w:p>
    <w:p w:rsidR="00A17A3B" w:rsidRPr="009F3455" w:rsidRDefault="00A17A3B" w:rsidP="00C46B1F">
      <w:pPr>
        <w:keepNext/>
        <w:widowControl/>
        <w:rPr>
          <w:szCs w:val="22"/>
        </w:rPr>
      </w:pPr>
    </w:p>
    <w:p w:rsidR="00A17A3B" w:rsidRPr="009F3455" w:rsidRDefault="00A66336" w:rsidP="00C46B1F">
      <w:pPr>
        <w:keepNext/>
        <w:widowControl/>
        <w:outlineLvl w:val="0"/>
        <w:rPr>
          <w:szCs w:val="22"/>
        </w:rPr>
      </w:pPr>
      <w:r w:rsidRPr="009F3455">
        <w:rPr>
          <w:szCs w:val="22"/>
        </w:rPr>
        <w:t xml:space="preserve">For:  </w:t>
      </w:r>
      <w:r w:rsidR="00B57EC8">
        <w:rPr>
          <w:szCs w:val="22"/>
        </w:rPr>
        <w:t>Fiducia, Inc., d/b/a</w:t>
      </w:r>
      <w:r w:rsidR="007C0606">
        <w:rPr>
          <w:szCs w:val="22"/>
        </w:rPr>
        <w:t xml:space="preserve"> </w:t>
      </w:r>
      <w:r w:rsidR="00B57EC8">
        <w:rPr>
          <w:szCs w:val="22"/>
        </w:rPr>
        <w:t>“</w:t>
      </w:r>
      <w:r w:rsidR="007972DB">
        <w:rPr>
          <w:szCs w:val="22"/>
        </w:rPr>
        <w:t>America’s Toner</w:t>
      </w:r>
      <w:r w:rsidR="00B57EC8">
        <w:rPr>
          <w:szCs w:val="22"/>
        </w:rPr>
        <w:t>”; “Toner Dome”; TDI, Inc.</w:t>
      </w:r>
    </w:p>
    <w:p w:rsidR="00A17A3B" w:rsidRPr="009F3455" w:rsidRDefault="00A17A3B" w:rsidP="00C46B1F">
      <w:pPr>
        <w:keepNext/>
        <w:widowControl/>
        <w:rPr>
          <w:szCs w:val="22"/>
        </w:rPr>
      </w:pPr>
    </w:p>
    <w:p w:rsidR="00A17A3B" w:rsidRPr="009F3455" w:rsidRDefault="00A17A3B" w:rsidP="00C46B1F">
      <w:pPr>
        <w:keepNext/>
        <w:widowControl/>
        <w:rPr>
          <w:szCs w:val="22"/>
        </w:rPr>
      </w:pPr>
    </w:p>
    <w:p w:rsidR="00A17A3B" w:rsidRPr="009F3455" w:rsidRDefault="00A17A3B" w:rsidP="00C46B1F">
      <w:pPr>
        <w:pStyle w:val="BodyText1"/>
        <w:rPr>
          <w:rFonts w:ascii="Times New Roman" w:hAnsi="Times New Roman"/>
          <w:sz w:val="22"/>
          <w:szCs w:val="22"/>
          <w:u w:val="none"/>
        </w:rPr>
      </w:pPr>
      <w:r w:rsidRPr="009F3455">
        <w:rPr>
          <w:rFonts w:ascii="Times New Roman" w:hAnsi="Times New Roman"/>
          <w:sz w:val="22"/>
          <w:szCs w:val="22"/>
          <w:u w:val="none"/>
        </w:rPr>
        <w:t>__________________________________________</w:t>
      </w:r>
    </w:p>
    <w:p w:rsidR="00A17A3B" w:rsidRPr="009F3455" w:rsidRDefault="00A17A3B" w:rsidP="00C46B1F">
      <w:pPr>
        <w:pStyle w:val="BodyText1"/>
        <w:rPr>
          <w:rFonts w:ascii="Times New Roman" w:hAnsi="Times New Roman"/>
          <w:sz w:val="22"/>
          <w:szCs w:val="22"/>
          <w:u w:val="none"/>
        </w:rPr>
      </w:pPr>
    </w:p>
    <w:p w:rsidR="00A17A3B" w:rsidRPr="009F3455" w:rsidRDefault="00A17A3B" w:rsidP="00C46B1F">
      <w:pPr>
        <w:keepNext/>
        <w:widowControl/>
        <w:rPr>
          <w:szCs w:val="22"/>
        </w:rPr>
      </w:pPr>
    </w:p>
    <w:p w:rsidR="00A17A3B" w:rsidRPr="009F3455" w:rsidRDefault="00A17A3B" w:rsidP="00C46B1F">
      <w:pPr>
        <w:keepNext/>
        <w:widowControl/>
        <w:rPr>
          <w:szCs w:val="22"/>
        </w:rPr>
      </w:pPr>
      <w:r w:rsidRPr="009F3455">
        <w:rPr>
          <w:szCs w:val="22"/>
        </w:rPr>
        <w:t>__________________________________________</w:t>
      </w:r>
    </w:p>
    <w:p w:rsidR="006650E1" w:rsidRDefault="00A17A3B" w:rsidP="00C46B1F">
      <w:pPr>
        <w:pStyle w:val="par1"/>
        <w:tabs>
          <w:tab w:val="left" w:pos="1440"/>
        </w:tabs>
        <w:ind w:firstLine="0"/>
      </w:pPr>
      <w:r w:rsidRPr="009F3455">
        <w:t>Date</w:t>
      </w:r>
    </w:p>
    <w:p w:rsidR="00B57EC8" w:rsidRDefault="00B57EC8" w:rsidP="00C46B1F">
      <w:pPr>
        <w:pStyle w:val="par1"/>
        <w:tabs>
          <w:tab w:val="left" w:pos="1440"/>
        </w:tabs>
        <w:ind w:firstLine="0"/>
      </w:pPr>
    </w:p>
    <w:p w:rsidR="00B57EC8" w:rsidRDefault="00B57EC8" w:rsidP="00C46B1F">
      <w:pPr>
        <w:pStyle w:val="par1"/>
        <w:tabs>
          <w:tab w:val="left" w:pos="1440"/>
        </w:tabs>
        <w:ind w:firstLine="0"/>
      </w:pPr>
      <w:r>
        <w:t>For:  John David, individually</w:t>
      </w:r>
    </w:p>
    <w:p w:rsidR="00B57EC8" w:rsidRDefault="00B57EC8" w:rsidP="00C46B1F">
      <w:pPr>
        <w:pStyle w:val="par1"/>
        <w:tabs>
          <w:tab w:val="left" w:pos="1440"/>
        </w:tabs>
        <w:ind w:firstLine="0"/>
      </w:pPr>
    </w:p>
    <w:p w:rsidR="00B57EC8" w:rsidRPr="009F3455" w:rsidRDefault="00B57EC8" w:rsidP="00C46B1F">
      <w:pPr>
        <w:pStyle w:val="BodyText1"/>
        <w:rPr>
          <w:rFonts w:ascii="Times New Roman" w:hAnsi="Times New Roman"/>
          <w:sz w:val="22"/>
          <w:szCs w:val="22"/>
          <w:u w:val="none"/>
        </w:rPr>
      </w:pPr>
      <w:r w:rsidRPr="009F3455">
        <w:rPr>
          <w:rFonts w:ascii="Times New Roman" w:hAnsi="Times New Roman"/>
          <w:sz w:val="22"/>
          <w:szCs w:val="22"/>
          <w:u w:val="none"/>
        </w:rPr>
        <w:t>__________________________________________</w:t>
      </w:r>
    </w:p>
    <w:p w:rsidR="00B57EC8" w:rsidRPr="009F3455" w:rsidRDefault="00B57EC8" w:rsidP="00C46B1F">
      <w:pPr>
        <w:pStyle w:val="BodyText1"/>
        <w:rPr>
          <w:rFonts w:ascii="Times New Roman" w:hAnsi="Times New Roman"/>
          <w:sz w:val="22"/>
          <w:szCs w:val="22"/>
          <w:u w:val="none"/>
        </w:rPr>
      </w:pPr>
    </w:p>
    <w:p w:rsidR="00B57EC8" w:rsidRPr="009F3455" w:rsidRDefault="00B57EC8" w:rsidP="00C46B1F">
      <w:pPr>
        <w:keepNext/>
        <w:widowControl/>
        <w:rPr>
          <w:szCs w:val="22"/>
        </w:rPr>
      </w:pPr>
    </w:p>
    <w:p w:rsidR="00B57EC8" w:rsidRPr="009F3455" w:rsidRDefault="00B57EC8" w:rsidP="00C46B1F">
      <w:pPr>
        <w:keepNext/>
        <w:widowControl/>
        <w:rPr>
          <w:szCs w:val="22"/>
        </w:rPr>
      </w:pPr>
      <w:r w:rsidRPr="009F3455">
        <w:rPr>
          <w:szCs w:val="22"/>
        </w:rPr>
        <w:t>__________________________________________</w:t>
      </w:r>
    </w:p>
    <w:p w:rsidR="00F02DCA" w:rsidRDefault="00F02DCA" w:rsidP="00F02DCA">
      <w:pPr>
        <w:pStyle w:val="par1"/>
        <w:tabs>
          <w:tab w:val="left" w:pos="1440"/>
        </w:tabs>
        <w:ind w:firstLine="0"/>
      </w:pPr>
      <w:r w:rsidRPr="009F3455">
        <w:t>Date</w:t>
      </w:r>
    </w:p>
    <w:p w:rsidR="00B57EC8" w:rsidRPr="00FE3881" w:rsidRDefault="00B57EC8" w:rsidP="00C46B1F">
      <w:pPr>
        <w:pStyle w:val="par1"/>
        <w:tabs>
          <w:tab w:val="left" w:pos="1440"/>
        </w:tabs>
        <w:ind w:firstLine="0"/>
        <w:rPr>
          <w:szCs w:val="22"/>
        </w:rPr>
      </w:pPr>
    </w:p>
    <w:sectPr w:rsidR="00B57EC8" w:rsidRPr="00FE3881" w:rsidSect="00111274">
      <w:footnotePr>
        <w:numRestart w:val="eachSect"/>
      </w:footnotePr>
      <w:endnotePr>
        <w:numFmt w:val="decimal"/>
      </w:endnotePr>
      <w:pgSz w:w="12240" w:h="15840"/>
      <w:pgMar w:top="1440" w:right="1440" w:bottom="720" w:left="1440" w:header="720" w:footer="720" w:gutter="0"/>
      <w:pgNumType w:start="1"/>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FBE" w:rsidRDefault="004D5FBE">
      <w:pPr>
        <w:spacing w:line="20" w:lineRule="exact"/>
      </w:pPr>
    </w:p>
  </w:endnote>
  <w:endnote w:type="continuationSeparator" w:id="0">
    <w:p w:rsidR="004D5FBE" w:rsidRDefault="004D5FBE">
      <w:r>
        <w:t xml:space="preserve"> </w:t>
      </w:r>
    </w:p>
  </w:endnote>
  <w:endnote w:type="continuationNotice" w:id="1">
    <w:p w:rsidR="004D5FBE" w:rsidRDefault="004D5FB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auto"/>
    <w:notTrueType/>
    <w:pitch w:val="variable"/>
    <w:sig w:usb0="00000003" w:usb1="00000000" w:usb2="00000000" w:usb3="00000000" w:csb0="00000001" w:csb1="00000000"/>
  </w:font>
  <w:font w:name="ヒラギノ角ゴ Pro W3">
    <w:altName w:val="MS Mincho"/>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B44" w:rsidRDefault="009B0D68" w:rsidP="00871C1B">
    <w:pPr>
      <w:pStyle w:val="Footer"/>
      <w:framePr w:wrap="around" w:vAnchor="text" w:hAnchor="margin" w:xAlign="center" w:y="1"/>
    </w:pPr>
    <w:r>
      <w:fldChar w:fldCharType="begin"/>
    </w:r>
    <w:r w:rsidR="00020B44">
      <w:instrText xml:space="preserve">PAGE  </w:instrText>
    </w:r>
    <w:r>
      <w:fldChar w:fldCharType="end"/>
    </w:r>
  </w:p>
  <w:p w:rsidR="00020B44" w:rsidRDefault="00020B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B44" w:rsidRDefault="009B0D68" w:rsidP="001C5511">
    <w:pPr>
      <w:pStyle w:val="Footer"/>
      <w:framePr w:wrap="around" w:vAnchor="text" w:hAnchor="margin" w:xAlign="center" w:y="1"/>
      <w:rPr>
        <w:rStyle w:val="PageNumber"/>
      </w:rPr>
    </w:pPr>
    <w:r>
      <w:rPr>
        <w:rStyle w:val="PageNumber"/>
      </w:rPr>
      <w:fldChar w:fldCharType="begin"/>
    </w:r>
    <w:r w:rsidR="00020B44">
      <w:rPr>
        <w:rStyle w:val="PageNumber"/>
      </w:rPr>
      <w:instrText xml:space="preserve">PAGE  </w:instrText>
    </w:r>
    <w:r>
      <w:rPr>
        <w:rStyle w:val="PageNumber"/>
      </w:rPr>
      <w:fldChar w:fldCharType="separate"/>
    </w:r>
    <w:r w:rsidR="00D60CE1">
      <w:rPr>
        <w:rStyle w:val="PageNumber"/>
        <w:noProof/>
      </w:rPr>
      <w:t>2</w:t>
    </w:r>
    <w:r>
      <w:rPr>
        <w:rStyle w:val="PageNumber"/>
      </w:rPr>
      <w:fldChar w:fldCharType="end"/>
    </w:r>
  </w:p>
  <w:p w:rsidR="00020B44" w:rsidRDefault="00020B44">
    <w:pPr>
      <w:suppressAutoHyphens/>
      <w:spacing w:line="227" w:lineRule="auto"/>
    </w:pPr>
  </w:p>
  <w:p w:rsidR="00020B44" w:rsidRDefault="00020B4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B44" w:rsidRDefault="00020B44">
    <w:pPr>
      <w:pStyle w:val="Footer"/>
      <w:tabs>
        <w:tab w:val="clear"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FBE" w:rsidRDefault="004D5FBE">
      <w:r>
        <w:separator/>
      </w:r>
    </w:p>
  </w:footnote>
  <w:footnote w:type="continuationSeparator" w:id="0">
    <w:p w:rsidR="004D5FBE" w:rsidRDefault="004D5FBE">
      <w:pPr>
        <w:rPr>
          <w:sz w:val="20"/>
        </w:rPr>
      </w:pPr>
      <w:r>
        <w:rPr>
          <w:sz w:val="20"/>
        </w:rPr>
        <w:t xml:space="preserve">(Continued from previous page)  </w:t>
      </w:r>
      <w:r>
        <w:rPr>
          <w:sz w:val="20"/>
        </w:rPr>
        <w:separator/>
      </w:r>
    </w:p>
  </w:footnote>
  <w:footnote w:type="continuationNotice" w:id="1">
    <w:p w:rsidR="004D5FBE" w:rsidRDefault="004D5FBE">
      <w:pPr>
        <w:rPr>
          <w:sz w:val="20"/>
        </w:rPr>
      </w:pPr>
      <w:r>
        <w:rPr>
          <w:sz w:val="20"/>
        </w:rPr>
        <w:t>(continued….)</w:t>
      </w:r>
    </w:p>
  </w:footnote>
  <w:footnote w:id="2">
    <w:p w:rsidR="00561907" w:rsidRPr="00D85D36" w:rsidRDefault="00561907" w:rsidP="00561907">
      <w:pPr>
        <w:pStyle w:val="FootnoteText"/>
      </w:pPr>
      <w:r w:rsidRPr="001352B6">
        <w:rPr>
          <w:rStyle w:val="FootnoteReference"/>
        </w:rPr>
        <w:footnoteRef/>
      </w:r>
      <w:r w:rsidRPr="00D85D36">
        <w:t xml:space="preserve"> This case was formerly assigned the file number EB-06-TC-131</w:t>
      </w:r>
      <w:r>
        <w:t xml:space="preserve">.  </w:t>
      </w:r>
      <w:r w:rsidRPr="00D85D36">
        <w:t xml:space="preserve">In January 2011, the Telecommunications Consumers Division assigned a new case number. </w:t>
      </w:r>
    </w:p>
  </w:footnote>
  <w:footnote w:id="3">
    <w:p w:rsidR="00561907" w:rsidRDefault="00561907" w:rsidP="00561907">
      <w:pPr>
        <w:pStyle w:val="FootnoteText"/>
      </w:pPr>
      <w:r>
        <w:rPr>
          <w:rStyle w:val="FootnoteReference"/>
        </w:rPr>
        <w:footnoteRef/>
      </w:r>
      <w:r>
        <w:t xml:space="preserve"> 47 U.S.C. § 227(b)(1)(C)..</w:t>
      </w:r>
    </w:p>
  </w:footnote>
  <w:footnote w:id="4">
    <w:p w:rsidR="00561907" w:rsidRDefault="00561907" w:rsidP="00561907">
      <w:pPr>
        <w:pStyle w:val="FootnoteText"/>
      </w:pPr>
      <w:r>
        <w:rPr>
          <w:rStyle w:val="FootnoteReference"/>
        </w:rPr>
        <w:footnoteRef/>
      </w:r>
      <w:r>
        <w:t xml:space="preserve"> </w:t>
      </w:r>
      <w:r>
        <w:rPr>
          <w:bCs/>
        </w:rPr>
        <w:t>47 C.F.R. §64.1200(a)(4).</w:t>
      </w:r>
    </w:p>
  </w:footnote>
  <w:footnote w:id="5">
    <w:p w:rsidR="00561907" w:rsidRDefault="00561907" w:rsidP="00561907">
      <w:pPr>
        <w:pStyle w:val="FootnoteText"/>
      </w:pPr>
      <w:r>
        <w:rPr>
          <w:rStyle w:val="FootnoteReference"/>
        </w:rPr>
        <w:footnoteRef/>
      </w:r>
      <w:r>
        <w:t xml:space="preserve"> 47 U.S.C. §§ 154(i), 154(j),503(b).</w:t>
      </w:r>
    </w:p>
  </w:footnote>
  <w:footnote w:id="6">
    <w:p w:rsidR="00561907" w:rsidRDefault="00561907" w:rsidP="00561907">
      <w:pPr>
        <w:pStyle w:val="FootnoteText"/>
        <w:rPr>
          <w:bCs/>
        </w:rPr>
      </w:pPr>
      <w:r>
        <w:rPr>
          <w:rStyle w:val="FootnoteReference"/>
          <w:bCs/>
        </w:rPr>
        <w:footnoteRef/>
      </w:r>
      <w:r>
        <w:rPr>
          <w:bCs/>
        </w:rPr>
        <w:t xml:space="preserve"> 47 C.F.R. §§ 0.111, 0.311.</w:t>
      </w:r>
    </w:p>
  </w:footnote>
  <w:footnote w:id="7">
    <w:p w:rsidR="00020B44" w:rsidRPr="00D85D36" w:rsidRDefault="00020B44">
      <w:pPr>
        <w:pStyle w:val="FootnoteText"/>
      </w:pPr>
      <w:r w:rsidRPr="001352B6">
        <w:rPr>
          <w:rStyle w:val="FootnoteReference"/>
          <w:sz w:val="20"/>
        </w:rPr>
        <w:footnoteRef/>
      </w:r>
      <w:r w:rsidRPr="00D85D36">
        <w:t xml:space="preserve"> This case was formerly assigned the file number EB-06-TC-131.  In January 2011, the Telecommunications Consumers Division assigned a new case number. </w:t>
      </w:r>
    </w:p>
  </w:footnote>
  <w:footnote w:id="8">
    <w:p w:rsidR="00020B44" w:rsidRPr="00D85D36" w:rsidRDefault="00020B44" w:rsidP="00707236">
      <w:pPr>
        <w:pStyle w:val="FootnoteText"/>
      </w:pPr>
      <w:r w:rsidRPr="00D85D36">
        <w:rPr>
          <w:rStyle w:val="FootnoteReference"/>
          <w:sz w:val="20"/>
        </w:rPr>
        <w:footnoteRef/>
      </w:r>
      <w:r w:rsidRPr="00D85D36">
        <w:t xml:space="preserve"> 47 U.S.C. § 227(b)(1)(C).</w:t>
      </w:r>
    </w:p>
  </w:footnote>
  <w:footnote w:id="9">
    <w:p w:rsidR="00020B44" w:rsidRPr="00D85D36" w:rsidRDefault="00020B44" w:rsidP="00707236">
      <w:pPr>
        <w:pStyle w:val="FootnoteText"/>
      </w:pPr>
      <w:r w:rsidRPr="00D85D36">
        <w:rPr>
          <w:rStyle w:val="FootnoteReference"/>
          <w:sz w:val="20"/>
        </w:rPr>
        <w:footnoteRef/>
      </w:r>
      <w:r w:rsidRPr="00D85D36">
        <w:t xml:space="preserve"> 47 C.F.R. § 64.1200(a)(4).  </w:t>
      </w:r>
    </w:p>
    <w:p w:rsidR="00020B44" w:rsidRPr="00D85D36" w:rsidRDefault="00020B44" w:rsidP="00707236">
      <w:pPr>
        <w:pStyle w:val="FootnoteText"/>
      </w:pPr>
      <w:r w:rsidRPr="00D85D36">
        <w:rPr>
          <w:b/>
        </w:rPr>
        <w:t xml:space="preserve"> </w:t>
      </w:r>
      <w:r>
        <w:rPr>
          <w:b/>
        </w:rPr>
        <w:t xml:space="preserve"> </w:t>
      </w:r>
      <w:r w:rsidRPr="00D85D36">
        <w:t xml:space="preserve"> </w:t>
      </w:r>
    </w:p>
  </w:footnote>
  <w:footnote w:id="10">
    <w:p w:rsidR="00020B44" w:rsidRPr="00D85D36" w:rsidRDefault="00020B44" w:rsidP="00707236">
      <w:pPr>
        <w:pStyle w:val="FootnoteText"/>
      </w:pPr>
      <w:r w:rsidRPr="00D85D36">
        <w:rPr>
          <w:rStyle w:val="FootnoteReference"/>
          <w:sz w:val="20"/>
        </w:rPr>
        <w:footnoteRef/>
      </w:r>
      <w:r w:rsidRPr="00D85D36">
        <w:t xml:space="preserve"> Telephone Consumer Protection Act of 1991, Pub. L. No. 102-243, 105 Stat. 2394 (1991) (</w:t>
      </w:r>
      <w:r w:rsidRPr="00D85D36">
        <w:rPr>
          <w:iCs/>
        </w:rPr>
        <w:t>codified at</w:t>
      </w:r>
      <w:r w:rsidRPr="00D85D36">
        <w:rPr>
          <w:i/>
          <w:iCs/>
        </w:rPr>
        <w:t xml:space="preserve"> </w:t>
      </w:r>
      <w:r w:rsidRPr="00D85D36">
        <w:t xml:space="preserve">47 U.S.C. § 227).  </w:t>
      </w:r>
      <w:r w:rsidRPr="00D85D36">
        <w:rPr>
          <w:i/>
          <w:iCs/>
        </w:rPr>
        <w:t xml:space="preserve">See also </w:t>
      </w:r>
      <w:r w:rsidRPr="00D85D36">
        <w:t>Junk Fax Prevention Act of 2005, Pub. L. No. 109-21, 119 Stat. 359 (2005).</w:t>
      </w:r>
    </w:p>
  </w:footnote>
  <w:footnote w:id="11">
    <w:p w:rsidR="00020B44" w:rsidRPr="00D85D36" w:rsidRDefault="00020B44" w:rsidP="00707236">
      <w:pPr>
        <w:pStyle w:val="FootnoteText"/>
      </w:pPr>
      <w:r w:rsidRPr="00D85D36">
        <w:rPr>
          <w:rStyle w:val="FootnoteReference"/>
          <w:sz w:val="20"/>
        </w:rPr>
        <w:footnoteRef/>
      </w:r>
      <w:r w:rsidRPr="00D85D36">
        <w:t xml:space="preserve"> </w:t>
      </w:r>
      <w:r w:rsidRPr="00D85D36">
        <w:rPr>
          <w:color w:val="000000"/>
        </w:rPr>
        <w:t xml:space="preserve">47 U.S.C. § 227(b)(1)(C).  The prohibition is subject to certain exceptions, such as if the sender has an EBR with the recipient and the sender obtained the facsimile number from the recipient through voluntary communication in the context of an EBR, or from a directory, advertisement, or website through which the recipient voluntarily agreed to make its facsimile number available for public distribution.  In addition, the Unsolicited Advertisement must notify the recipient how to opt out of receiving future facsimile Advertisements, subject to certain requirements.  The Commission has adopted implementing rules.  47 C.F.R. § 64.1200(a)(4).  </w:t>
      </w:r>
    </w:p>
  </w:footnote>
  <w:footnote w:id="12">
    <w:p w:rsidR="00020B44" w:rsidRPr="00D85D36" w:rsidRDefault="00020B44" w:rsidP="00707236">
      <w:pPr>
        <w:pStyle w:val="FootnoteText"/>
      </w:pPr>
      <w:r w:rsidRPr="00D85D36">
        <w:rPr>
          <w:rStyle w:val="FootnoteReference"/>
          <w:sz w:val="20"/>
        </w:rPr>
        <w:footnoteRef/>
      </w:r>
      <w:r w:rsidRPr="00D85D36">
        <w:t xml:space="preserve"> Citation from Kurt A. Schroeder, Deputy Chief, Telecommunications Consumers Division, FCC Enforcement Bureau, to America’s Toner (July 21, 2006) (on file in EB-TCD-12-00000197).  </w:t>
      </w:r>
      <w:r w:rsidRPr="00D85D36">
        <w:rPr>
          <w:i/>
        </w:rPr>
        <w:t xml:space="preserve">See also </w:t>
      </w:r>
      <w:r w:rsidRPr="00D85D36">
        <w:t xml:space="preserve">47 U.S.C. </w:t>
      </w:r>
      <w:r w:rsidRPr="00D85D36">
        <w:rPr>
          <w:color w:val="000000"/>
        </w:rPr>
        <w:t>§ 503(b)(5).</w:t>
      </w:r>
      <w:r>
        <w:rPr>
          <w:color w:val="000000"/>
        </w:rPr>
        <w:t xml:space="preserve">  </w:t>
      </w:r>
      <w:r>
        <w:rPr>
          <w:color w:val="000000"/>
          <w:szCs w:val="22"/>
        </w:rPr>
        <w:t>The citation identified “American Toner” and Fiducia, Inc. as other names for “America’s Toner,” and w</w:t>
      </w:r>
      <w:r w:rsidR="00C5125A">
        <w:rPr>
          <w:color w:val="000000"/>
          <w:szCs w:val="22"/>
        </w:rPr>
        <w:t>as</w:t>
      </w:r>
      <w:r>
        <w:rPr>
          <w:color w:val="000000"/>
          <w:szCs w:val="22"/>
        </w:rPr>
        <w:t xml:space="preserve"> directed to the attention of John David.  </w:t>
      </w:r>
      <w:r w:rsidRPr="00D85D36">
        <w:t xml:space="preserve">  </w:t>
      </w:r>
    </w:p>
  </w:footnote>
  <w:footnote w:id="13">
    <w:p w:rsidR="00020B44" w:rsidRPr="00D85D36" w:rsidRDefault="00020B44" w:rsidP="00707236">
      <w:pPr>
        <w:pStyle w:val="FootnoteText"/>
      </w:pPr>
      <w:r w:rsidRPr="00D85D36">
        <w:rPr>
          <w:rStyle w:val="FootnoteReference"/>
          <w:sz w:val="20"/>
        </w:rPr>
        <w:footnoteRef/>
      </w:r>
      <w:r w:rsidRPr="00D85D36">
        <w:t xml:space="preserve"> </w:t>
      </w:r>
      <w:r w:rsidRPr="00D85D36">
        <w:rPr>
          <w:i/>
        </w:rPr>
        <w:t xml:space="preserve">America’s Toner, </w:t>
      </w:r>
      <w:r w:rsidRPr="00D85D36">
        <w:t xml:space="preserve">Notice of Apparent Liability for Forfeiture, 23 FCC Rcd 5415 (2008); </w:t>
      </w:r>
      <w:r w:rsidRPr="00D85D36">
        <w:rPr>
          <w:i/>
        </w:rPr>
        <w:t>America’s Toner</w:t>
      </w:r>
      <w:r w:rsidRPr="00D85D36">
        <w:t xml:space="preserve">, Notice of Apparent Liability for Forfeiture, 23 FCC Rcd 9151 (Enf. Bur. 2008); </w:t>
      </w:r>
      <w:r w:rsidRPr="00D85D36">
        <w:rPr>
          <w:i/>
        </w:rPr>
        <w:t xml:space="preserve">America’s Toner, </w:t>
      </w:r>
      <w:r w:rsidRPr="00D85D36">
        <w:t>Notice of Apparent Liability for Forfeiture, 23 FCC Rcd 13199 (2008)</w:t>
      </w:r>
      <w:r w:rsidRPr="00D85D36">
        <w:rPr>
          <w:i/>
        </w:rPr>
        <w:t xml:space="preserve">; </w:t>
      </w:r>
      <w:r w:rsidRPr="00D85D36">
        <w:t xml:space="preserve">and </w:t>
      </w:r>
      <w:r w:rsidRPr="00D85D36">
        <w:rPr>
          <w:i/>
        </w:rPr>
        <w:t xml:space="preserve">America’s Toner, </w:t>
      </w:r>
      <w:r w:rsidRPr="00D85D36">
        <w:t>Notice of Apparent Liability for Forfeiture, 23 FCC Rcd 18466 (2008).</w:t>
      </w:r>
      <w:r>
        <w:t xml:space="preserve">  Each of the NALs defined “America’s Toner” to include “American Toner” and Fiducia, Inc., as well as John David personally.  </w:t>
      </w:r>
      <w:r>
        <w:rPr>
          <w:color w:val="000000"/>
          <w:szCs w:val="22"/>
        </w:rPr>
        <w:t xml:space="preserve">  </w:t>
      </w:r>
    </w:p>
  </w:footnote>
  <w:footnote w:id="14">
    <w:p w:rsidR="00020B44" w:rsidRPr="00D85D36" w:rsidRDefault="00020B44" w:rsidP="00C85049">
      <w:pPr>
        <w:pStyle w:val="FootnoteText"/>
      </w:pPr>
      <w:r w:rsidRPr="00D85D36">
        <w:rPr>
          <w:rStyle w:val="FootnoteReference"/>
          <w:sz w:val="20"/>
        </w:rPr>
        <w:footnoteRef/>
      </w:r>
      <w:r w:rsidRPr="00D85D36">
        <w:t xml:space="preserve"> </w:t>
      </w:r>
      <w:r w:rsidRPr="00D85D36">
        <w:rPr>
          <w:i/>
        </w:rPr>
        <w:t xml:space="preserve">See </w:t>
      </w:r>
      <w:r w:rsidRPr="00D85D36">
        <w:t xml:space="preserve">Letter from John David, America’s Toner, to Office of Secretary, dated Apr. 12, 2008; Letter from John David, America’s Toner, to Kris Anne Monteith, Chief, Enforcement Bureau, dated June 20, 2008; and Letter from John David, America’s Toner, to Office of Secretary, dated Sept. 25, 2008.  </w:t>
      </w:r>
      <w:r w:rsidRPr="00D85D36">
        <w:rPr>
          <w:i/>
        </w:rPr>
        <w:t xml:space="preserve">See also </w:t>
      </w:r>
      <w:r w:rsidRPr="00D85D36">
        <w:t>Letter from John David, America’s Toner, to Enforcement Bureau, Telecommunications Consumer Division, dated July 2, 2008.</w:t>
      </w:r>
      <w:r w:rsidR="00962C39">
        <w:t xml:space="preserve">  </w:t>
      </w:r>
      <w:r w:rsidRPr="00D85D36">
        <w:t xml:space="preserve">Letter from John David, America’s Toner, to Kurt A. Schroeder, Deputy Chief, Telecommunications Consumers Division, FCC Enforcement Bureau (Aug. 18, 2006) (on file in EB-TCD-12-00000197). Letter from John David, America’s Toner, to FCC Office of Secretary (Apr. 12, 2008) (on file in EB-TCD-12-00000197) (America’s Toner Apr. 12, 2008 Letter). Letter from John David, America’s Toner, to Kris Anne Monteith, Chief, FCC Enforcement Bureau (June 20, 2008) (on file in EB-TCD-12-00000197); Letter from John David, America’s Toner, to Kris Anne Monteith, Chief, FCC Enforcement Bureau (Sept. 25, 2008) (on file in EB-TCD-12-00000197); Letter from John David, America’s Toner, to Telecommunications Consumers Division, FCC Enforcement Bureau (Jan. 9, 2009) (on file in EB-TCD-12-00000197).  </w:t>
      </w:r>
      <w:r w:rsidRPr="00D85D36" w:rsidDel="00A41A4A">
        <w:t xml:space="preserve"> </w:t>
      </w:r>
    </w:p>
  </w:footnote>
  <w:footnote w:id="15">
    <w:p w:rsidR="00020B44" w:rsidRPr="00D85D36" w:rsidRDefault="00020B44">
      <w:pPr>
        <w:pStyle w:val="FootnoteText"/>
      </w:pPr>
      <w:r w:rsidRPr="00D85D36">
        <w:rPr>
          <w:rStyle w:val="FootnoteReference"/>
          <w:sz w:val="20"/>
        </w:rPr>
        <w:footnoteRef/>
      </w:r>
      <w:r w:rsidRPr="00D85D36">
        <w:t xml:space="preserve"> Letter of Inquiry from Richard A. Hindman, Chief, Telecommunications Consumers Division, FCC Enforcement Bureau, to America’s Toner (Mar. 20, 2012) (on file in EB-TCD-12-00000197) (LOI).  </w:t>
      </w:r>
    </w:p>
  </w:footnote>
  <w:footnote w:id="16">
    <w:p w:rsidR="00020B44" w:rsidRPr="00D85D36" w:rsidRDefault="00020B44">
      <w:pPr>
        <w:pStyle w:val="FootnoteText"/>
      </w:pPr>
      <w:r w:rsidRPr="00D85D36">
        <w:rPr>
          <w:rStyle w:val="FootnoteReference"/>
          <w:sz w:val="20"/>
        </w:rPr>
        <w:footnoteRef/>
      </w:r>
      <w:r w:rsidRPr="00D85D36">
        <w:t xml:space="preserve"> Letter from John David, America’s Toner, to FCC Office of Secretary at 1 (Mar. 30, 2012) (on file in EB-TCD-12-00000197).  </w:t>
      </w:r>
      <w:r w:rsidRPr="00D85D36" w:rsidDel="00A41A4A">
        <w:t xml:space="preserve"> </w:t>
      </w:r>
      <w:r w:rsidRPr="00D85D36">
        <w:t xml:space="preserve"> </w:t>
      </w:r>
    </w:p>
  </w:footnote>
  <w:footnote w:id="17">
    <w:p w:rsidR="00020B44" w:rsidRPr="00D85D36" w:rsidRDefault="00020B44">
      <w:pPr>
        <w:pStyle w:val="FootnoteText"/>
      </w:pPr>
      <w:r w:rsidRPr="00D85D36">
        <w:rPr>
          <w:rStyle w:val="FootnoteReference"/>
          <w:sz w:val="20"/>
        </w:rPr>
        <w:footnoteRef/>
      </w:r>
      <w:r w:rsidRPr="00D85D36">
        <w:t xml:space="preserve"> For purposes of this order, sending or causing to be sent on its behalf, any Advertisement by facsimile in the United States includes any Advertisement by facsimile intended to be received in the United States, regardless of the location from which the facsimile was sent.</w:t>
      </w:r>
    </w:p>
  </w:footnote>
  <w:footnote w:id="18">
    <w:p w:rsidR="00020B44" w:rsidRPr="00D85D36" w:rsidRDefault="00020B44" w:rsidP="00707236">
      <w:pPr>
        <w:pStyle w:val="FootnoteText"/>
      </w:pPr>
      <w:r w:rsidRPr="00D85D36">
        <w:rPr>
          <w:rStyle w:val="FootnoteReference"/>
          <w:sz w:val="20"/>
        </w:rPr>
        <w:footnoteRef/>
      </w:r>
      <w:r w:rsidRPr="00D85D36">
        <w:t xml:space="preserve"> 47 C.F.R. § 1.16.</w:t>
      </w:r>
    </w:p>
  </w:footnote>
  <w:footnote w:id="19">
    <w:p w:rsidR="00020B44" w:rsidRPr="00D85D36" w:rsidRDefault="00020B44" w:rsidP="00215253">
      <w:pPr>
        <w:pStyle w:val="FootnoteText"/>
      </w:pPr>
      <w:r w:rsidRPr="00D85D36">
        <w:rPr>
          <w:rStyle w:val="FootnoteReference"/>
          <w:sz w:val="20"/>
        </w:rPr>
        <w:footnoteRef/>
      </w:r>
      <w:r w:rsidRPr="00D85D36">
        <w:t xml:space="preserve"> Debt Collection Improvement Act of 1996, Pub. L. No. 104-134, 110 Stat. 1321, 1358 (Apr. 26, 1996).</w:t>
      </w:r>
    </w:p>
  </w:footnote>
  <w:footnote w:id="20">
    <w:p w:rsidR="00020B44" w:rsidRPr="00D85D36" w:rsidRDefault="00020B44" w:rsidP="00215253">
      <w:pPr>
        <w:pStyle w:val="FootnoteText"/>
      </w:pPr>
      <w:r w:rsidRPr="00D85D36">
        <w:rPr>
          <w:rStyle w:val="FootnoteReference"/>
          <w:sz w:val="20"/>
        </w:rPr>
        <w:footnoteRef/>
      </w:r>
      <w:r w:rsidRPr="00D85D36">
        <w:t xml:space="preserve"> </w:t>
      </w:r>
      <w:r w:rsidRPr="00D85D36">
        <w:rPr>
          <w:i/>
        </w:rPr>
        <w:t xml:space="preserve">Id. </w:t>
      </w:r>
      <w:r w:rsidRPr="00D85D36">
        <w:t xml:space="preserve"> </w:t>
      </w:r>
    </w:p>
  </w:footnote>
  <w:footnote w:id="21">
    <w:p w:rsidR="00020B44" w:rsidRPr="00D85D36" w:rsidRDefault="00020B44" w:rsidP="00215253">
      <w:pPr>
        <w:pStyle w:val="FootnoteText"/>
      </w:pPr>
      <w:r w:rsidRPr="00D85D36">
        <w:rPr>
          <w:rStyle w:val="FootnoteReference"/>
          <w:sz w:val="20"/>
        </w:rPr>
        <w:footnoteRef/>
      </w:r>
      <w:r w:rsidRPr="00D85D36">
        <w:t xml:space="preserve"> </w:t>
      </w:r>
      <w:r w:rsidRPr="00D85D36">
        <w:rPr>
          <w:i/>
        </w:rPr>
        <w:t xml:space="preserve">See </w:t>
      </w:r>
      <w:r w:rsidRPr="00D85D36">
        <w:t xml:space="preserve">31 C.F.R. Part 900-904; 47 C.F.R. § 1.1901, </w:t>
      </w:r>
      <w:r w:rsidRPr="00D85D36">
        <w:rPr>
          <w:i/>
          <w:iCs/>
        </w:rPr>
        <w:t>et seq</w:t>
      </w:r>
      <w:r w:rsidRPr="00D85D36">
        <w:t>.</w:t>
      </w:r>
    </w:p>
  </w:footnote>
  <w:footnote w:id="22">
    <w:p w:rsidR="00020B44" w:rsidRPr="00D85D36" w:rsidRDefault="00020B44" w:rsidP="00215253">
      <w:pPr>
        <w:pStyle w:val="FootnoteText"/>
      </w:pPr>
      <w:r w:rsidRPr="00D85D36">
        <w:rPr>
          <w:rStyle w:val="FootnoteReference"/>
          <w:sz w:val="20"/>
        </w:rPr>
        <w:footnoteRef/>
      </w:r>
      <w:r w:rsidRPr="00D85D36">
        <w:t xml:space="preserve"> </w:t>
      </w:r>
      <w:r w:rsidRPr="00D85D36">
        <w:rPr>
          <w:rFonts w:eastAsia="MS Mincho" w:cs="Arial"/>
        </w:rPr>
        <w:t>FCC Form 159 and detailed instructions for completing the form may be obtained at http://www.fcc.gov/Forms/Form159/159.pdf.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660" w:rsidRDefault="002106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B44" w:rsidRDefault="00020B44" w:rsidP="00871C1B">
    <w:pPr>
      <w:pStyle w:val="Header"/>
    </w:pPr>
    <w:r>
      <w:tab/>
      <w:t>Federal Communications Commission</w:t>
    </w:r>
    <w:r>
      <w:tab/>
    </w:r>
    <w:r>
      <w:rPr>
        <w:spacing w:val="-2"/>
      </w:rPr>
      <w:t>DA 13-</w:t>
    </w:r>
    <w:r w:rsidR="000A2A9D">
      <w:rPr>
        <w:spacing w:val="-2"/>
      </w:rPr>
      <w:t>200</w:t>
    </w:r>
    <w:r w:rsidDel="00871C1B">
      <w:t xml:space="preserve"> </w:t>
    </w:r>
  </w:p>
  <w:p w:rsidR="00020B44" w:rsidRDefault="00020B44">
    <w:pPr>
      <w:tabs>
        <w:tab w:val="left" w:pos="-720"/>
      </w:tabs>
      <w:suppressAutoHyphens/>
      <w:spacing w:line="19" w:lineRule="exact"/>
      <w:rPr>
        <w:spacing w:val="-2"/>
      </w:rPr>
    </w:pPr>
  </w:p>
  <w:p w:rsidR="00020B44" w:rsidRDefault="00020B44">
    <w:pPr>
      <w:spacing w:after="389" w:line="100" w:lineRule="exact"/>
      <w:rPr>
        <w:sz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B44" w:rsidRDefault="00020B44" w:rsidP="00871C1B">
    <w:pPr>
      <w:pStyle w:val="Header"/>
    </w:pPr>
    <w:r>
      <w:tab/>
      <w:t>Federal Communications Commission</w:t>
    </w:r>
    <w:r>
      <w:tab/>
      <w:t>DA 13-</w:t>
    </w:r>
    <w:r w:rsidR="000A2A9D">
      <w:t>200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0071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46384B7A"/>
    <w:lvl w:ilvl="0">
      <w:start w:val="1"/>
      <w:numFmt w:val="decimal"/>
      <w:isLgl/>
      <w:lvlText w:val="%1."/>
      <w:lvlJc w:val="left"/>
      <w:pPr>
        <w:tabs>
          <w:tab w:val="num" w:pos="720"/>
        </w:tabs>
        <w:ind w:left="720" w:firstLine="720"/>
      </w:pPr>
      <w:rPr>
        <w:rFonts w:ascii="Times New Roman" w:hAnsi="Times New Roman" w:cs="Times New Roman"/>
        <w:b w:val="0"/>
        <w:bCs w:val="0"/>
        <w:i w:val="0"/>
        <w:iCs w:val="0"/>
        <w:caps w:val="0"/>
        <w:smallCaps w:val="0"/>
        <w:strike w:val="0"/>
        <w:dstrike w:val="0"/>
        <w:noProof w:val="0"/>
        <w:snapToGrid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nothing"/>
      <w:lvlText w:val="%1."/>
      <w:lvlJc w:val="left"/>
      <w:pPr>
        <w:ind w:left="0" w:firstLine="720"/>
      </w:pPr>
      <w:rPr>
        <w:rFonts w:hint="default"/>
        <w:color w:val="000000"/>
        <w:position w:val="0"/>
        <w:sz w:val="24"/>
      </w:rPr>
    </w:lvl>
    <w:lvl w:ilvl="2">
      <w:start w:val="1"/>
      <w:numFmt w:val="bullet"/>
      <w:suff w:val="nothing"/>
      <w:lvlText w:val=""/>
      <w:lvlJc w:val="left"/>
      <w:pPr>
        <w:ind w:left="0" w:firstLine="720"/>
      </w:pPr>
      <w:rPr>
        <w:rFonts w:hint="default"/>
        <w:color w:val="000000"/>
        <w:position w:val="0"/>
        <w:sz w:val="24"/>
      </w:rPr>
    </w:lvl>
    <w:lvl w:ilvl="3">
      <w:start w:val="1"/>
      <w:numFmt w:val="bullet"/>
      <w:suff w:val="nothing"/>
      <w:lvlText w:val=""/>
      <w:lvlJc w:val="left"/>
      <w:pPr>
        <w:ind w:left="0" w:firstLine="720"/>
      </w:pPr>
      <w:rPr>
        <w:rFonts w:hint="default"/>
        <w:color w:val="000000"/>
        <w:position w:val="0"/>
        <w:sz w:val="24"/>
      </w:rPr>
    </w:lvl>
    <w:lvl w:ilvl="4">
      <w:start w:val="1"/>
      <w:numFmt w:val="bullet"/>
      <w:suff w:val="nothing"/>
      <w:lvlText w:val=""/>
      <w:lvlJc w:val="left"/>
      <w:pPr>
        <w:ind w:left="0" w:firstLine="720"/>
      </w:pPr>
      <w:rPr>
        <w:rFonts w:hint="default"/>
        <w:color w:val="000000"/>
        <w:position w:val="0"/>
        <w:sz w:val="24"/>
      </w:rPr>
    </w:lvl>
    <w:lvl w:ilvl="5">
      <w:start w:val="1"/>
      <w:numFmt w:val="bullet"/>
      <w:suff w:val="nothing"/>
      <w:lvlText w:val=""/>
      <w:lvlJc w:val="left"/>
      <w:pPr>
        <w:ind w:left="0" w:firstLine="720"/>
      </w:pPr>
      <w:rPr>
        <w:rFonts w:hint="default"/>
        <w:color w:val="000000"/>
        <w:position w:val="0"/>
        <w:sz w:val="24"/>
      </w:rPr>
    </w:lvl>
    <w:lvl w:ilvl="6">
      <w:start w:val="1"/>
      <w:numFmt w:val="bullet"/>
      <w:suff w:val="nothing"/>
      <w:lvlText w:val=""/>
      <w:lvlJc w:val="left"/>
      <w:pPr>
        <w:ind w:left="0" w:firstLine="720"/>
      </w:pPr>
      <w:rPr>
        <w:rFonts w:hint="default"/>
        <w:color w:val="000000"/>
        <w:position w:val="0"/>
        <w:sz w:val="24"/>
      </w:rPr>
    </w:lvl>
    <w:lvl w:ilvl="7">
      <w:start w:val="1"/>
      <w:numFmt w:val="bullet"/>
      <w:suff w:val="nothing"/>
      <w:lvlText w:val=""/>
      <w:lvlJc w:val="left"/>
      <w:pPr>
        <w:ind w:left="0" w:firstLine="720"/>
      </w:pPr>
      <w:rPr>
        <w:rFonts w:hint="default"/>
        <w:color w:val="000000"/>
        <w:position w:val="0"/>
        <w:sz w:val="24"/>
      </w:rPr>
    </w:lvl>
    <w:lvl w:ilvl="8">
      <w:start w:val="1"/>
      <w:numFmt w:val="bullet"/>
      <w:suff w:val="nothing"/>
      <w:lvlText w:val=""/>
      <w:lvlJc w:val="left"/>
      <w:pPr>
        <w:ind w:left="0" w:firstLine="720"/>
      </w:pPr>
      <w:rPr>
        <w:rFonts w:hint="default"/>
        <w:color w:val="000000"/>
        <w:position w:val="0"/>
        <w:sz w:val="24"/>
      </w:rPr>
    </w:lvl>
  </w:abstractNum>
  <w:abstractNum w:abstractNumId="2">
    <w:nsid w:val="00000002"/>
    <w:multiLevelType w:val="multilevel"/>
    <w:tmpl w:val="F1BEC786"/>
    <w:lvl w:ilvl="0">
      <w:start w:val="1"/>
      <w:numFmt w:val="lowerLetter"/>
      <w:suff w:val="nothing"/>
      <w:lvlText w:val="(%1)"/>
      <w:lvlJc w:val="left"/>
      <w:pPr>
        <w:ind w:left="2160" w:hanging="630"/>
      </w:pPr>
      <w:rPr>
        <w:rFonts w:hint="default"/>
        <w:i w:val="0"/>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3">
    <w:nsid w:val="0E6E43EA"/>
    <w:multiLevelType w:val="hybridMultilevel"/>
    <w:tmpl w:val="E16ECD90"/>
    <w:lvl w:ilvl="0" w:tplc="8D42B7E8">
      <w:start w:val="1"/>
      <w:numFmt w:val="decimal"/>
      <w:lvlText w:val="%1."/>
      <w:lvlJc w:val="left"/>
      <w:pPr>
        <w:tabs>
          <w:tab w:val="num" w:pos="1440"/>
        </w:tabs>
        <w:ind w:firstLine="720"/>
      </w:pPr>
      <w:rPr>
        <w:rFonts w:cs="Times New Roman"/>
      </w:rPr>
    </w:lvl>
    <w:lvl w:ilvl="1" w:tplc="A2668FC2">
      <w:start w:val="1"/>
      <w:numFmt w:val="lowerLetter"/>
      <w:lvlText w:val="(%2)"/>
      <w:lvlJc w:val="left"/>
      <w:pPr>
        <w:tabs>
          <w:tab w:val="num" w:pos="1800"/>
        </w:tabs>
        <w:ind w:left="1800" w:hanging="360"/>
      </w:pPr>
      <w:rPr>
        <w:rFonts w:cs="Times New Roman"/>
        <w:b w:val="0"/>
        <w:sz w:val="22"/>
        <w:szCs w:val="22"/>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
    <w:nsid w:val="14907F2C"/>
    <w:multiLevelType w:val="hybridMultilevel"/>
    <w:tmpl w:val="BE008750"/>
    <w:lvl w:ilvl="0" w:tplc="A798FB7E">
      <w:start w:val="1"/>
      <w:numFmt w:val="lowerLetter"/>
      <w:lvlText w:val="(%1)"/>
      <w:lvlJc w:val="left"/>
      <w:pPr>
        <w:tabs>
          <w:tab w:val="num" w:pos="3960"/>
        </w:tabs>
        <w:ind w:left="3960" w:hanging="432"/>
      </w:pPr>
      <w:rPr>
        <w:rFonts w:hint="default"/>
        <w:b w:val="0"/>
        <w:i w:val="0"/>
        <w:sz w:val="22"/>
        <w:szCs w:val="22"/>
      </w:rPr>
    </w:lvl>
    <w:lvl w:ilvl="1" w:tplc="FFFFFFFF">
      <w:start w:val="1"/>
      <w:numFmt w:val="lowerLetter"/>
      <w:lvlText w:val="%2."/>
      <w:lvlJc w:val="left"/>
      <w:pPr>
        <w:tabs>
          <w:tab w:val="num" w:pos="4176"/>
        </w:tabs>
        <w:ind w:left="4176" w:hanging="360"/>
      </w:pPr>
    </w:lvl>
    <w:lvl w:ilvl="2" w:tplc="FFFFFFFF" w:tentative="1">
      <w:start w:val="1"/>
      <w:numFmt w:val="lowerRoman"/>
      <w:lvlText w:val="%3."/>
      <w:lvlJc w:val="right"/>
      <w:pPr>
        <w:tabs>
          <w:tab w:val="num" w:pos="4896"/>
        </w:tabs>
        <w:ind w:left="4896" w:hanging="180"/>
      </w:pPr>
    </w:lvl>
    <w:lvl w:ilvl="3" w:tplc="FFFFFFFF" w:tentative="1">
      <w:start w:val="1"/>
      <w:numFmt w:val="decimal"/>
      <w:lvlText w:val="%4."/>
      <w:lvlJc w:val="left"/>
      <w:pPr>
        <w:tabs>
          <w:tab w:val="num" w:pos="5616"/>
        </w:tabs>
        <w:ind w:left="5616" w:hanging="360"/>
      </w:pPr>
    </w:lvl>
    <w:lvl w:ilvl="4" w:tplc="FFFFFFFF" w:tentative="1">
      <w:start w:val="1"/>
      <w:numFmt w:val="lowerLetter"/>
      <w:lvlText w:val="%5."/>
      <w:lvlJc w:val="left"/>
      <w:pPr>
        <w:tabs>
          <w:tab w:val="num" w:pos="6336"/>
        </w:tabs>
        <w:ind w:left="6336" w:hanging="360"/>
      </w:pPr>
    </w:lvl>
    <w:lvl w:ilvl="5" w:tplc="FFFFFFFF" w:tentative="1">
      <w:start w:val="1"/>
      <w:numFmt w:val="lowerRoman"/>
      <w:lvlText w:val="%6."/>
      <w:lvlJc w:val="right"/>
      <w:pPr>
        <w:tabs>
          <w:tab w:val="num" w:pos="7056"/>
        </w:tabs>
        <w:ind w:left="7056" w:hanging="180"/>
      </w:pPr>
    </w:lvl>
    <w:lvl w:ilvl="6" w:tplc="FFFFFFFF" w:tentative="1">
      <w:start w:val="1"/>
      <w:numFmt w:val="decimal"/>
      <w:lvlText w:val="%7."/>
      <w:lvlJc w:val="left"/>
      <w:pPr>
        <w:tabs>
          <w:tab w:val="num" w:pos="7776"/>
        </w:tabs>
        <w:ind w:left="7776" w:hanging="360"/>
      </w:pPr>
    </w:lvl>
    <w:lvl w:ilvl="7" w:tplc="FFFFFFFF" w:tentative="1">
      <w:start w:val="1"/>
      <w:numFmt w:val="lowerLetter"/>
      <w:lvlText w:val="%8."/>
      <w:lvlJc w:val="left"/>
      <w:pPr>
        <w:tabs>
          <w:tab w:val="num" w:pos="8496"/>
        </w:tabs>
        <w:ind w:left="8496" w:hanging="360"/>
      </w:pPr>
    </w:lvl>
    <w:lvl w:ilvl="8" w:tplc="FFFFFFFF" w:tentative="1">
      <w:start w:val="1"/>
      <w:numFmt w:val="lowerRoman"/>
      <w:lvlText w:val="%9."/>
      <w:lvlJc w:val="right"/>
      <w:pPr>
        <w:tabs>
          <w:tab w:val="num" w:pos="9216"/>
        </w:tabs>
        <w:ind w:left="9216" w:hanging="180"/>
      </w:pPr>
    </w:lvl>
  </w:abstractNum>
  <w:abstractNum w:abstractNumId="5">
    <w:nsid w:val="18EC47F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11260EF"/>
    <w:multiLevelType w:val="hybridMultilevel"/>
    <w:tmpl w:val="8594F68A"/>
    <w:lvl w:ilvl="0" w:tplc="9E7C7020">
      <w:start w:val="1"/>
      <w:numFmt w:val="lowerLetter"/>
      <w:lvlText w:val="(%1)"/>
      <w:lvlJc w:val="left"/>
      <w:pPr>
        <w:ind w:left="720" w:hanging="360"/>
      </w:pPr>
      <w:rPr>
        <w:rFonts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40A0F"/>
    <w:multiLevelType w:val="singleLevel"/>
    <w:tmpl w:val="3244DD0A"/>
    <w:lvl w:ilvl="0">
      <w:start w:val="1"/>
      <w:numFmt w:val="bullet"/>
      <w:lvlText w:val=""/>
      <w:lvlJc w:val="left"/>
      <w:pPr>
        <w:tabs>
          <w:tab w:val="num" w:pos="360"/>
        </w:tabs>
        <w:ind w:left="360" w:hanging="360"/>
      </w:pPr>
      <w:rPr>
        <w:rFonts w:ascii="Symbol" w:hAnsi="Symbol" w:hint="default"/>
      </w:rPr>
    </w:lvl>
  </w:abstractNum>
  <w:abstractNum w:abstractNumId="8">
    <w:nsid w:val="27E06CBB"/>
    <w:multiLevelType w:val="multilevel"/>
    <w:tmpl w:val="F1A86982"/>
    <w:lvl w:ilvl="0">
      <w:start w:val="1"/>
      <w:numFmt w:val="upperRoman"/>
      <w:pStyle w:val="Heading1"/>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lowerLetter"/>
      <w:pStyle w:val="Heading4"/>
      <w:lvlText w:val="%4."/>
      <w:lvlJc w:val="left"/>
      <w:pPr>
        <w:tabs>
          <w:tab w:val="num" w:pos="2880"/>
        </w:tabs>
        <w:ind w:left="2880" w:hanging="720"/>
      </w:pPr>
    </w:lvl>
    <w:lvl w:ilvl="4">
      <w:start w:val="1"/>
      <w:numFmt w:val="lowerRoman"/>
      <w:pStyle w:val="Heading5"/>
      <w:lvlText w:val="(%5)"/>
      <w:lvlJc w:val="left"/>
      <w:pPr>
        <w:tabs>
          <w:tab w:val="num" w:pos="3600"/>
        </w:tabs>
        <w:ind w:left="3600" w:hanging="720"/>
      </w:pPr>
    </w:lvl>
    <w:lvl w:ilvl="5">
      <w:start w:val="1"/>
      <w:numFmt w:val="lowerLetter"/>
      <w:pStyle w:val="Heading6"/>
      <w:lvlText w:val="(%6)"/>
      <w:lvlJc w:val="left"/>
      <w:pPr>
        <w:tabs>
          <w:tab w:val="num" w:pos="4320"/>
        </w:tabs>
        <w:ind w:left="4320" w:hanging="720"/>
      </w:pPr>
    </w:lvl>
    <w:lvl w:ilvl="6">
      <w:start w:val="1"/>
      <w:numFmt w:val="lowerRoman"/>
      <w:pStyle w:val="Heading7"/>
      <w:lvlText w:val="(%7)"/>
      <w:lvlJc w:val="left"/>
      <w:pPr>
        <w:tabs>
          <w:tab w:val="num" w:pos="504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9">
    <w:nsid w:val="291D7691"/>
    <w:multiLevelType w:val="multilevel"/>
    <w:tmpl w:val="F1BEC786"/>
    <w:lvl w:ilvl="0">
      <w:start w:val="1"/>
      <w:numFmt w:val="lowerLetter"/>
      <w:suff w:val="nothing"/>
      <w:lvlText w:val="(%1)"/>
      <w:lvlJc w:val="left"/>
      <w:pPr>
        <w:ind w:left="2160" w:hanging="630"/>
      </w:pPr>
      <w:rPr>
        <w:rFonts w:hint="default"/>
        <w:i w:val="0"/>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0">
    <w:nsid w:val="37685427"/>
    <w:multiLevelType w:val="hybridMultilevel"/>
    <w:tmpl w:val="D616808C"/>
    <w:lvl w:ilvl="0" w:tplc="EC867508">
      <w:start w:val="1"/>
      <w:numFmt w:val="lowerLetter"/>
      <w:lvlText w:val="(%1)"/>
      <w:lvlJc w:val="left"/>
      <w:pPr>
        <w:tabs>
          <w:tab w:val="num" w:pos="1080"/>
        </w:tabs>
        <w:ind w:left="1080" w:hanging="360"/>
      </w:pPr>
      <w:rPr>
        <w:rFonts w:ascii="Times New Roman" w:eastAsia="Times New Roman" w:hAnsi="Times New Roman" w:cs="Times New Roman"/>
        <w:b w:val="0"/>
        <w:sz w:val="22"/>
        <w:szCs w:val="22"/>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41127E7E"/>
    <w:multiLevelType w:val="hybridMultilevel"/>
    <w:tmpl w:val="EDD0E9C6"/>
    <w:lvl w:ilvl="0" w:tplc="292CCE7E">
      <w:start w:val="1"/>
      <w:numFmt w:val="bullet"/>
      <w:lvlText w:val=""/>
      <w:lvlJc w:val="left"/>
      <w:pPr>
        <w:tabs>
          <w:tab w:val="num" w:pos="1080"/>
        </w:tabs>
        <w:ind w:left="1080" w:hanging="360"/>
      </w:pPr>
      <w:rPr>
        <w:rFonts w:ascii="Wingdings" w:hAnsi="Wingdings" w:hint="default"/>
        <w:color w:val="auto"/>
        <w:sz w:val="16"/>
      </w:rPr>
    </w:lvl>
    <w:lvl w:ilvl="1" w:tplc="04090019" w:tentative="1">
      <w:start w:val="1"/>
      <w:numFmt w:val="lowerLetter"/>
      <w:lvlText w:val="%2."/>
      <w:lvlJc w:val="left"/>
      <w:pPr>
        <w:tabs>
          <w:tab w:val="num" w:pos="0"/>
        </w:tabs>
        <w:ind w:hanging="360"/>
      </w:pPr>
      <w:rPr>
        <w:rFonts w:cs="Times New Roman"/>
      </w:rPr>
    </w:lvl>
    <w:lvl w:ilvl="2" w:tplc="0409001B" w:tentative="1">
      <w:start w:val="1"/>
      <w:numFmt w:val="lowerRoman"/>
      <w:lvlText w:val="%3."/>
      <w:lvlJc w:val="right"/>
      <w:pPr>
        <w:tabs>
          <w:tab w:val="num" w:pos="720"/>
        </w:tabs>
        <w:ind w:left="720" w:hanging="180"/>
      </w:pPr>
      <w:rPr>
        <w:rFonts w:cs="Times New Roman"/>
      </w:rPr>
    </w:lvl>
    <w:lvl w:ilvl="3" w:tplc="0409000F" w:tentative="1">
      <w:start w:val="1"/>
      <w:numFmt w:val="decimal"/>
      <w:lvlText w:val="%4."/>
      <w:lvlJc w:val="left"/>
      <w:pPr>
        <w:tabs>
          <w:tab w:val="num" w:pos="1440"/>
        </w:tabs>
        <w:ind w:left="1440" w:hanging="360"/>
      </w:pPr>
      <w:rPr>
        <w:rFonts w:cs="Times New Roman"/>
      </w:rPr>
    </w:lvl>
    <w:lvl w:ilvl="4" w:tplc="04090019" w:tentative="1">
      <w:start w:val="1"/>
      <w:numFmt w:val="lowerLetter"/>
      <w:lvlText w:val="%5."/>
      <w:lvlJc w:val="left"/>
      <w:pPr>
        <w:tabs>
          <w:tab w:val="num" w:pos="2160"/>
        </w:tabs>
        <w:ind w:left="2160" w:hanging="360"/>
      </w:pPr>
      <w:rPr>
        <w:rFonts w:cs="Times New Roman"/>
      </w:rPr>
    </w:lvl>
    <w:lvl w:ilvl="5" w:tplc="0409001B" w:tentative="1">
      <w:start w:val="1"/>
      <w:numFmt w:val="lowerRoman"/>
      <w:lvlText w:val="%6."/>
      <w:lvlJc w:val="right"/>
      <w:pPr>
        <w:tabs>
          <w:tab w:val="num" w:pos="2880"/>
        </w:tabs>
        <w:ind w:left="2880" w:hanging="180"/>
      </w:pPr>
      <w:rPr>
        <w:rFonts w:cs="Times New Roman"/>
      </w:rPr>
    </w:lvl>
    <w:lvl w:ilvl="6" w:tplc="0409000F" w:tentative="1">
      <w:start w:val="1"/>
      <w:numFmt w:val="decimal"/>
      <w:lvlText w:val="%7."/>
      <w:lvlJc w:val="left"/>
      <w:pPr>
        <w:tabs>
          <w:tab w:val="num" w:pos="3600"/>
        </w:tabs>
        <w:ind w:left="3600" w:hanging="360"/>
      </w:pPr>
      <w:rPr>
        <w:rFonts w:cs="Times New Roman"/>
      </w:rPr>
    </w:lvl>
    <w:lvl w:ilvl="7" w:tplc="04090019" w:tentative="1">
      <w:start w:val="1"/>
      <w:numFmt w:val="lowerLetter"/>
      <w:lvlText w:val="%8."/>
      <w:lvlJc w:val="left"/>
      <w:pPr>
        <w:tabs>
          <w:tab w:val="num" w:pos="4320"/>
        </w:tabs>
        <w:ind w:left="4320" w:hanging="360"/>
      </w:pPr>
      <w:rPr>
        <w:rFonts w:cs="Times New Roman"/>
      </w:rPr>
    </w:lvl>
    <w:lvl w:ilvl="8" w:tplc="0409001B" w:tentative="1">
      <w:start w:val="1"/>
      <w:numFmt w:val="lowerRoman"/>
      <w:lvlText w:val="%9."/>
      <w:lvlJc w:val="right"/>
      <w:pPr>
        <w:tabs>
          <w:tab w:val="num" w:pos="5040"/>
        </w:tabs>
        <w:ind w:left="5040" w:hanging="180"/>
      </w:pPr>
      <w:rPr>
        <w:rFonts w:cs="Times New Roman"/>
      </w:rPr>
    </w:lvl>
  </w:abstractNum>
  <w:abstractNum w:abstractNumId="12">
    <w:nsid w:val="4528577B"/>
    <w:multiLevelType w:val="hybridMultilevel"/>
    <w:tmpl w:val="BE764A8A"/>
    <w:lvl w:ilvl="0" w:tplc="9E7C7020">
      <w:start w:val="1"/>
      <w:numFmt w:val="lowerLetter"/>
      <w:lvlText w:val="(%1)"/>
      <w:lvlJc w:val="left"/>
      <w:pPr>
        <w:ind w:left="720" w:hanging="360"/>
      </w:pPr>
      <w:rPr>
        <w:rFonts w:cs="Times New Roman"/>
        <w:i w:val="0"/>
      </w:rPr>
    </w:lvl>
    <w:lvl w:ilvl="1" w:tplc="E654C72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144ABE"/>
    <w:multiLevelType w:val="multilevel"/>
    <w:tmpl w:val="B3EC08CA"/>
    <w:lvl w:ilvl="0">
      <w:start w:val="1"/>
      <w:numFmt w:val="decimal"/>
      <w:pStyle w:val="Paranum"/>
      <w:lvlText w:val="%1)"/>
      <w:lvlJc w:val="left"/>
      <w:pPr>
        <w:tabs>
          <w:tab w:val="num" w:pos="360"/>
        </w:tabs>
        <w:ind w:left="360" w:hanging="360"/>
      </w:pPr>
      <w:rPr>
        <w:rFonts w:hint="default"/>
        <w:i w:val="0"/>
        <w:color w:val="000000"/>
        <w:position w:val="0"/>
        <w:sz w:val="24"/>
      </w:rPr>
    </w:lvl>
    <w:lvl w:ilvl="1">
      <w:start w:val="1"/>
      <w:numFmt w:val="lowerLetter"/>
      <w:lvlText w:val="%2)"/>
      <w:lvlJc w:val="left"/>
      <w:pPr>
        <w:tabs>
          <w:tab w:val="num" w:pos="720"/>
        </w:tabs>
        <w:ind w:left="2160" w:hanging="648"/>
      </w:pPr>
      <w:rPr>
        <w:rFonts w:hint="default"/>
        <w:color w:val="000000"/>
        <w:position w:val="0"/>
        <w:sz w:val="24"/>
      </w:rPr>
    </w:lvl>
    <w:lvl w:ilvl="2">
      <w:start w:val="1"/>
      <w:numFmt w:val="lowerRoman"/>
      <w:lvlText w:val="%3)"/>
      <w:lvlJc w:val="left"/>
      <w:pPr>
        <w:tabs>
          <w:tab w:val="num" w:pos="1080"/>
        </w:tabs>
        <w:ind w:left="1080" w:hanging="360"/>
      </w:pPr>
      <w:rPr>
        <w:rFonts w:hint="default"/>
        <w:color w:val="000000"/>
        <w:position w:val="0"/>
        <w:sz w:val="24"/>
      </w:rPr>
    </w:lvl>
    <w:lvl w:ilvl="3">
      <w:start w:val="1"/>
      <w:numFmt w:val="decimal"/>
      <w:lvlText w:val="(%4)"/>
      <w:lvlJc w:val="left"/>
      <w:pPr>
        <w:tabs>
          <w:tab w:val="num" w:pos="1440"/>
        </w:tabs>
        <w:ind w:left="1440" w:hanging="360"/>
      </w:pPr>
      <w:rPr>
        <w:rFonts w:hint="default"/>
        <w:color w:val="000000"/>
        <w:position w:val="0"/>
        <w:sz w:val="24"/>
      </w:rPr>
    </w:lvl>
    <w:lvl w:ilvl="4">
      <w:start w:val="1"/>
      <w:numFmt w:val="none"/>
      <w:lvlRestart w:val="1"/>
      <w:lvlText w:val="g)"/>
      <w:lvlJc w:val="left"/>
      <w:pPr>
        <w:tabs>
          <w:tab w:val="num" w:pos="1512"/>
        </w:tabs>
        <w:ind w:left="2160" w:hanging="648"/>
      </w:pPr>
      <w:rPr>
        <w:rFonts w:hint="default"/>
        <w:color w:val="000000"/>
        <w:position w:val="0"/>
        <w:sz w:val="24"/>
      </w:rPr>
    </w:lvl>
    <w:lvl w:ilvl="5">
      <w:start w:val="1"/>
      <w:numFmt w:val="lowerRoman"/>
      <w:lvlText w:val="(%6)"/>
      <w:lvlJc w:val="left"/>
      <w:pPr>
        <w:tabs>
          <w:tab w:val="num" w:pos="2160"/>
        </w:tabs>
        <w:ind w:left="2160" w:hanging="360"/>
      </w:pPr>
      <w:rPr>
        <w:rFonts w:hint="default"/>
        <w:color w:val="000000"/>
        <w:position w:val="0"/>
        <w:sz w:val="24"/>
      </w:rPr>
    </w:lvl>
    <w:lvl w:ilvl="6">
      <w:start w:val="1"/>
      <w:numFmt w:val="decimal"/>
      <w:lvlText w:val="%7."/>
      <w:lvlJc w:val="left"/>
      <w:pPr>
        <w:tabs>
          <w:tab w:val="num" w:pos="2520"/>
        </w:tabs>
        <w:ind w:left="2520" w:hanging="360"/>
      </w:pPr>
      <w:rPr>
        <w:rFonts w:hint="default"/>
        <w:color w:val="000000"/>
        <w:position w:val="0"/>
        <w:sz w:val="24"/>
      </w:rPr>
    </w:lvl>
    <w:lvl w:ilvl="7">
      <w:start w:val="1"/>
      <w:numFmt w:val="lowerLetter"/>
      <w:lvlText w:val="%8."/>
      <w:lvlJc w:val="left"/>
      <w:pPr>
        <w:tabs>
          <w:tab w:val="num" w:pos="2880"/>
        </w:tabs>
        <w:ind w:left="2880" w:hanging="360"/>
      </w:pPr>
      <w:rPr>
        <w:rFonts w:hint="default"/>
        <w:color w:val="000000"/>
        <w:position w:val="0"/>
        <w:sz w:val="24"/>
      </w:rPr>
    </w:lvl>
    <w:lvl w:ilvl="8">
      <w:start w:val="1"/>
      <w:numFmt w:val="lowerRoman"/>
      <w:lvlText w:val="%9."/>
      <w:lvlJc w:val="left"/>
      <w:pPr>
        <w:tabs>
          <w:tab w:val="num" w:pos="1800"/>
        </w:tabs>
        <w:ind w:left="1800" w:hanging="360"/>
      </w:pPr>
      <w:rPr>
        <w:rFonts w:hint="default"/>
        <w:color w:val="000000"/>
        <w:position w:val="0"/>
        <w:sz w:val="24"/>
      </w:rPr>
    </w:lvl>
  </w:abstractNum>
  <w:abstractNum w:abstractNumId="14">
    <w:nsid w:val="61182925"/>
    <w:multiLevelType w:val="singleLevel"/>
    <w:tmpl w:val="C770CB7E"/>
    <w:lvl w:ilvl="0">
      <w:start w:val="1"/>
      <w:numFmt w:val="decimal"/>
      <w:pStyle w:val="ParaNum0"/>
      <w:lvlText w:val="%1."/>
      <w:lvlJc w:val="left"/>
      <w:pPr>
        <w:tabs>
          <w:tab w:val="num" w:pos="1020"/>
        </w:tabs>
        <w:ind w:left="-60" w:firstLine="720"/>
      </w:pPr>
      <w:rPr>
        <w:b w:val="0"/>
      </w:rPr>
    </w:lvl>
  </w:abstractNum>
  <w:abstractNum w:abstractNumId="15">
    <w:nsid w:val="62AB0479"/>
    <w:multiLevelType w:val="hybridMultilevel"/>
    <w:tmpl w:val="8594F68A"/>
    <w:lvl w:ilvl="0" w:tplc="9E7C7020">
      <w:start w:val="1"/>
      <w:numFmt w:val="lowerLetter"/>
      <w:lvlText w:val="(%1)"/>
      <w:lvlJc w:val="left"/>
      <w:pPr>
        <w:ind w:left="720" w:hanging="360"/>
      </w:pPr>
      <w:rPr>
        <w:rFonts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8A4A7C"/>
    <w:multiLevelType w:val="hybridMultilevel"/>
    <w:tmpl w:val="027808F8"/>
    <w:lvl w:ilvl="0" w:tplc="9E7C7020">
      <w:start w:val="1"/>
      <w:numFmt w:val="lowerLetter"/>
      <w:lvlText w:val="(%1)"/>
      <w:lvlJc w:val="left"/>
      <w:pPr>
        <w:ind w:left="720" w:hanging="360"/>
      </w:pPr>
      <w:rPr>
        <w:rFonts w:cs="Times New Roman"/>
        <w:i w:val="0"/>
      </w:rPr>
    </w:lvl>
    <w:lvl w:ilvl="1" w:tplc="E654C72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2B48D2"/>
    <w:multiLevelType w:val="singleLevel"/>
    <w:tmpl w:val="462A4EC8"/>
    <w:lvl w:ilvl="0">
      <w:start w:val="1"/>
      <w:numFmt w:val="decimal"/>
      <w:lvlText w:val="%1."/>
      <w:lvlJc w:val="left"/>
      <w:pPr>
        <w:tabs>
          <w:tab w:val="num" w:pos="1080"/>
        </w:tabs>
        <w:ind w:left="0" w:firstLine="720"/>
      </w:pPr>
      <w:rPr>
        <w:b w:val="0"/>
        <w:color w:val="auto"/>
      </w:rPr>
    </w:lvl>
  </w:abstractNum>
  <w:abstractNum w:abstractNumId="18">
    <w:nsid w:val="79836638"/>
    <w:multiLevelType w:val="multilevel"/>
    <w:tmpl w:val="11DA2F8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512"/>
        </w:tabs>
        <w:ind w:left="2160" w:hanging="64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7"/>
  </w:num>
  <w:num w:numId="2">
    <w:abstractNumId w:val="14"/>
  </w:num>
  <w:num w:numId="3">
    <w:abstractNumId w:val="8"/>
  </w:num>
  <w:num w:numId="4">
    <w:abstractNumId w:val="1"/>
  </w:num>
  <w:num w:numId="5">
    <w:abstractNumId w:val="2"/>
  </w:num>
  <w:num w:numId="6">
    <w:abstractNumId w:val="5"/>
  </w:num>
  <w:num w:numId="7">
    <w:abstractNumId w:val="13"/>
  </w:num>
  <w:num w:numId="8">
    <w:abstractNumId w:val="18"/>
  </w:num>
  <w:num w:numId="9">
    <w:abstractNumId w:val="10"/>
  </w:num>
  <w:num w:numId="10">
    <w:abstractNumId w:val="0"/>
  </w:num>
  <w:num w:numId="11">
    <w:abstractNumId w:val="9"/>
  </w:num>
  <w:num w:numId="12">
    <w:abstractNumId w:val="6"/>
  </w:num>
  <w:num w:numId="13">
    <w:abstractNumId w:val="15"/>
  </w:num>
  <w:num w:numId="14">
    <w:abstractNumId w:val="12"/>
  </w:num>
  <w:num w:numId="15">
    <w:abstractNumId w:val="16"/>
  </w:num>
  <w:num w:numId="16">
    <w:abstractNumId w:val="3"/>
  </w:num>
  <w:num w:numId="17">
    <w:abstractNumId w:val="11"/>
  </w:num>
  <w:num w:numId="18">
    <w:abstractNumId w:val="14"/>
    <w:lvlOverride w:ilvl="0">
      <w:startOverride w:val="1"/>
    </w:lvlOverride>
  </w:num>
  <w:num w:numId="19">
    <w:abstractNumId w:val="4"/>
  </w:num>
  <w:num w:numId="20">
    <w:abstractNumId w:val="17"/>
  </w:num>
  <w:num w:numId="21">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6145"/>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A3B"/>
    <w:rsid w:val="00000DBE"/>
    <w:rsid w:val="00000FBD"/>
    <w:rsid w:val="00003A49"/>
    <w:rsid w:val="000041D3"/>
    <w:rsid w:val="00005C07"/>
    <w:rsid w:val="000070AD"/>
    <w:rsid w:val="000108DD"/>
    <w:rsid w:val="00010F86"/>
    <w:rsid w:val="00012FAE"/>
    <w:rsid w:val="00013878"/>
    <w:rsid w:val="00015D91"/>
    <w:rsid w:val="00020B44"/>
    <w:rsid w:val="000239E2"/>
    <w:rsid w:val="00034B5A"/>
    <w:rsid w:val="00036039"/>
    <w:rsid w:val="000364D8"/>
    <w:rsid w:val="00036EBB"/>
    <w:rsid w:val="00037E11"/>
    <w:rsid w:val="00037F90"/>
    <w:rsid w:val="00043776"/>
    <w:rsid w:val="000471EB"/>
    <w:rsid w:val="000510A7"/>
    <w:rsid w:val="000523BF"/>
    <w:rsid w:val="0005609C"/>
    <w:rsid w:val="00056A0B"/>
    <w:rsid w:val="000571F2"/>
    <w:rsid w:val="00064F29"/>
    <w:rsid w:val="00064FCE"/>
    <w:rsid w:val="000651CD"/>
    <w:rsid w:val="000667BC"/>
    <w:rsid w:val="0007072B"/>
    <w:rsid w:val="00071BBF"/>
    <w:rsid w:val="000766C3"/>
    <w:rsid w:val="000768D2"/>
    <w:rsid w:val="0007704E"/>
    <w:rsid w:val="00077556"/>
    <w:rsid w:val="00080F27"/>
    <w:rsid w:val="00081847"/>
    <w:rsid w:val="00082ABF"/>
    <w:rsid w:val="000875BF"/>
    <w:rsid w:val="00091170"/>
    <w:rsid w:val="00093012"/>
    <w:rsid w:val="00093B5D"/>
    <w:rsid w:val="00094CF1"/>
    <w:rsid w:val="00094FF2"/>
    <w:rsid w:val="00095357"/>
    <w:rsid w:val="00095A45"/>
    <w:rsid w:val="00096D8C"/>
    <w:rsid w:val="000A0DDD"/>
    <w:rsid w:val="000A2A9D"/>
    <w:rsid w:val="000B076B"/>
    <w:rsid w:val="000B5B2D"/>
    <w:rsid w:val="000C0B65"/>
    <w:rsid w:val="000C2734"/>
    <w:rsid w:val="000C274D"/>
    <w:rsid w:val="000C4D17"/>
    <w:rsid w:val="000C564E"/>
    <w:rsid w:val="000C6AEC"/>
    <w:rsid w:val="000D0D84"/>
    <w:rsid w:val="000D2531"/>
    <w:rsid w:val="000E0ABD"/>
    <w:rsid w:val="000E156D"/>
    <w:rsid w:val="000E1B55"/>
    <w:rsid w:val="000E39A5"/>
    <w:rsid w:val="000E3D42"/>
    <w:rsid w:val="000E4504"/>
    <w:rsid w:val="000E5361"/>
    <w:rsid w:val="000F1615"/>
    <w:rsid w:val="000F1739"/>
    <w:rsid w:val="000F20A7"/>
    <w:rsid w:val="000F2CC0"/>
    <w:rsid w:val="001026B7"/>
    <w:rsid w:val="00106033"/>
    <w:rsid w:val="00107F47"/>
    <w:rsid w:val="00111274"/>
    <w:rsid w:val="00113BE4"/>
    <w:rsid w:val="001163D2"/>
    <w:rsid w:val="00117704"/>
    <w:rsid w:val="00122BD5"/>
    <w:rsid w:val="00122F40"/>
    <w:rsid w:val="0012311C"/>
    <w:rsid w:val="00126E99"/>
    <w:rsid w:val="0013481A"/>
    <w:rsid w:val="001351ED"/>
    <w:rsid w:val="001352B6"/>
    <w:rsid w:val="0013545C"/>
    <w:rsid w:val="0013714B"/>
    <w:rsid w:val="00137D23"/>
    <w:rsid w:val="00140DE8"/>
    <w:rsid w:val="00152C11"/>
    <w:rsid w:val="00154ED6"/>
    <w:rsid w:val="0015533E"/>
    <w:rsid w:val="00162FDA"/>
    <w:rsid w:val="00163571"/>
    <w:rsid w:val="00164854"/>
    <w:rsid w:val="00164C0C"/>
    <w:rsid w:val="001659BF"/>
    <w:rsid w:val="00167648"/>
    <w:rsid w:val="00167750"/>
    <w:rsid w:val="0017171A"/>
    <w:rsid w:val="001739FE"/>
    <w:rsid w:val="00176740"/>
    <w:rsid w:val="00180869"/>
    <w:rsid w:val="00184804"/>
    <w:rsid w:val="0018505D"/>
    <w:rsid w:val="001850F1"/>
    <w:rsid w:val="0019189C"/>
    <w:rsid w:val="001949C4"/>
    <w:rsid w:val="00195BA6"/>
    <w:rsid w:val="0019659E"/>
    <w:rsid w:val="001A2DDC"/>
    <w:rsid w:val="001B081D"/>
    <w:rsid w:val="001B34D7"/>
    <w:rsid w:val="001B4432"/>
    <w:rsid w:val="001B4AF4"/>
    <w:rsid w:val="001B59E9"/>
    <w:rsid w:val="001C1EA0"/>
    <w:rsid w:val="001C50A9"/>
    <w:rsid w:val="001C5511"/>
    <w:rsid w:val="001C7762"/>
    <w:rsid w:val="001D63ED"/>
    <w:rsid w:val="001D6BCF"/>
    <w:rsid w:val="001D7B3C"/>
    <w:rsid w:val="001D7EFF"/>
    <w:rsid w:val="001E01CA"/>
    <w:rsid w:val="001E7454"/>
    <w:rsid w:val="001E7791"/>
    <w:rsid w:val="001E790B"/>
    <w:rsid w:val="001E7F75"/>
    <w:rsid w:val="001F0CA8"/>
    <w:rsid w:val="001F11C8"/>
    <w:rsid w:val="001F2137"/>
    <w:rsid w:val="001F50E8"/>
    <w:rsid w:val="001F6F19"/>
    <w:rsid w:val="001F7767"/>
    <w:rsid w:val="001F7FDD"/>
    <w:rsid w:val="0020707F"/>
    <w:rsid w:val="0021043C"/>
    <w:rsid w:val="00210660"/>
    <w:rsid w:val="00214BAF"/>
    <w:rsid w:val="00215253"/>
    <w:rsid w:val="002164D1"/>
    <w:rsid w:val="00216E32"/>
    <w:rsid w:val="00220C5A"/>
    <w:rsid w:val="00223495"/>
    <w:rsid w:val="00223E8D"/>
    <w:rsid w:val="002276F6"/>
    <w:rsid w:val="0023139F"/>
    <w:rsid w:val="002352DC"/>
    <w:rsid w:val="00237D02"/>
    <w:rsid w:val="00237F53"/>
    <w:rsid w:val="0024180E"/>
    <w:rsid w:val="00243338"/>
    <w:rsid w:val="002578B4"/>
    <w:rsid w:val="002618E1"/>
    <w:rsid w:val="002640C8"/>
    <w:rsid w:val="00265062"/>
    <w:rsid w:val="0026544F"/>
    <w:rsid w:val="002666A1"/>
    <w:rsid w:val="00267F7A"/>
    <w:rsid w:val="00271150"/>
    <w:rsid w:val="00274C76"/>
    <w:rsid w:val="002815F2"/>
    <w:rsid w:val="00281935"/>
    <w:rsid w:val="00282074"/>
    <w:rsid w:val="0028370A"/>
    <w:rsid w:val="00285017"/>
    <w:rsid w:val="002867D4"/>
    <w:rsid w:val="00295C0F"/>
    <w:rsid w:val="002960DA"/>
    <w:rsid w:val="002A15CB"/>
    <w:rsid w:val="002A2D2E"/>
    <w:rsid w:val="002A59AE"/>
    <w:rsid w:val="002A72D2"/>
    <w:rsid w:val="002B0260"/>
    <w:rsid w:val="002B10B8"/>
    <w:rsid w:val="002B22CB"/>
    <w:rsid w:val="002C0553"/>
    <w:rsid w:val="002C0646"/>
    <w:rsid w:val="002C2E51"/>
    <w:rsid w:val="002D0042"/>
    <w:rsid w:val="002D17E3"/>
    <w:rsid w:val="002D1FAA"/>
    <w:rsid w:val="002D238A"/>
    <w:rsid w:val="002D315F"/>
    <w:rsid w:val="002E5543"/>
    <w:rsid w:val="002E5A3D"/>
    <w:rsid w:val="002E5D23"/>
    <w:rsid w:val="002F0F20"/>
    <w:rsid w:val="002F5ABE"/>
    <w:rsid w:val="002F5DF2"/>
    <w:rsid w:val="002F6843"/>
    <w:rsid w:val="00302B5C"/>
    <w:rsid w:val="00305ACB"/>
    <w:rsid w:val="003064E6"/>
    <w:rsid w:val="003078B2"/>
    <w:rsid w:val="003103EE"/>
    <w:rsid w:val="0031195C"/>
    <w:rsid w:val="00312AFF"/>
    <w:rsid w:val="00312F1C"/>
    <w:rsid w:val="00313285"/>
    <w:rsid w:val="00313DA5"/>
    <w:rsid w:val="0032052D"/>
    <w:rsid w:val="003260CC"/>
    <w:rsid w:val="00327CC3"/>
    <w:rsid w:val="00331412"/>
    <w:rsid w:val="003317A6"/>
    <w:rsid w:val="003358A1"/>
    <w:rsid w:val="00335DF3"/>
    <w:rsid w:val="00337ADC"/>
    <w:rsid w:val="00337E5C"/>
    <w:rsid w:val="0034062B"/>
    <w:rsid w:val="00343749"/>
    <w:rsid w:val="003465F0"/>
    <w:rsid w:val="003504B7"/>
    <w:rsid w:val="003518F0"/>
    <w:rsid w:val="00351C94"/>
    <w:rsid w:val="0035737C"/>
    <w:rsid w:val="00357877"/>
    <w:rsid w:val="00361141"/>
    <w:rsid w:val="0036234A"/>
    <w:rsid w:val="00363E6D"/>
    <w:rsid w:val="003646EF"/>
    <w:rsid w:val="00364C2D"/>
    <w:rsid w:val="00367E80"/>
    <w:rsid w:val="00371CBB"/>
    <w:rsid w:val="00374F64"/>
    <w:rsid w:val="003820CD"/>
    <w:rsid w:val="00382390"/>
    <w:rsid w:val="0038517E"/>
    <w:rsid w:val="00387632"/>
    <w:rsid w:val="00387900"/>
    <w:rsid w:val="00390491"/>
    <w:rsid w:val="00392D60"/>
    <w:rsid w:val="00395BCD"/>
    <w:rsid w:val="003A11DD"/>
    <w:rsid w:val="003A398D"/>
    <w:rsid w:val="003A3AF1"/>
    <w:rsid w:val="003A4A82"/>
    <w:rsid w:val="003A6AC1"/>
    <w:rsid w:val="003A764B"/>
    <w:rsid w:val="003B03F6"/>
    <w:rsid w:val="003B0550"/>
    <w:rsid w:val="003B09BB"/>
    <w:rsid w:val="003B1CF4"/>
    <w:rsid w:val="003B3BBD"/>
    <w:rsid w:val="003B694F"/>
    <w:rsid w:val="003C2A77"/>
    <w:rsid w:val="003C5EC5"/>
    <w:rsid w:val="003C7A5C"/>
    <w:rsid w:val="003D70F1"/>
    <w:rsid w:val="003E3B5D"/>
    <w:rsid w:val="003E50B4"/>
    <w:rsid w:val="003F1126"/>
    <w:rsid w:val="003F171C"/>
    <w:rsid w:val="003F3684"/>
    <w:rsid w:val="003F455E"/>
    <w:rsid w:val="003F46DD"/>
    <w:rsid w:val="003F7DB3"/>
    <w:rsid w:val="004008FF"/>
    <w:rsid w:val="00400BCE"/>
    <w:rsid w:val="00402B58"/>
    <w:rsid w:val="00403D17"/>
    <w:rsid w:val="0040629E"/>
    <w:rsid w:val="004068AE"/>
    <w:rsid w:val="00406A6D"/>
    <w:rsid w:val="00407ECE"/>
    <w:rsid w:val="00411CE0"/>
    <w:rsid w:val="00412FC5"/>
    <w:rsid w:val="00414B23"/>
    <w:rsid w:val="00414BD8"/>
    <w:rsid w:val="004173DD"/>
    <w:rsid w:val="00422276"/>
    <w:rsid w:val="00423909"/>
    <w:rsid w:val="004240F1"/>
    <w:rsid w:val="004242F1"/>
    <w:rsid w:val="004337B4"/>
    <w:rsid w:val="004359DD"/>
    <w:rsid w:val="00435BED"/>
    <w:rsid w:val="00435FB8"/>
    <w:rsid w:val="00437752"/>
    <w:rsid w:val="004409D9"/>
    <w:rsid w:val="00445A00"/>
    <w:rsid w:val="00445F6B"/>
    <w:rsid w:val="004468E5"/>
    <w:rsid w:val="00451B0F"/>
    <w:rsid w:val="004524CD"/>
    <w:rsid w:val="00463506"/>
    <w:rsid w:val="0046402A"/>
    <w:rsid w:val="00466657"/>
    <w:rsid w:val="00466CAF"/>
    <w:rsid w:val="00470234"/>
    <w:rsid w:val="00471F5F"/>
    <w:rsid w:val="00472C2B"/>
    <w:rsid w:val="00475C7B"/>
    <w:rsid w:val="00484691"/>
    <w:rsid w:val="00485E50"/>
    <w:rsid w:val="004870E7"/>
    <w:rsid w:val="00490932"/>
    <w:rsid w:val="004911A0"/>
    <w:rsid w:val="00496101"/>
    <w:rsid w:val="00496EF9"/>
    <w:rsid w:val="004A0D65"/>
    <w:rsid w:val="004A1DD7"/>
    <w:rsid w:val="004A264B"/>
    <w:rsid w:val="004A6B74"/>
    <w:rsid w:val="004B6395"/>
    <w:rsid w:val="004B6A6E"/>
    <w:rsid w:val="004B6D63"/>
    <w:rsid w:val="004B7BBB"/>
    <w:rsid w:val="004C2EE3"/>
    <w:rsid w:val="004C49D2"/>
    <w:rsid w:val="004C5C1C"/>
    <w:rsid w:val="004D14D2"/>
    <w:rsid w:val="004D2045"/>
    <w:rsid w:val="004D29AD"/>
    <w:rsid w:val="004D5144"/>
    <w:rsid w:val="004D5FBE"/>
    <w:rsid w:val="004D651F"/>
    <w:rsid w:val="004E26E2"/>
    <w:rsid w:val="004E4A22"/>
    <w:rsid w:val="004E5936"/>
    <w:rsid w:val="004E74E4"/>
    <w:rsid w:val="004F0E04"/>
    <w:rsid w:val="004F182B"/>
    <w:rsid w:val="004F6E4E"/>
    <w:rsid w:val="004F7620"/>
    <w:rsid w:val="00500B12"/>
    <w:rsid w:val="0050401D"/>
    <w:rsid w:val="00507569"/>
    <w:rsid w:val="00511968"/>
    <w:rsid w:val="005278FD"/>
    <w:rsid w:val="005334E3"/>
    <w:rsid w:val="00533791"/>
    <w:rsid w:val="0053623C"/>
    <w:rsid w:val="00537526"/>
    <w:rsid w:val="005404E4"/>
    <w:rsid w:val="00540959"/>
    <w:rsid w:val="00542469"/>
    <w:rsid w:val="005439A5"/>
    <w:rsid w:val="005500B4"/>
    <w:rsid w:val="005508BF"/>
    <w:rsid w:val="0055156A"/>
    <w:rsid w:val="00552A91"/>
    <w:rsid w:val="0055305B"/>
    <w:rsid w:val="00553DB6"/>
    <w:rsid w:val="005546D5"/>
    <w:rsid w:val="00554D97"/>
    <w:rsid w:val="0055546F"/>
    <w:rsid w:val="0055614C"/>
    <w:rsid w:val="00560215"/>
    <w:rsid w:val="00561907"/>
    <w:rsid w:val="00561D23"/>
    <w:rsid w:val="005645B1"/>
    <w:rsid w:val="00564EA2"/>
    <w:rsid w:val="00566789"/>
    <w:rsid w:val="00567FCE"/>
    <w:rsid w:val="005715A3"/>
    <w:rsid w:val="00572218"/>
    <w:rsid w:val="00572A65"/>
    <w:rsid w:val="005742F2"/>
    <w:rsid w:val="00580332"/>
    <w:rsid w:val="00582969"/>
    <w:rsid w:val="00586B59"/>
    <w:rsid w:val="005900FB"/>
    <w:rsid w:val="00591CCB"/>
    <w:rsid w:val="0059287D"/>
    <w:rsid w:val="005A2A94"/>
    <w:rsid w:val="005A2FC3"/>
    <w:rsid w:val="005A3822"/>
    <w:rsid w:val="005A479E"/>
    <w:rsid w:val="005B1335"/>
    <w:rsid w:val="005B4565"/>
    <w:rsid w:val="005B4D7F"/>
    <w:rsid w:val="005B6306"/>
    <w:rsid w:val="005B76E1"/>
    <w:rsid w:val="005C088D"/>
    <w:rsid w:val="005C11B2"/>
    <w:rsid w:val="005C23DE"/>
    <w:rsid w:val="005C2798"/>
    <w:rsid w:val="005D0449"/>
    <w:rsid w:val="005D1A67"/>
    <w:rsid w:val="005D1BFA"/>
    <w:rsid w:val="005D3E5A"/>
    <w:rsid w:val="005D3EF6"/>
    <w:rsid w:val="005D4F5D"/>
    <w:rsid w:val="005D771B"/>
    <w:rsid w:val="005E0407"/>
    <w:rsid w:val="005E1B20"/>
    <w:rsid w:val="005E1F28"/>
    <w:rsid w:val="005E221D"/>
    <w:rsid w:val="005E459C"/>
    <w:rsid w:val="005F1D26"/>
    <w:rsid w:val="005F54A4"/>
    <w:rsid w:val="005F5799"/>
    <w:rsid w:val="005F75C2"/>
    <w:rsid w:val="005F7BF1"/>
    <w:rsid w:val="006008AD"/>
    <w:rsid w:val="00601BCA"/>
    <w:rsid w:val="00602329"/>
    <w:rsid w:val="00602F90"/>
    <w:rsid w:val="00604267"/>
    <w:rsid w:val="00604AD4"/>
    <w:rsid w:val="00605281"/>
    <w:rsid w:val="00605A3F"/>
    <w:rsid w:val="00606203"/>
    <w:rsid w:val="006071FE"/>
    <w:rsid w:val="00607BA5"/>
    <w:rsid w:val="006100EB"/>
    <w:rsid w:val="006108AD"/>
    <w:rsid w:val="00610EA7"/>
    <w:rsid w:val="00612B4D"/>
    <w:rsid w:val="006149AB"/>
    <w:rsid w:val="006171EE"/>
    <w:rsid w:val="00624246"/>
    <w:rsid w:val="006244E5"/>
    <w:rsid w:val="006248B1"/>
    <w:rsid w:val="00624FD7"/>
    <w:rsid w:val="00626EB6"/>
    <w:rsid w:val="006317D3"/>
    <w:rsid w:val="0063475D"/>
    <w:rsid w:val="00637D09"/>
    <w:rsid w:val="00640893"/>
    <w:rsid w:val="006409A2"/>
    <w:rsid w:val="00642361"/>
    <w:rsid w:val="006520E6"/>
    <w:rsid w:val="00655D03"/>
    <w:rsid w:val="006561AF"/>
    <w:rsid w:val="00657D9B"/>
    <w:rsid w:val="0066202F"/>
    <w:rsid w:val="00664456"/>
    <w:rsid w:val="006650E1"/>
    <w:rsid w:val="00671673"/>
    <w:rsid w:val="0067478A"/>
    <w:rsid w:val="006776B4"/>
    <w:rsid w:val="006808D0"/>
    <w:rsid w:val="006811FD"/>
    <w:rsid w:val="0068182F"/>
    <w:rsid w:val="0068320F"/>
    <w:rsid w:val="006834FA"/>
    <w:rsid w:val="00683F84"/>
    <w:rsid w:val="00687EA5"/>
    <w:rsid w:val="00691A3A"/>
    <w:rsid w:val="00691C4F"/>
    <w:rsid w:val="006A1C87"/>
    <w:rsid w:val="006A2A50"/>
    <w:rsid w:val="006A6685"/>
    <w:rsid w:val="006A6A81"/>
    <w:rsid w:val="006A763D"/>
    <w:rsid w:val="006A7F28"/>
    <w:rsid w:val="006B18B3"/>
    <w:rsid w:val="006B5F09"/>
    <w:rsid w:val="006B6017"/>
    <w:rsid w:val="006C22E5"/>
    <w:rsid w:val="006C29E4"/>
    <w:rsid w:val="006C4844"/>
    <w:rsid w:val="006D14A8"/>
    <w:rsid w:val="006D2FCB"/>
    <w:rsid w:val="006D354A"/>
    <w:rsid w:val="006D412C"/>
    <w:rsid w:val="006D6923"/>
    <w:rsid w:val="006D6C20"/>
    <w:rsid w:val="006D7241"/>
    <w:rsid w:val="006E214C"/>
    <w:rsid w:val="006E3FCF"/>
    <w:rsid w:val="006E4326"/>
    <w:rsid w:val="006E4DDC"/>
    <w:rsid w:val="006E74EE"/>
    <w:rsid w:val="006F14B8"/>
    <w:rsid w:val="006F181E"/>
    <w:rsid w:val="006F3F50"/>
    <w:rsid w:val="006F3F5A"/>
    <w:rsid w:val="006F631D"/>
    <w:rsid w:val="006F7393"/>
    <w:rsid w:val="0070224F"/>
    <w:rsid w:val="0070289F"/>
    <w:rsid w:val="00705B39"/>
    <w:rsid w:val="00707236"/>
    <w:rsid w:val="007115F7"/>
    <w:rsid w:val="00712784"/>
    <w:rsid w:val="0071394D"/>
    <w:rsid w:val="00714014"/>
    <w:rsid w:val="00714DEE"/>
    <w:rsid w:val="00725CE6"/>
    <w:rsid w:val="00732608"/>
    <w:rsid w:val="007335C1"/>
    <w:rsid w:val="00733771"/>
    <w:rsid w:val="00733B04"/>
    <w:rsid w:val="00733BBD"/>
    <w:rsid w:val="00733BF1"/>
    <w:rsid w:val="007355E0"/>
    <w:rsid w:val="00736F3B"/>
    <w:rsid w:val="00737459"/>
    <w:rsid w:val="007416A1"/>
    <w:rsid w:val="00746CB8"/>
    <w:rsid w:val="00746E56"/>
    <w:rsid w:val="00750033"/>
    <w:rsid w:val="00750C98"/>
    <w:rsid w:val="00763B0E"/>
    <w:rsid w:val="00765D7E"/>
    <w:rsid w:val="00770253"/>
    <w:rsid w:val="007749F8"/>
    <w:rsid w:val="0077592C"/>
    <w:rsid w:val="0077598A"/>
    <w:rsid w:val="0078036D"/>
    <w:rsid w:val="007832D1"/>
    <w:rsid w:val="00785675"/>
    <w:rsid w:val="00785689"/>
    <w:rsid w:val="0078589E"/>
    <w:rsid w:val="00785DDD"/>
    <w:rsid w:val="00786DB4"/>
    <w:rsid w:val="00787037"/>
    <w:rsid w:val="0079527C"/>
    <w:rsid w:val="00795917"/>
    <w:rsid w:val="00796CE4"/>
    <w:rsid w:val="007972DB"/>
    <w:rsid w:val="0079754B"/>
    <w:rsid w:val="007A1E6D"/>
    <w:rsid w:val="007A2579"/>
    <w:rsid w:val="007A295A"/>
    <w:rsid w:val="007A3793"/>
    <w:rsid w:val="007A3F3C"/>
    <w:rsid w:val="007A6157"/>
    <w:rsid w:val="007A7490"/>
    <w:rsid w:val="007A7BA1"/>
    <w:rsid w:val="007B21D3"/>
    <w:rsid w:val="007B4164"/>
    <w:rsid w:val="007B4707"/>
    <w:rsid w:val="007B4F15"/>
    <w:rsid w:val="007B4F9B"/>
    <w:rsid w:val="007B5263"/>
    <w:rsid w:val="007B7C66"/>
    <w:rsid w:val="007C0606"/>
    <w:rsid w:val="007C0D25"/>
    <w:rsid w:val="007C1120"/>
    <w:rsid w:val="007C520F"/>
    <w:rsid w:val="007C71A1"/>
    <w:rsid w:val="007D2316"/>
    <w:rsid w:val="007D27A8"/>
    <w:rsid w:val="007D3344"/>
    <w:rsid w:val="007D3BC9"/>
    <w:rsid w:val="007D47D5"/>
    <w:rsid w:val="007E1B57"/>
    <w:rsid w:val="007E460A"/>
    <w:rsid w:val="007F25D2"/>
    <w:rsid w:val="007F38C2"/>
    <w:rsid w:val="007F3F40"/>
    <w:rsid w:val="007F65CA"/>
    <w:rsid w:val="007F6B13"/>
    <w:rsid w:val="007F7B97"/>
    <w:rsid w:val="00801D3B"/>
    <w:rsid w:val="00805198"/>
    <w:rsid w:val="00807B9D"/>
    <w:rsid w:val="00810A9F"/>
    <w:rsid w:val="00811485"/>
    <w:rsid w:val="008128B3"/>
    <w:rsid w:val="00820406"/>
    <w:rsid w:val="00820BE7"/>
    <w:rsid w:val="0082134C"/>
    <w:rsid w:val="008224F6"/>
    <w:rsid w:val="00822C1A"/>
    <w:rsid w:val="00822CE0"/>
    <w:rsid w:val="00826AFC"/>
    <w:rsid w:val="00833796"/>
    <w:rsid w:val="00834D47"/>
    <w:rsid w:val="00841688"/>
    <w:rsid w:val="00841AB1"/>
    <w:rsid w:val="0084208E"/>
    <w:rsid w:val="00850DBC"/>
    <w:rsid w:val="00851D88"/>
    <w:rsid w:val="008526BE"/>
    <w:rsid w:val="008551AE"/>
    <w:rsid w:val="008556F3"/>
    <w:rsid w:val="00856656"/>
    <w:rsid w:val="00860B3E"/>
    <w:rsid w:val="00861509"/>
    <w:rsid w:val="008630F2"/>
    <w:rsid w:val="008644A6"/>
    <w:rsid w:val="0086518D"/>
    <w:rsid w:val="008659D4"/>
    <w:rsid w:val="00871C1B"/>
    <w:rsid w:val="00872B7B"/>
    <w:rsid w:val="00873B16"/>
    <w:rsid w:val="008758F3"/>
    <w:rsid w:val="00876CB9"/>
    <w:rsid w:val="00877459"/>
    <w:rsid w:val="00877745"/>
    <w:rsid w:val="00881DA6"/>
    <w:rsid w:val="00883E28"/>
    <w:rsid w:val="0088546E"/>
    <w:rsid w:val="00886204"/>
    <w:rsid w:val="00886824"/>
    <w:rsid w:val="00890895"/>
    <w:rsid w:val="008925AE"/>
    <w:rsid w:val="00892A28"/>
    <w:rsid w:val="00894EB3"/>
    <w:rsid w:val="00895319"/>
    <w:rsid w:val="00897E9C"/>
    <w:rsid w:val="008A0380"/>
    <w:rsid w:val="008A22E7"/>
    <w:rsid w:val="008A267C"/>
    <w:rsid w:val="008A6CCB"/>
    <w:rsid w:val="008A734F"/>
    <w:rsid w:val="008A7EA5"/>
    <w:rsid w:val="008B0B07"/>
    <w:rsid w:val="008B2FCC"/>
    <w:rsid w:val="008B517C"/>
    <w:rsid w:val="008B5A6D"/>
    <w:rsid w:val="008C2245"/>
    <w:rsid w:val="008C2920"/>
    <w:rsid w:val="008C77C3"/>
    <w:rsid w:val="008C79A2"/>
    <w:rsid w:val="008D1E2B"/>
    <w:rsid w:val="008D2CC3"/>
    <w:rsid w:val="008D37CF"/>
    <w:rsid w:val="008D4D3E"/>
    <w:rsid w:val="008D66A7"/>
    <w:rsid w:val="008D74FC"/>
    <w:rsid w:val="008E08AE"/>
    <w:rsid w:val="008E5850"/>
    <w:rsid w:val="008F0506"/>
    <w:rsid w:val="008F1861"/>
    <w:rsid w:val="008F247A"/>
    <w:rsid w:val="008F5609"/>
    <w:rsid w:val="008F5C9D"/>
    <w:rsid w:val="008F7715"/>
    <w:rsid w:val="009008B5"/>
    <w:rsid w:val="00903487"/>
    <w:rsid w:val="009037A4"/>
    <w:rsid w:val="00904469"/>
    <w:rsid w:val="009052A4"/>
    <w:rsid w:val="009054E7"/>
    <w:rsid w:val="00910134"/>
    <w:rsid w:val="009102C4"/>
    <w:rsid w:val="00912929"/>
    <w:rsid w:val="00915FE4"/>
    <w:rsid w:val="00920724"/>
    <w:rsid w:val="009207D8"/>
    <w:rsid w:val="00921803"/>
    <w:rsid w:val="00922F5C"/>
    <w:rsid w:val="00923ACB"/>
    <w:rsid w:val="00926503"/>
    <w:rsid w:val="00926CB1"/>
    <w:rsid w:val="00931485"/>
    <w:rsid w:val="009319F8"/>
    <w:rsid w:val="009331A3"/>
    <w:rsid w:val="0093490E"/>
    <w:rsid w:val="00935889"/>
    <w:rsid w:val="00935E3A"/>
    <w:rsid w:val="00937615"/>
    <w:rsid w:val="009405FB"/>
    <w:rsid w:val="0094133B"/>
    <w:rsid w:val="009416C3"/>
    <w:rsid w:val="0094296F"/>
    <w:rsid w:val="0094383E"/>
    <w:rsid w:val="0095028F"/>
    <w:rsid w:val="00950531"/>
    <w:rsid w:val="00950EB7"/>
    <w:rsid w:val="00951563"/>
    <w:rsid w:val="00954CC5"/>
    <w:rsid w:val="00954D40"/>
    <w:rsid w:val="00956027"/>
    <w:rsid w:val="00962945"/>
    <w:rsid w:val="00962C39"/>
    <w:rsid w:val="009642A7"/>
    <w:rsid w:val="00966F07"/>
    <w:rsid w:val="0097256B"/>
    <w:rsid w:val="00973AFD"/>
    <w:rsid w:val="009741B1"/>
    <w:rsid w:val="00974AB9"/>
    <w:rsid w:val="00975D0D"/>
    <w:rsid w:val="0097651C"/>
    <w:rsid w:val="00981C93"/>
    <w:rsid w:val="0098370A"/>
    <w:rsid w:val="0098524A"/>
    <w:rsid w:val="009862AC"/>
    <w:rsid w:val="00986556"/>
    <w:rsid w:val="00987355"/>
    <w:rsid w:val="00987FB6"/>
    <w:rsid w:val="0099423D"/>
    <w:rsid w:val="009A0AFF"/>
    <w:rsid w:val="009A72D2"/>
    <w:rsid w:val="009A7EE4"/>
    <w:rsid w:val="009B0D68"/>
    <w:rsid w:val="009B3BD7"/>
    <w:rsid w:val="009C104D"/>
    <w:rsid w:val="009C1367"/>
    <w:rsid w:val="009C4B16"/>
    <w:rsid w:val="009D5F5C"/>
    <w:rsid w:val="009D721D"/>
    <w:rsid w:val="009E3A96"/>
    <w:rsid w:val="009E4055"/>
    <w:rsid w:val="009E5BD6"/>
    <w:rsid w:val="009E5CE1"/>
    <w:rsid w:val="009F00E4"/>
    <w:rsid w:val="009F3455"/>
    <w:rsid w:val="009F3A92"/>
    <w:rsid w:val="009F7372"/>
    <w:rsid w:val="00A006E9"/>
    <w:rsid w:val="00A027EA"/>
    <w:rsid w:val="00A03DB3"/>
    <w:rsid w:val="00A06315"/>
    <w:rsid w:val="00A06336"/>
    <w:rsid w:val="00A07430"/>
    <w:rsid w:val="00A11AFE"/>
    <w:rsid w:val="00A12D12"/>
    <w:rsid w:val="00A139BD"/>
    <w:rsid w:val="00A13BA4"/>
    <w:rsid w:val="00A14D75"/>
    <w:rsid w:val="00A16313"/>
    <w:rsid w:val="00A16466"/>
    <w:rsid w:val="00A17955"/>
    <w:rsid w:val="00A17A3B"/>
    <w:rsid w:val="00A201F5"/>
    <w:rsid w:val="00A202CA"/>
    <w:rsid w:val="00A203A3"/>
    <w:rsid w:val="00A214C3"/>
    <w:rsid w:val="00A2187C"/>
    <w:rsid w:val="00A23DD9"/>
    <w:rsid w:val="00A24E22"/>
    <w:rsid w:val="00A25FC3"/>
    <w:rsid w:val="00A26326"/>
    <w:rsid w:val="00A277EC"/>
    <w:rsid w:val="00A34FFE"/>
    <w:rsid w:val="00A362B5"/>
    <w:rsid w:val="00A377EE"/>
    <w:rsid w:val="00A41381"/>
    <w:rsid w:val="00A41A4A"/>
    <w:rsid w:val="00A42A68"/>
    <w:rsid w:val="00A453E0"/>
    <w:rsid w:val="00A45F4F"/>
    <w:rsid w:val="00A4658E"/>
    <w:rsid w:val="00A46D9A"/>
    <w:rsid w:val="00A5227B"/>
    <w:rsid w:val="00A53681"/>
    <w:rsid w:val="00A54D5F"/>
    <w:rsid w:val="00A57333"/>
    <w:rsid w:val="00A57B31"/>
    <w:rsid w:val="00A600A9"/>
    <w:rsid w:val="00A619E8"/>
    <w:rsid w:val="00A62D39"/>
    <w:rsid w:val="00A62FA8"/>
    <w:rsid w:val="00A66336"/>
    <w:rsid w:val="00A679E4"/>
    <w:rsid w:val="00A7064F"/>
    <w:rsid w:val="00A70D8B"/>
    <w:rsid w:val="00A764BF"/>
    <w:rsid w:val="00A80828"/>
    <w:rsid w:val="00A81D71"/>
    <w:rsid w:val="00A9070A"/>
    <w:rsid w:val="00A91EA3"/>
    <w:rsid w:val="00A923A0"/>
    <w:rsid w:val="00A924B6"/>
    <w:rsid w:val="00A9498B"/>
    <w:rsid w:val="00A97316"/>
    <w:rsid w:val="00AA26DB"/>
    <w:rsid w:val="00AA3119"/>
    <w:rsid w:val="00AA55B7"/>
    <w:rsid w:val="00AA5B9E"/>
    <w:rsid w:val="00AA6460"/>
    <w:rsid w:val="00AA65A1"/>
    <w:rsid w:val="00AA7463"/>
    <w:rsid w:val="00AB225F"/>
    <w:rsid w:val="00AB2407"/>
    <w:rsid w:val="00AB53DF"/>
    <w:rsid w:val="00AB797D"/>
    <w:rsid w:val="00AC2247"/>
    <w:rsid w:val="00AC332E"/>
    <w:rsid w:val="00AC383F"/>
    <w:rsid w:val="00AC3D20"/>
    <w:rsid w:val="00AD010D"/>
    <w:rsid w:val="00AD1A32"/>
    <w:rsid w:val="00AD26BA"/>
    <w:rsid w:val="00AE0D13"/>
    <w:rsid w:val="00AE2A95"/>
    <w:rsid w:val="00AE43B7"/>
    <w:rsid w:val="00AF03D6"/>
    <w:rsid w:val="00AF0CB9"/>
    <w:rsid w:val="00AF1DCA"/>
    <w:rsid w:val="00AF49D1"/>
    <w:rsid w:val="00AF5E31"/>
    <w:rsid w:val="00B018AE"/>
    <w:rsid w:val="00B03F00"/>
    <w:rsid w:val="00B04859"/>
    <w:rsid w:val="00B05E82"/>
    <w:rsid w:val="00B07E5C"/>
    <w:rsid w:val="00B135E8"/>
    <w:rsid w:val="00B1792B"/>
    <w:rsid w:val="00B211FD"/>
    <w:rsid w:val="00B22381"/>
    <w:rsid w:val="00B23301"/>
    <w:rsid w:val="00B239D9"/>
    <w:rsid w:val="00B25368"/>
    <w:rsid w:val="00B2575F"/>
    <w:rsid w:val="00B267BD"/>
    <w:rsid w:val="00B32008"/>
    <w:rsid w:val="00B36DA1"/>
    <w:rsid w:val="00B44996"/>
    <w:rsid w:val="00B468B7"/>
    <w:rsid w:val="00B47311"/>
    <w:rsid w:val="00B506F0"/>
    <w:rsid w:val="00B517BE"/>
    <w:rsid w:val="00B57EC8"/>
    <w:rsid w:val="00B6410F"/>
    <w:rsid w:val="00B65954"/>
    <w:rsid w:val="00B65EF8"/>
    <w:rsid w:val="00B66608"/>
    <w:rsid w:val="00B66EFF"/>
    <w:rsid w:val="00B705C5"/>
    <w:rsid w:val="00B73803"/>
    <w:rsid w:val="00B7799B"/>
    <w:rsid w:val="00B80DF6"/>
    <w:rsid w:val="00B811F7"/>
    <w:rsid w:val="00B818EB"/>
    <w:rsid w:val="00B828A1"/>
    <w:rsid w:val="00B83C1B"/>
    <w:rsid w:val="00B851A0"/>
    <w:rsid w:val="00B860D7"/>
    <w:rsid w:val="00B874A9"/>
    <w:rsid w:val="00B91E56"/>
    <w:rsid w:val="00B94542"/>
    <w:rsid w:val="00B9731C"/>
    <w:rsid w:val="00BA0DCF"/>
    <w:rsid w:val="00BA5695"/>
    <w:rsid w:val="00BA5DC6"/>
    <w:rsid w:val="00BA6196"/>
    <w:rsid w:val="00BB0606"/>
    <w:rsid w:val="00BB0FC9"/>
    <w:rsid w:val="00BB1367"/>
    <w:rsid w:val="00BB301A"/>
    <w:rsid w:val="00BB365A"/>
    <w:rsid w:val="00BB3C6F"/>
    <w:rsid w:val="00BC10A7"/>
    <w:rsid w:val="00BC1DEB"/>
    <w:rsid w:val="00BC2E95"/>
    <w:rsid w:val="00BC36D6"/>
    <w:rsid w:val="00BC37B6"/>
    <w:rsid w:val="00BC4797"/>
    <w:rsid w:val="00BC5D4D"/>
    <w:rsid w:val="00BC6D8C"/>
    <w:rsid w:val="00BC71FF"/>
    <w:rsid w:val="00BD1511"/>
    <w:rsid w:val="00BD2D48"/>
    <w:rsid w:val="00BD35FE"/>
    <w:rsid w:val="00BD4F75"/>
    <w:rsid w:val="00BD57A4"/>
    <w:rsid w:val="00BE1624"/>
    <w:rsid w:val="00BE2581"/>
    <w:rsid w:val="00BE2B2B"/>
    <w:rsid w:val="00BE2B5D"/>
    <w:rsid w:val="00BE2D34"/>
    <w:rsid w:val="00BE507B"/>
    <w:rsid w:val="00BE56B5"/>
    <w:rsid w:val="00BE7722"/>
    <w:rsid w:val="00BF1EEC"/>
    <w:rsid w:val="00BF2AEA"/>
    <w:rsid w:val="00BF68AF"/>
    <w:rsid w:val="00BF7BB3"/>
    <w:rsid w:val="00C01D46"/>
    <w:rsid w:val="00C02FA9"/>
    <w:rsid w:val="00C0301D"/>
    <w:rsid w:val="00C0686C"/>
    <w:rsid w:val="00C110F5"/>
    <w:rsid w:val="00C13A70"/>
    <w:rsid w:val="00C163B7"/>
    <w:rsid w:val="00C16F45"/>
    <w:rsid w:val="00C23C23"/>
    <w:rsid w:val="00C27DAB"/>
    <w:rsid w:val="00C34006"/>
    <w:rsid w:val="00C41517"/>
    <w:rsid w:val="00C4261B"/>
    <w:rsid w:val="00C426B1"/>
    <w:rsid w:val="00C4429D"/>
    <w:rsid w:val="00C46B1F"/>
    <w:rsid w:val="00C502DA"/>
    <w:rsid w:val="00C5125A"/>
    <w:rsid w:val="00C52939"/>
    <w:rsid w:val="00C52CF8"/>
    <w:rsid w:val="00C54CC7"/>
    <w:rsid w:val="00C5526F"/>
    <w:rsid w:val="00C57FF5"/>
    <w:rsid w:val="00C603B3"/>
    <w:rsid w:val="00C6071D"/>
    <w:rsid w:val="00C62A39"/>
    <w:rsid w:val="00C702D8"/>
    <w:rsid w:val="00C74243"/>
    <w:rsid w:val="00C74CC9"/>
    <w:rsid w:val="00C7690F"/>
    <w:rsid w:val="00C813F3"/>
    <w:rsid w:val="00C8187A"/>
    <w:rsid w:val="00C836FD"/>
    <w:rsid w:val="00C84963"/>
    <w:rsid w:val="00C85049"/>
    <w:rsid w:val="00C85325"/>
    <w:rsid w:val="00C90D6A"/>
    <w:rsid w:val="00C93640"/>
    <w:rsid w:val="00C939D0"/>
    <w:rsid w:val="00C94046"/>
    <w:rsid w:val="00CA247E"/>
    <w:rsid w:val="00CA38BB"/>
    <w:rsid w:val="00CA5D2D"/>
    <w:rsid w:val="00CB260B"/>
    <w:rsid w:val="00CB56FB"/>
    <w:rsid w:val="00CB6478"/>
    <w:rsid w:val="00CC26E1"/>
    <w:rsid w:val="00CC2C0B"/>
    <w:rsid w:val="00CC4861"/>
    <w:rsid w:val="00CC72B6"/>
    <w:rsid w:val="00CC746A"/>
    <w:rsid w:val="00CC7D14"/>
    <w:rsid w:val="00CD3CC0"/>
    <w:rsid w:val="00CD4311"/>
    <w:rsid w:val="00CD45F8"/>
    <w:rsid w:val="00CD6C10"/>
    <w:rsid w:val="00CD77DD"/>
    <w:rsid w:val="00CD79AB"/>
    <w:rsid w:val="00CE1468"/>
    <w:rsid w:val="00CE15AC"/>
    <w:rsid w:val="00CE428F"/>
    <w:rsid w:val="00CE579D"/>
    <w:rsid w:val="00CE76C6"/>
    <w:rsid w:val="00CE797D"/>
    <w:rsid w:val="00CE7C56"/>
    <w:rsid w:val="00CE7CA0"/>
    <w:rsid w:val="00CF102C"/>
    <w:rsid w:val="00CF1C0F"/>
    <w:rsid w:val="00CF4A1F"/>
    <w:rsid w:val="00CF6DAF"/>
    <w:rsid w:val="00CF6E73"/>
    <w:rsid w:val="00D0218D"/>
    <w:rsid w:val="00D024CF"/>
    <w:rsid w:val="00D036F6"/>
    <w:rsid w:val="00D03CAC"/>
    <w:rsid w:val="00D04E74"/>
    <w:rsid w:val="00D14922"/>
    <w:rsid w:val="00D15747"/>
    <w:rsid w:val="00D15B03"/>
    <w:rsid w:val="00D15C14"/>
    <w:rsid w:val="00D16598"/>
    <w:rsid w:val="00D16C3D"/>
    <w:rsid w:val="00D17299"/>
    <w:rsid w:val="00D177A0"/>
    <w:rsid w:val="00D257FE"/>
    <w:rsid w:val="00D25ED7"/>
    <w:rsid w:val="00D26289"/>
    <w:rsid w:val="00D30713"/>
    <w:rsid w:val="00D3108C"/>
    <w:rsid w:val="00D31663"/>
    <w:rsid w:val="00D31C49"/>
    <w:rsid w:val="00D34498"/>
    <w:rsid w:val="00D35731"/>
    <w:rsid w:val="00D4011B"/>
    <w:rsid w:val="00D46DB9"/>
    <w:rsid w:val="00D51DAF"/>
    <w:rsid w:val="00D52555"/>
    <w:rsid w:val="00D542C1"/>
    <w:rsid w:val="00D56150"/>
    <w:rsid w:val="00D570A9"/>
    <w:rsid w:val="00D57E41"/>
    <w:rsid w:val="00D60CE1"/>
    <w:rsid w:val="00D61C95"/>
    <w:rsid w:val="00D626E3"/>
    <w:rsid w:val="00D635F5"/>
    <w:rsid w:val="00D6364C"/>
    <w:rsid w:val="00D63A5C"/>
    <w:rsid w:val="00D652EA"/>
    <w:rsid w:val="00D67F84"/>
    <w:rsid w:val="00D70945"/>
    <w:rsid w:val="00D70F94"/>
    <w:rsid w:val="00D730DF"/>
    <w:rsid w:val="00D74B0F"/>
    <w:rsid w:val="00D75361"/>
    <w:rsid w:val="00D81FA0"/>
    <w:rsid w:val="00D85D36"/>
    <w:rsid w:val="00D8620E"/>
    <w:rsid w:val="00D94AB1"/>
    <w:rsid w:val="00D95184"/>
    <w:rsid w:val="00D9710A"/>
    <w:rsid w:val="00D9774A"/>
    <w:rsid w:val="00D978A8"/>
    <w:rsid w:val="00DA040A"/>
    <w:rsid w:val="00DA1C53"/>
    <w:rsid w:val="00DA2529"/>
    <w:rsid w:val="00DA2BA0"/>
    <w:rsid w:val="00DA54CF"/>
    <w:rsid w:val="00DA6631"/>
    <w:rsid w:val="00DA751E"/>
    <w:rsid w:val="00DB0157"/>
    <w:rsid w:val="00DB130A"/>
    <w:rsid w:val="00DB20DF"/>
    <w:rsid w:val="00DB5502"/>
    <w:rsid w:val="00DB5B28"/>
    <w:rsid w:val="00DB6874"/>
    <w:rsid w:val="00DC10A1"/>
    <w:rsid w:val="00DC2263"/>
    <w:rsid w:val="00DC5271"/>
    <w:rsid w:val="00DC655F"/>
    <w:rsid w:val="00DC6E68"/>
    <w:rsid w:val="00DC6FF6"/>
    <w:rsid w:val="00DC7A6B"/>
    <w:rsid w:val="00DD0B59"/>
    <w:rsid w:val="00DD5686"/>
    <w:rsid w:val="00DD6A66"/>
    <w:rsid w:val="00DD7188"/>
    <w:rsid w:val="00DD7DE0"/>
    <w:rsid w:val="00DD7EBD"/>
    <w:rsid w:val="00DE2D16"/>
    <w:rsid w:val="00DE3D16"/>
    <w:rsid w:val="00DE50C8"/>
    <w:rsid w:val="00DE6095"/>
    <w:rsid w:val="00DF47DF"/>
    <w:rsid w:val="00DF4E16"/>
    <w:rsid w:val="00DF5C09"/>
    <w:rsid w:val="00DF62B6"/>
    <w:rsid w:val="00E025D6"/>
    <w:rsid w:val="00E04166"/>
    <w:rsid w:val="00E069F9"/>
    <w:rsid w:val="00E07225"/>
    <w:rsid w:val="00E10129"/>
    <w:rsid w:val="00E110AE"/>
    <w:rsid w:val="00E11E62"/>
    <w:rsid w:val="00E1330E"/>
    <w:rsid w:val="00E139EC"/>
    <w:rsid w:val="00E141AE"/>
    <w:rsid w:val="00E15B66"/>
    <w:rsid w:val="00E2264A"/>
    <w:rsid w:val="00E24797"/>
    <w:rsid w:val="00E24E4C"/>
    <w:rsid w:val="00E32005"/>
    <w:rsid w:val="00E3378C"/>
    <w:rsid w:val="00E35272"/>
    <w:rsid w:val="00E35DCE"/>
    <w:rsid w:val="00E378DE"/>
    <w:rsid w:val="00E40C19"/>
    <w:rsid w:val="00E41B30"/>
    <w:rsid w:val="00E421F8"/>
    <w:rsid w:val="00E440DF"/>
    <w:rsid w:val="00E45047"/>
    <w:rsid w:val="00E4558D"/>
    <w:rsid w:val="00E45759"/>
    <w:rsid w:val="00E47681"/>
    <w:rsid w:val="00E47DD7"/>
    <w:rsid w:val="00E52CB8"/>
    <w:rsid w:val="00E5409F"/>
    <w:rsid w:val="00E56328"/>
    <w:rsid w:val="00E5648B"/>
    <w:rsid w:val="00E564E8"/>
    <w:rsid w:val="00E62D46"/>
    <w:rsid w:val="00E63C86"/>
    <w:rsid w:val="00E64B64"/>
    <w:rsid w:val="00E6679A"/>
    <w:rsid w:val="00E736DC"/>
    <w:rsid w:val="00E75886"/>
    <w:rsid w:val="00E76A80"/>
    <w:rsid w:val="00E80E9B"/>
    <w:rsid w:val="00E84220"/>
    <w:rsid w:val="00E90ADF"/>
    <w:rsid w:val="00E92E78"/>
    <w:rsid w:val="00E95C94"/>
    <w:rsid w:val="00EA21F8"/>
    <w:rsid w:val="00EA6815"/>
    <w:rsid w:val="00EB2E40"/>
    <w:rsid w:val="00EB356C"/>
    <w:rsid w:val="00EB3ECB"/>
    <w:rsid w:val="00EB752D"/>
    <w:rsid w:val="00EC5684"/>
    <w:rsid w:val="00EC7400"/>
    <w:rsid w:val="00EC760A"/>
    <w:rsid w:val="00ED12FE"/>
    <w:rsid w:val="00ED48FF"/>
    <w:rsid w:val="00ED5053"/>
    <w:rsid w:val="00EE27CE"/>
    <w:rsid w:val="00EE3DD7"/>
    <w:rsid w:val="00EE55BD"/>
    <w:rsid w:val="00EE6488"/>
    <w:rsid w:val="00EE7CB8"/>
    <w:rsid w:val="00EF28F5"/>
    <w:rsid w:val="00EF637C"/>
    <w:rsid w:val="00F021FA"/>
    <w:rsid w:val="00F02DCA"/>
    <w:rsid w:val="00F03571"/>
    <w:rsid w:val="00F1191A"/>
    <w:rsid w:val="00F125D4"/>
    <w:rsid w:val="00F17CC1"/>
    <w:rsid w:val="00F30FB4"/>
    <w:rsid w:val="00F360F9"/>
    <w:rsid w:val="00F3676D"/>
    <w:rsid w:val="00F409B0"/>
    <w:rsid w:val="00F422B5"/>
    <w:rsid w:val="00F440D3"/>
    <w:rsid w:val="00F44F3A"/>
    <w:rsid w:val="00F53158"/>
    <w:rsid w:val="00F619A5"/>
    <w:rsid w:val="00F62E97"/>
    <w:rsid w:val="00F64209"/>
    <w:rsid w:val="00F64FD6"/>
    <w:rsid w:val="00F6525C"/>
    <w:rsid w:val="00F66761"/>
    <w:rsid w:val="00F71F68"/>
    <w:rsid w:val="00F723E4"/>
    <w:rsid w:val="00F72556"/>
    <w:rsid w:val="00F73001"/>
    <w:rsid w:val="00F738DB"/>
    <w:rsid w:val="00F76F25"/>
    <w:rsid w:val="00F81230"/>
    <w:rsid w:val="00F82CAD"/>
    <w:rsid w:val="00F83377"/>
    <w:rsid w:val="00F84126"/>
    <w:rsid w:val="00F87AF0"/>
    <w:rsid w:val="00F91367"/>
    <w:rsid w:val="00F932FB"/>
    <w:rsid w:val="00F93BF5"/>
    <w:rsid w:val="00F9498E"/>
    <w:rsid w:val="00F956EB"/>
    <w:rsid w:val="00F97DF0"/>
    <w:rsid w:val="00FA061C"/>
    <w:rsid w:val="00FA0782"/>
    <w:rsid w:val="00FA0853"/>
    <w:rsid w:val="00FA17D3"/>
    <w:rsid w:val="00FA2B1A"/>
    <w:rsid w:val="00FA3169"/>
    <w:rsid w:val="00FB0C6A"/>
    <w:rsid w:val="00FB0E8A"/>
    <w:rsid w:val="00FB30D6"/>
    <w:rsid w:val="00FB31B4"/>
    <w:rsid w:val="00FB6B32"/>
    <w:rsid w:val="00FB6B81"/>
    <w:rsid w:val="00FB7136"/>
    <w:rsid w:val="00FC093E"/>
    <w:rsid w:val="00FC521A"/>
    <w:rsid w:val="00FC6D19"/>
    <w:rsid w:val="00FD02CD"/>
    <w:rsid w:val="00FD2596"/>
    <w:rsid w:val="00FD5FA7"/>
    <w:rsid w:val="00FE3881"/>
    <w:rsid w:val="00FE3DC9"/>
    <w:rsid w:val="00FE44B4"/>
    <w:rsid w:val="00FE56BB"/>
    <w:rsid w:val="00FE7172"/>
    <w:rsid w:val="00FE7D6B"/>
    <w:rsid w:val="00FF001A"/>
    <w:rsid w:val="00FF24DD"/>
    <w:rsid w:val="00FF282F"/>
    <w:rsid w:val="00FF34EA"/>
    <w:rsid w:val="00FF44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3822"/>
    <w:pPr>
      <w:widowControl w:val="0"/>
    </w:pPr>
    <w:rPr>
      <w:snapToGrid w:val="0"/>
      <w:kern w:val="28"/>
      <w:sz w:val="22"/>
      <w:lang w:bidi="ar-SA"/>
    </w:rPr>
  </w:style>
  <w:style w:type="paragraph" w:styleId="Heading1">
    <w:name w:val="heading 1"/>
    <w:basedOn w:val="Normal"/>
    <w:next w:val="ParaNum0"/>
    <w:qFormat/>
    <w:rsid w:val="00626EB6"/>
    <w:pPr>
      <w:keepNext/>
      <w:numPr>
        <w:numId w:val="3"/>
      </w:numPr>
      <w:tabs>
        <w:tab w:val="left" w:pos="720"/>
      </w:tabs>
      <w:suppressAutoHyphens/>
      <w:spacing w:after="120"/>
      <w:outlineLvl w:val="0"/>
    </w:pPr>
    <w:rPr>
      <w:rFonts w:ascii="Times New Roman Bold" w:hAnsi="Times New Roman Bold"/>
      <w:b/>
      <w:caps/>
    </w:rPr>
  </w:style>
  <w:style w:type="paragraph" w:styleId="Heading2">
    <w:name w:val="heading 2"/>
    <w:basedOn w:val="Normal"/>
    <w:next w:val="ParaNum0"/>
    <w:autoRedefine/>
    <w:qFormat/>
    <w:rsid w:val="00D74B0F"/>
    <w:pPr>
      <w:keepNext/>
      <w:tabs>
        <w:tab w:val="left" w:pos="-720"/>
        <w:tab w:val="center" w:pos="5040"/>
        <w:tab w:val="right" w:pos="9360"/>
      </w:tabs>
      <w:suppressAutoHyphens/>
      <w:spacing w:after="120"/>
      <w:ind w:left="720"/>
      <w:outlineLvl w:val="1"/>
    </w:pPr>
    <w:rPr>
      <w:b/>
      <w:u w:val="single"/>
    </w:rPr>
  </w:style>
  <w:style w:type="paragraph" w:styleId="Heading3">
    <w:name w:val="heading 3"/>
    <w:basedOn w:val="Normal"/>
    <w:next w:val="ParaNum0"/>
    <w:qFormat/>
    <w:rsid w:val="00BA6196"/>
    <w:pPr>
      <w:keepNext/>
      <w:numPr>
        <w:ilvl w:val="2"/>
        <w:numId w:val="3"/>
      </w:numPr>
      <w:tabs>
        <w:tab w:val="left" w:pos="2160"/>
      </w:tabs>
      <w:spacing w:after="120"/>
      <w:outlineLvl w:val="2"/>
    </w:pPr>
    <w:rPr>
      <w:b/>
    </w:rPr>
  </w:style>
  <w:style w:type="paragraph" w:styleId="Heading4">
    <w:name w:val="heading 4"/>
    <w:basedOn w:val="Normal"/>
    <w:next w:val="ParaNum0"/>
    <w:qFormat/>
    <w:rsid w:val="00C426B1"/>
    <w:pPr>
      <w:keepNext/>
      <w:numPr>
        <w:ilvl w:val="3"/>
        <w:numId w:val="3"/>
      </w:numPr>
      <w:tabs>
        <w:tab w:val="left" w:pos="2880"/>
      </w:tabs>
      <w:spacing w:after="120"/>
      <w:outlineLvl w:val="3"/>
    </w:pPr>
    <w:rPr>
      <w:b/>
    </w:rPr>
  </w:style>
  <w:style w:type="paragraph" w:styleId="Heading5">
    <w:name w:val="heading 5"/>
    <w:basedOn w:val="Normal"/>
    <w:next w:val="ParaNum0"/>
    <w:link w:val="Heading5Char"/>
    <w:qFormat/>
    <w:rsid w:val="00511968"/>
    <w:pPr>
      <w:keepNext/>
      <w:numPr>
        <w:ilvl w:val="4"/>
        <w:numId w:val="3"/>
      </w:numPr>
      <w:tabs>
        <w:tab w:val="left" w:pos="3600"/>
      </w:tabs>
      <w:suppressAutoHyphens/>
      <w:spacing w:after="120"/>
      <w:outlineLvl w:val="4"/>
    </w:pPr>
    <w:rPr>
      <w:b/>
      <w:snapToGrid/>
    </w:rPr>
  </w:style>
  <w:style w:type="paragraph" w:styleId="Heading6">
    <w:name w:val="heading 6"/>
    <w:basedOn w:val="Normal"/>
    <w:next w:val="ParaNum0"/>
    <w:qFormat/>
    <w:rsid w:val="00036039"/>
    <w:pPr>
      <w:numPr>
        <w:ilvl w:val="5"/>
        <w:numId w:val="3"/>
      </w:numPr>
      <w:tabs>
        <w:tab w:val="left" w:pos="4320"/>
      </w:tabs>
      <w:spacing w:after="120"/>
      <w:outlineLvl w:val="5"/>
    </w:pPr>
    <w:rPr>
      <w:b/>
    </w:rPr>
  </w:style>
  <w:style w:type="paragraph" w:styleId="Heading7">
    <w:name w:val="heading 7"/>
    <w:basedOn w:val="Normal"/>
    <w:next w:val="ParaNum0"/>
    <w:qFormat/>
    <w:rsid w:val="00036039"/>
    <w:pPr>
      <w:numPr>
        <w:ilvl w:val="6"/>
        <w:numId w:val="3"/>
      </w:numPr>
      <w:tabs>
        <w:tab w:val="left" w:pos="5040"/>
      </w:tabs>
      <w:spacing w:after="120"/>
      <w:ind w:left="5040" w:hanging="720"/>
      <w:outlineLvl w:val="6"/>
    </w:pPr>
    <w:rPr>
      <w:b/>
    </w:rPr>
  </w:style>
  <w:style w:type="paragraph" w:styleId="Heading8">
    <w:name w:val="heading 8"/>
    <w:basedOn w:val="Normal"/>
    <w:next w:val="ParaNum0"/>
    <w:qFormat/>
    <w:rsid w:val="001E01CA"/>
    <w:pPr>
      <w:numPr>
        <w:ilvl w:val="7"/>
        <w:numId w:val="3"/>
      </w:numPr>
      <w:tabs>
        <w:tab w:val="clear" w:pos="5400"/>
        <w:tab w:val="left" w:pos="5760"/>
      </w:tabs>
      <w:spacing w:after="120"/>
      <w:ind w:left="5760" w:hanging="720"/>
      <w:outlineLvl w:val="7"/>
    </w:pPr>
    <w:rPr>
      <w:b/>
    </w:rPr>
  </w:style>
  <w:style w:type="paragraph" w:styleId="Heading9">
    <w:name w:val="heading 9"/>
    <w:basedOn w:val="Normal"/>
    <w:next w:val="ParaNum0"/>
    <w:qFormat/>
    <w:rsid w:val="001E01CA"/>
    <w:pPr>
      <w:numPr>
        <w:ilvl w:val="8"/>
        <w:numId w:val="3"/>
      </w:numPr>
      <w:tabs>
        <w:tab w:val="clear" w:pos="6120"/>
        <w:tab w:val="left" w:pos="6480"/>
      </w:tabs>
      <w:spacing w:after="120"/>
      <w:ind w:left="6480" w:hanging="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Num0">
    <w:name w:val="ParaNum"/>
    <w:basedOn w:val="Normal"/>
    <w:link w:val="ParaNumChar"/>
    <w:rsid w:val="00E07225"/>
    <w:pPr>
      <w:numPr>
        <w:numId w:val="2"/>
      </w:numPr>
      <w:tabs>
        <w:tab w:val="num" w:pos="1440"/>
      </w:tabs>
      <w:spacing w:after="120"/>
    </w:pPr>
  </w:style>
  <w:style w:type="paragraph" w:styleId="EndnoteText">
    <w:name w:val="endnote text"/>
    <w:basedOn w:val="Normal"/>
    <w:semiHidden/>
    <w:rsid w:val="00B6410F"/>
    <w:rPr>
      <w:sz w:val="20"/>
    </w:rPr>
  </w:style>
  <w:style w:type="character" w:styleId="EndnoteReference">
    <w:name w:val="endnote reference"/>
    <w:semiHidden/>
    <w:rsid w:val="00B6410F"/>
    <w:rPr>
      <w:vertAlign w:val="superscript"/>
    </w:rPr>
  </w:style>
  <w:style w:type="paragraph" w:styleId="FootnoteText">
    <w:name w:val="footnote text"/>
    <w:aliases w:val="Footnote Text Char1 Char,rrfootnote Char Char,Style 5 Char Char,Footnote Text Char Char Char,Footnote Text Char1 Char Char Char,Footnote Text Char Char Char Char Char,Footnote Text Char1 Char Char Char Char Char,fn,Style,Footnote Text Char"/>
    <w:link w:val="FootnoteTextChar1"/>
    <w:semiHidden/>
    <w:rsid w:val="000E3D42"/>
    <w:pPr>
      <w:spacing w:after="120"/>
    </w:pPr>
    <w:rPr>
      <w:lang w:bidi="ar-SA"/>
    </w:rPr>
  </w:style>
  <w:style w:type="character" w:styleId="FootnoteReference">
    <w:name w:val="footnote reference"/>
    <w:aliases w:val="Style 4,Style 12,(NECG) Footnote Reference,Appel note de bas de p,Style 124,Style 13,o,fr,Style 3,FR"/>
    <w:semiHidden/>
    <w:rsid w:val="00B6410F"/>
    <w:rPr>
      <w:rFonts w:ascii="Times New Roman" w:hAnsi="Times New Roman"/>
      <w:dstrike w:val="0"/>
      <w:color w:val="auto"/>
      <w:sz w:val="22"/>
      <w:vertAlign w:val="superscript"/>
    </w:rPr>
  </w:style>
  <w:style w:type="paragraph" w:styleId="TOC1">
    <w:name w:val="toc 1"/>
    <w:basedOn w:val="Normal"/>
    <w:next w:val="Normal"/>
    <w:semiHidden/>
    <w:rsid w:val="00B6410F"/>
    <w:pPr>
      <w:tabs>
        <w:tab w:val="left" w:pos="360"/>
        <w:tab w:val="right" w:leader="dot" w:pos="9360"/>
      </w:tabs>
      <w:suppressAutoHyphens/>
      <w:ind w:left="360" w:right="720" w:hanging="360"/>
    </w:pPr>
    <w:rPr>
      <w:caps/>
      <w:noProof/>
    </w:rPr>
  </w:style>
  <w:style w:type="paragraph" w:styleId="TOC2">
    <w:name w:val="toc 2"/>
    <w:basedOn w:val="Normal"/>
    <w:next w:val="Normal"/>
    <w:semiHidden/>
    <w:rsid w:val="00B6410F"/>
    <w:pPr>
      <w:tabs>
        <w:tab w:val="left" w:pos="720"/>
        <w:tab w:val="right" w:leader="dot" w:pos="9360"/>
      </w:tabs>
      <w:suppressAutoHyphens/>
      <w:ind w:left="720" w:right="720" w:hanging="360"/>
    </w:pPr>
    <w:rPr>
      <w:noProof/>
    </w:rPr>
  </w:style>
  <w:style w:type="paragraph" w:styleId="TOC3">
    <w:name w:val="toc 3"/>
    <w:basedOn w:val="Normal"/>
    <w:next w:val="Normal"/>
    <w:semiHidden/>
    <w:rsid w:val="00B6410F"/>
    <w:pPr>
      <w:tabs>
        <w:tab w:val="left" w:pos="1080"/>
        <w:tab w:val="right" w:leader="dot" w:pos="9360"/>
      </w:tabs>
      <w:suppressAutoHyphens/>
      <w:ind w:left="1080" w:right="720" w:hanging="360"/>
    </w:pPr>
    <w:rPr>
      <w:noProof/>
    </w:rPr>
  </w:style>
  <w:style w:type="paragraph" w:styleId="TOC4">
    <w:name w:val="toc 4"/>
    <w:basedOn w:val="Normal"/>
    <w:next w:val="Normal"/>
    <w:autoRedefine/>
    <w:semiHidden/>
    <w:rsid w:val="00B6410F"/>
    <w:pPr>
      <w:tabs>
        <w:tab w:val="left" w:pos="1440"/>
        <w:tab w:val="right" w:leader="dot" w:pos="9360"/>
      </w:tabs>
      <w:suppressAutoHyphens/>
      <w:ind w:left="1440" w:right="720" w:hanging="360"/>
    </w:pPr>
    <w:rPr>
      <w:noProof/>
    </w:rPr>
  </w:style>
  <w:style w:type="paragraph" w:styleId="TOC5">
    <w:name w:val="toc 5"/>
    <w:basedOn w:val="Normal"/>
    <w:next w:val="Normal"/>
    <w:autoRedefine/>
    <w:semiHidden/>
    <w:rsid w:val="00B6410F"/>
    <w:pPr>
      <w:tabs>
        <w:tab w:val="left" w:pos="1800"/>
        <w:tab w:val="right" w:leader="dot" w:pos="9360"/>
      </w:tabs>
      <w:suppressAutoHyphens/>
      <w:ind w:left="1800" w:right="720" w:hanging="360"/>
    </w:pPr>
    <w:rPr>
      <w:noProof/>
    </w:rPr>
  </w:style>
  <w:style w:type="paragraph" w:styleId="TOC6">
    <w:name w:val="toc 6"/>
    <w:basedOn w:val="Normal"/>
    <w:next w:val="Normal"/>
    <w:autoRedefine/>
    <w:semiHidden/>
    <w:rsid w:val="00B6410F"/>
    <w:pPr>
      <w:tabs>
        <w:tab w:val="left" w:pos="2160"/>
        <w:tab w:val="right" w:leader="dot" w:pos="9360"/>
      </w:tabs>
      <w:suppressAutoHyphens/>
      <w:ind w:left="2160" w:hanging="360"/>
    </w:pPr>
    <w:rPr>
      <w:noProof/>
    </w:rPr>
  </w:style>
  <w:style w:type="paragraph" w:styleId="TOC7">
    <w:name w:val="toc 7"/>
    <w:basedOn w:val="Normal"/>
    <w:next w:val="Normal"/>
    <w:autoRedefine/>
    <w:semiHidden/>
    <w:rsid w:val="00B6410F"/>
    <w:pPr>
      <w:tabs>
        <w:tab w:val="left" w:pos="2520"/>
        <w:tab w:val="right" w:leader="dot" w:pos="9360"/>
      </w:tabs>
      <w:suppressAutoHyphens/>
      <w:ind w:left="2520" w:hanging="360"/>
    </w:pPr>
    <w:rPr>
      <w:noProof/>
    </w:rPr>
  </w:style>
  <w:style w:type="paragraph" w:styleId="TOC8">
    <w:name w:val="toc 8"/>
    <w:basedOn w:val="Normal"/>
    <w:next w:val="Normal"/>
    <w:autoRedefine/>
    <w:semiHidden/>
    <w:rsid w:val="00B6410F"/>
    <w:pPr>
      <w:tabs>
        <w:tab w:val="left" w:pos="2880"/>
        <w:tab w:val="right" w:leader="dot" w:pos="9360"/>
      </w:tabs>
      <w:suppressAutoHyphens/>
      <w:ind w:left="2880" w:hanging="360"/>
    </w:pPr>
    <w:rPr>
      <w:noProof/>
    </w:rPr>
  </w:style>
  <w:style w:type="paragraph" w:styleId="TOC9">
    <w:name w:val="toc 9"/>
    <w:basedOn w:val="Normal"/>
    <w:next w:val="Normal"/>
    <w:autoRedefine/>
    <w:semiHidden/>
    <w:rsid w:val="00B6410F"/>
    <w:pPr>
      <w:tabs>
        <w:tab w:val="left" w:pos="3240"/>
        <w:tab w:val="right" w:leader="dot" w:pos="9360"/>
      </w:tabs>
      <w:suppressAutoHyphens/>
      <w:ind w:left="3240" w:hanging="360"/>
    </w:pPr>
    <w:rPr>
      <w:noProof/>
    </w:rPr>
  </w:style>
  <w:style w:type="paragraph" w:styleId="TOAHeading">
    <w:name w:val="toa heading"/>
    <w:basedOn w:val="Normal"/>
    <w:next w:val="Normal"/>
    <w:semiHidden/>
    <w:rsid w:val="00B6410F"/>
    <w:pPr>
      <w:tabs>
        <w:tab w:val="right" w:pos="9360"/>
      </w:tabs>
      <w:suppressAutoHyphens/>
    </w:pPr>
  </w:style>
  <w:style w:type="character" w:customStyle="1" w:styleId="EquationCaption">
    <w:name w:val="_Equation Caption"/>
    <w:rsid w:val="00B6410F"/>
  </w:style>
  <w:style w:type="paragraph" w:styleId="Header">
    <w:name w:val="header"/>
    <w:basedOn w:val="Normal"/>
    <w:autoRedefine/>
    <w:rsid w:val="00871C1B"/>
    <w:pPr>
      <w:pBdr>
        <w:bottom w:val="single" w:sz="12" w:space="1" w:color="auto"/>
      </w:pBdr>
      <w:tabs>
        <w:tab w:val="center" w:pos="4680"/>
        <w:tab w:val="right" w:pos="9360"/>
      </w:tabs>
      <w:jc w:val="right"/>
    </w:pPr>
    <w:rPr>
      <w:b/>
    </w:rPr>
  </w:style>
  <w:style w:type="paragraph" w:styleId="Footer">
    <w:name w:val="footer"/>
    <w:basedOn w:val="Normal"/>
    <w:rsid w:val="00B6410F"/>
    <w:pPr>
      <w:tabs>
        <w:tab w:val="center" w:pos="4320"/>
        <w:tab w:val="right" w:pos="8640"/>
      </w:tabs>
    </w:pPr>
  </w:style>
  <w:style w:type="character" w:styleId="PageNumber">
    <w:name w:val="page number"/>
    <w:basedOn w:val="DefaultParagraphFont"/>
    <w:rsid w:val="00B6410F"/>
  </w:style>
  <w:style w:type="paragraph" w:styleId="BlockText">
    <w:name w:val="Block Text"/>
    <w:basedOn w:val="Normal"/>
    <w:rsid w:val="00B6410F"/>
    <w:pPr>
      <w:spacing w:after="240"/>
      <w:ind w:left="1440" w:right="1440"/>
    </w:pPr>
  </w:style>
  <w:style w:type="paragraph" w:customStyle="1" w:styleId="Paratitle">
    <w:name w:val="Para title"/>
    <w:basedOn w:val="Normal"/>
    <w:rsid w:val="00B6410F"/>
    <w:pPr>
      <w:tabs>
        <w:tab w:val="center" w:pos="9270"/>
      </w:tabs>
      <w:spacing w:after="240"/>
    </w:pPr>
    <w:rPr>
      <w:spacing w:val="-2"/>
    </w:rPr>
  </w:style>
  <w:style w:type="paragraph" w:customStyle="1" w:styleId="Bullet">
    <w:name w:val="Bullet"/>
    <w:basedOn w:val="Normal"/>
    <w:rsid w:val="00B6410F"/>
    <w:pPr>
      <w:tabs>
        <w:tab w:val="left" w:pos="2160"/>
      </w:tabs>
      <w:spacing w:after="220"/>
      <w:ind w:left="2160" w:hanging="720"/>
    </w:pPr>
  </w:style>
  <w:style w:type="paragraph" w:customStyle="1" w:styleId="TableFormat">
    <w:name w:val="TableFormat"/>
    <w:basedOn w:val="Bullet"/>
    <w:rsid w:val="00B6410F"/>
    <w:pPr>
      <w:tabs>
        <w:tab w:val="clear" w:pos="2160"/>
        <w:tab w:val="left" w:pos="5040"/>
      </w:tabs>
      <w:ind w:left="5040" w:hanging="3600"/>
    </w:pPr>
  </w:style>
  <w:style w:type="paragraph" w:customStyle="1" w:styleId="TOCTitle">
    <w:name w:val="TOC Title"/>
    <w:basedOn w:val="Normal"/>
    <w:rsid w:val="00B6410F"/>
    <w:pPr>
      <w:spacing w:before="240" w:after="240"/>
      <w:jc w:val="center"/>
    </w:pPr>
    <w:rPr>
      <w:rFonts w:ascii="Times New Roman Bold" w:hAnsi="Times New Roman Bold"/>
      <w:b/>
      <w:caps/>
      <w:spacing w:val="-2"/>
    </w:rPr>
  </w:style>
  <w:style w:type="paragraph" w:customStyle="1" w:styleId="StyleBoldCentered">
    <w:name w:val="Style Bold Centered"/>
    <w:basedOn w:val="Normal"/>
    <w:rsid w:val="00096D8C"/>
    <w:pPr>
      <w:jc w:val="center"/>
    </w:pPr>
    <w:rPr>
      <w:rFonts w:ascii="Times New Roman Bold" w:hAnsi="Times New Roman Bold"/>
      <w:b/>
      <w:bCs/>
      <w:caps/>
      <w:szCs w:val="22"/>
    </w:rPr>
  </w:style>
  <w:style w:type="character" w:styleId="Hyperlink">
    <w:name w:val="Hyperlink"/>
    <w:rsid w:val="002A2D2E"/>
    <w:rPr>
      <w:color w:val="0000FF"/>
      <w:u w:val="single"/>
    </w:rPr>
  </w:style>
  <w:style w:type="paragraph" w:customStyle="1" w:styleId="FreeFormA">
    <w:name w:val="Free Form A"/>
    <w:rsid w:val="00A17A3B"/>
    <w:rPr>
      <w:rFonts w:eastAsia="ヒラギノ角ゴ Pro W3"/>
      <w:color w:val="000000"/>
      <w:lang w:bidi="ar-SA"/>
    </w:rPr>
  </w:style>
  <w:style w:type="paragraph" w:customStyle="1" w:styleId="par1">
    <w:name w:val="par1"/>
    <w:link w:val="par1Char"/>
    <w:rsid w:val="00A17A3B"/>
    <w:pPr>
      <w:tabs>
        <w:tab w:val="left" w:pos="1080"/>
      </w:tabs>
      <w:ind w:firstLine="720"/>
    </w:pPr>
    <w:rPr>
      <w:rFonts w:eastAsia="ヒラギノ角ゴ Pro W3"/>
      <w:color w:val="000000"/>
      <w:sz w:val="22"/>
      <w:lang w:bidi="ar-SA"/>
    </w:rPr>
  </w:style>
  <w:style w:type="character" w:customStyle="1" w:styleId="ParanumChar0">
    <w:name w:val="Paranum Char"/>
    <w:rsid w:val="00A17A3B"/>
    <w:rPr>
      <w:color w:val="000000"/>
      <w:sz w:val="22"/>
      <w:lang w:val="en-US"/>
    </w:rPr>
  </w:style>
  <w:style w:type="paragraph" w:customStyle="1" w:styleId="Paranum">
    <w:name w:val="Paranum"/>
    <w:autoRedefine/>
    <w:rsid w:val="005A3822"/>
    <w:pPr>
      <w:numPr>
        <w:numId w:val="7"/>
      </w:numPr>
      <w:spacing w:after="240"/>
    </w:pPr>
    <w:rPr>
      <w:rFonts w:eastAsia="ヒラギノ角ゴ Pro W3"/>
      <w:color w:val="000000"/>
      <w:sz w:val="24"/>
      <w:lang w:bidi="ar-SA"/>
    </w:rPr>
  </w:style>
  <w:style w:type="paragraph" w:customStyle="1" w:styleId="OutlineL4">
    <w:name w:val="Outline_L4"/>
    <w:next w:val="BodyText1"/>
    <w:rsid w:val="00A17A3B"/>
    <w:pPr>
      <w:tabs>
        <w:tab w:val="left" w:pos="2880"/>
      </w:tabs>
      <w:spacing w:after="240"/>
      <w:ind w:firstLine="2160"/>
      <w:outlineLvl w:val="3"/>
    </w:pPr>
    <w:rPr>
      <w:rFonts w:eastAsia="ヒラギノ角ゴ Pro W3"/>
      <w:color w:val="000000"/>
      <w:sz w:val="24"/>
      <w:lang w:bidi="ar-SA"/>
    </w:rPr>
  </w:style>
  <w:style w:type="paragraph" w:customStyle="1" w:styleId="BodyText1">
    <w:name w:val="Body Text1"/>
    <w:rsid w:val="00A17A3B"/>
    <w:rPr>
      <w:rFonts w:ascii="Times New Roman Bold" w:eastAsia="ヒラギノ角ゴ Pro W3" w:hAnsi="Times New Roman Bold"/>
      <w:color w:val="000000"/>
      <w:sz w:val="24"/>
      <w:u w:val="single"/>
      <w:lang w:bidi="ar-SA"/>
    </w:rPr>
  </w:style>
  <w:style w:type="paragraph" w:customStyle="1" w:styleId="OutlineL1">
    <w:name w:val="Outline_L1"/>
    <w:next w:val="BodyText1"/>
    <w:rsid w:val="00A17A3B"/>
    <w:pPr>
      <w:tabs>
        <w:tab w:val="left" w:pos="720"/>
      </w:tabs>
      <w:spacing w:after="240"/>
      <w:outlineLvl w:val="0"/>
    </w:pPr>
    <w:rPr>
      <w:rFonts w:eastAsia="ヒラギノ角ゴ Pro W3"/>
      <w:color w:val="000000"/>
      <w:sz w:val="24"/>
      <w:lang w:bidi="ar-SA"/>
    </w:rPr>
  </w:style>
  <w:style w:type="character" w:customStyle="1" w:styleId="FootnoteTextChar1">
    <w:name w:val="Footnote Text Char1"/>
    <w:aliases w:val="Footnote Text Char1 Char Char,rrfootnote Char Char Char,Style 5 Char Char Char,Footnote Text Char Char Char Char,Footnote Text Char1 Char Char Char Char,Footnote Text Char Char Char Char Char Char,fn Char1,Style Char"/>
    <w:link w:val="FootnoteText"/>
    <w:semiHidden/>
    <w:rsid w:val="00A17A3B"/>
    <w:rPr>
      <w:lang w:val="en-US" w:eastAsia="en-US" w:bidi="ar-SA"/>
    </w:rPr>
  </w:style>
  <w:style w:type="character" w:customStyle="1" w:styleId="Heading5Char">
    <w:name w:val="Heading 5 Char"/>
    <w:link w:val="Heading5"/>
    <w:rsid w:val="007F25D2"/>
    <w:rPr>
      <w:b/>
      <w:snapToGrid/>
      <w:kern w:val="28"/>
      <w:sz w:val="22"/>
      <w:lang w:val="en-US" w:eastAsia="en-US" w:bidi="ar-SA"/>
    </w:rPr>
  </w:style>
  <w:style w:type="paragraph" w:styleId="BalloonText">
    <w:name w:val="Balloon Text"/>
    <w:basedOn w:val="Normal"/>
    <w:link w:val="BalloonTextChar"/>
    <w:semiHidden/>
    <w:rsid w:val="00064FCE"/>
    <w:rPr>
      <w:rFonts w:ascii="Tahoma" w:hAnsi="Tahoma" w:cs="Tahoma"/>
      <w:sz w:val="16"/>
      <w:szCs w:val="16"/>
    </w:rPr>
  </w:style>
  <w:style w:type="character" w:styleId="CommentReference">
    <w:name w:val="annotation reference"/>
    <w:semiHidden/>
    <w:rsid w:val="00164854"/>
    <w:rPr>
      <w:sz w:val="16"/>
      <w:szCs w:val="16"/>
    </w:rPr>
  </w:style>
  <w:style w:type="paragraph" w:styleId="CommentText">
    <w:name w:val="annotation text"/>
    <w:basedOn w:val="Normal"/>
    <w:semiHidden/>
    <w:rsid w:val="00164854"/>
    <w:rPr>
      <w:sz w:val="20"/>
    </w:rPr>
  </w:style>
  <w:style w:type="paragraph" w:styleId="CommentSubject">
    <w:name w:val="annotation subject"/>
    <w:basedOn w:val="CommentText"/>
    <w:next w:val="CommentText"/>
    <w:semiHidden/>
    <w:rsid w:val="00164854"/>
    <w:rPr>
      <w:b/>
      <w:bCs/>
    </w:rPr>
  </w:style>
  <w:style w:type="paragraph" w:customStyle="1" w:styleId="ColorfulList-Accent11">
    <w:name w:val="Colorful List - Accent 11"/>
    <w:basedOn w:val="Normal"/>
    <w:uiPriority w:val="34"/>
    <w:qFormat/>
    <w:rsid w:val="00B65EF8"/>
    <w:pPr>
      <w:ind w:left="720"/>
    </w:pPr>
  </w:style>
  <w:style w:type="character" w:customStyle="1" w:styleId="ALTSFOOTNOTECharChar">
    <w:name w:val="ALTS FOOTNOTE Char Char"/>
    <w:aliases w:val="fn Char Char,rrfootnote Char1 Char,rrfootnote Char Char Char Char Char,rrfootnote Char,fn Char Char1"/>
    <w:semiHidden/>
    <w:locked/>
    <w:rsid w:val="00A4658E"/>
    <w:rPr>
      <w:lang w:val="en-US" w:eastAsia="en-US" w:bidi="ar-SA"/>
    </w:rPr>
  </w:style>
  <w:style w:type="character" w:customStyle="1" w:styleId="ALTSFOOTNOTEChar">
    <w:name w:val="ALTS FOOTNOTE Char"/>
    <w:aliases w:val="fn Char"/>
    <w:semiHidden/>
    <w:locked/>
    <w:rsid w:val="0013714B"/>
    <w:rPr>
      <w:lang w:val="en-US" w:eastAsia="en-US" w:bidi="ar-SA"/>
    </w:rPr>
  </w:style>
  <w:style w:type="paragraph" w:styleId="DocumentMap">
    <w:name w:val="Document Map"/>
    <w:basedOn w:val="Normal"/>
    <w:semiHidden/>
    <w:rsid w:val="001B34D7"/>
    <w:pPr>
      <w:shd w:val="clear" w:color="auto" w:fill="000080"/>
    </w:pPr>
    <w:rPr>
      <w:rFonts w:ascii="Tahoma" w:hAnsi="Tahoma" w:cs="Tahoma"/>
      <w:sz w:val="20"/>
    </w:rPr>
  </w:style>
  <w:style w:type="character" w:customStyle="1" w:styleId="par1Char">
    <w:name w:val="par1 Char"/>
    <w:link w:val="par1"/>
    <w:locked/>
    <w:rsid w:val="00F956EB"/>
    <w:rPr>
      <w:rFonts w:eastAsia="ヒラギノ角ゴ Pro W3"/>
      <w:color w:val="000000"/>
      <w:sz w:val="22"/>
      <w:lang w:val="en-US" w:eastAsia="en-US" w:bidi="ar-SA"/>
    </w:rPr>
  </w:style>
  <w:style w:type="numbering" w:styleId="1ai">
    <w:name w:val="Outline List 1"/>
    <w:basedOn w:val="NoList"/>
    <w:rsid w:val="002A59AE"/>
    <w:pPr>
      <w:numPr>
        <w:numId w:val="6"/>
      </w:numPr>
    </w:pPr>
  </w:style>
  <w:style w:type="paragraph" w:customStyle="1" w:styleId="ColorfulShading-Accent11">
    <w:name w:val="Colorful Shading - Accent 11"/>
    <w:hidden/>
    <w:uiPriority w:val="71"/>
    <w:rsid w:val="00437752"/>
    <w:rPr>
      <w:snapToGrid w:val="0"/>
      <w:kern w:val="28"/>
      <w:sz w:val="22"/>
      <w:lang w:bidi="ar-SA"/>
    </w:rPr>
  </w:style>
  <w:style w:type="character" w:customStyle="1" w:styleId="BalloonTextChar">
    <w:name w:val="Balloon Text Char"/>
    <w:link w:val="BalloonText"/>
    <w:semiHidden/>
    <w:locked/>
    <w:rsid w:val="00215253"/>
    <w:rPr>
      <w:rFonts w:ascii="Tahoma" w:hAnsi="Tahoma" w:cs="Tahoma"/>
      <w:snapToGrid w:val="0"/>
      <w:kern w:val="28"/>
      <w:sz w:val="16"/>
      <w:szCs w:val="16"/>
      <w:lang w:val="en-US" w:eastAsia="en-US" w:bidi="ar-SA"/>
    </w:rPr>
  </w:style>
  <w:style w:type="character" w:customStyle="1" w:styleId="ParaNumChar">
    <w:name w:val="ParaNum Char"/>
    <w:link w:val="ParaNum0"/>
    <w:locked/>
    <w:rsid w:val="00215253"/>
    <w:rPr>
      <w:snapToGrid w:val="0"/>
      <w:kern w:val="28"/>
      <w:sz w:val="22"/>
      <w:lang w:val="en-US" w:eastAsia="en-US" w:bidi="ar-SA"/>
    </w:rPr>
  </w:style>
  <w:style w:type="paragraph" w:styleId="ListParagraph">
    <w:name w:val="List Paragraph"/>
    <w:basedOn w:val="Normal"/>
    <w:uiPriority w:val="34"/>
    <w:qFormat/>
    <w:rsid w:val="007335C1"/>
    <w:pPr>
      <w:ind w:left="720"/>
    </w:pPr>
  </w:style>
  <w:style w:type="character" w:styleId="LineNumber">
    <w:name w:val="line number"/>
    <w:basedOn w:val="DefaultParagraphFont"/>
    <w:rsid w:val="006620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3822"/>
    <w:pPr>
      <w:widowControl w:val="0"/>
    </w:pPr>
    <w:rPr>
      <w:snapToGrid w:val="0"/>
      <w:kern w:val="28"/>
      <w:sz w:val="22"/>
      <w:lang w:bidi="ar-SA"/>
    </w:rPr>
  </w:style>
  <w:style w:type="paragraph" w:styleId="Heading1">
    <w:name w:val="heading 1"/>
    <w:basedOn w:val="Normal"/>
    <w:next w:val="ParaNum0"/>
    <w:qFormat/>
    <w:rsid w:val="00626EB6"/>
    <w:pPr>
      <w:keepNext/>
      <w:numPr>
        <w:numId w:val="3"/>
      </w:numPr>
      <w:tabs>
        <w:tab w:val="left" w:pos="720"/>
      </w:tabs>
      <w:suppressAutoHyphens/>
      <w:spacing w:after="120"/>
      <w:outlineLvl w:val="0"/>
    </w:pPr>
    <w:rPr>
      <w:rFonts w:ascii="Times New Roman Bold" w:hAnsi="Times New Roman Bold"/>
      <w:b/>
      <w:caps/>
    </w:rPr>
  </w:style>
  <w:style w:type="paragraph" w:styleId="Heading2">
    <w:name w:val="heading 2"/>
    <w:basedOn w:val="Normal"/>
    <w:next w:val="ParaNum0"/>
    <w:autoRedefine/>
    <w:qFormat/>
    <w:rsid w:val="00D74B0F"/>
    <w:pPr>
      <w:keepNext/>
      <w:tabs>
        <w:tab w:val="left" w:pos="-720"/>
        <w:tab w:val="center" w:pos="5040"/>
        <w:tab w:val="right" w:pos="9360"/>
      </w:tabs>
      <w:suppressAutoHyphens/>
      <w:spacing w:after="120"/>
      <w:ind w:left="720"/>
      <w:outlineLvl w:val="1"/>
    </w:pPr>
    <w:rPr>
      <w:b/>
      <w:u w:val="single"/>
    </w:rPr>
  </w:style>
  <w:style w:type="paragraph" w:styleId="Heading3">
    <w:name w:val="heading 3"/>
    <w:basedOn w:val="Normal"/>
    <w:next w:val="ParaNum0"/>
    <w:qFormat/>
    <w:rsid w:val="00BA6196"/>
    <w:pPr>
      <w:keepNext/>
      <w:numPr>
        <w:ilvl w:val="2"/>
        <w:numId w:val="3"/>
      </w:numPr>
      <w:tabs>
        <w:tab w:val="left" w:pos="2160"/>
      </w:tabs>
      <w:spacing w:after="120"/>
      <w:outlineLvl w:val="2"/>
    </w:pPr>
    <w:rPr>
      <w:b/>
    </w:rPr>
  </w:style>
  <w:style w:type="paragraph" w:styleId="Heading4">
    <w:name w:val="heading 4"/>
    <w:basedOn w:val="Normal"/>
    <w:next w:val="ParaNum0"/>
    <w:qFormat/>
    <w:rsid w:val="00C426B1"/>
    <w:pPr>
      <w:keepNext/>
      <w:numPr>
        <w:ilvl w:val="3"/>
        <w:numId w:val="3"/>
      </w:numPr>
      <w:tabs>
        <w:tab w:val="left" w:pos="2880"/>
      </w:tabs>
      <w:spacing w:after="120"/>
      <w:outlineLvl w:val="3"/>
    </w:pPr>
    <w:rPr>
      <w:b/>
    </w:rPr>
  </w:style>
  <w:style w:type="paragraph" w:styleId="Heading5">
    <w:name w:val="heading 5"/>
    <w:basedOn w:val="Normal"/>
    <w:next w:val="ParaNum0"/>
    <w:link w:val="Heading5Char"/>
    <w:qFormat/>
    <w:rsid w:val="00511968"/>
    <w:pPr>
      <w:keepNext/>
      <w:numPr>
        <w:ilvl w:val="4"/>
        <w:numId w:val="3"/>
      </w:numPr>
      <w:tabs>
        <w:tab w:val="left" w:pos="3600"/>
      </w:tabs>
      <w:suppressAutoHyphens/>
      <w:spacing w:after="120"/>
      <w:outlineLvl w:val="4"/>
    </w:pPr>
    <w:rPr>
      <w:b/>
      <w:snapToGrid/>
    </w:rPr>
  </w:style>
  <w:style w:type="paragraph" w:styleId="Heading6">
    <w:name w:val="heading 6"/>
    <w:basedOn w:val="Normal"/>
    <w:next w:val="ParaNum0"/>
    <w:qFormat/>
    <w:rsid w:val="00036039"/>
    <w:pPr>
      <w:numPr>
        <w:ilvl w:val="5"/>
        <w:numId w:val="3"/>
      </w:numPr>
      <w:tabs>
        <w:tab w:val="left" w:pos="4320"/>
      </w:tabs>
      <w:spacing w:after="120"/>
      <w:outlineLvl w:val="5"/>
    </w:pPr>
    <w:rPr>
      <w:b/>
    </w:rPr>
  </w:style>
  <w:style w:type="paragraph" w:styleId="Heading7">
    <w:name w:val="heading 7"/>
    <w:basedOn w:val="Normal"/>
    <w:next w:val="ParaNum0"/>
    <w:qFormat/>
    <w:rsid w:val="00036039"/>
    <w:pPr>
      <w:numPr>
        <w:ilvl w:val="6"/>
        <w:numId w:val="3"/>
      </w:numPr>
      <w:tabs>
        <w:tab w:val="left" w:pos="5040"/>
      </w:tabs>
      <w:spacing w:after="120"/>
      <w:ind w:left="5040" w:hanging="720"/>
      <w:outlineLvl w:val="6"/>
    </w:pPr>
    <w:rPr>
      <w:b/>
    </w:rPr>
  </w:style>
  <w:style w:type="paragraph" w:styleId="Heading8">
    <w:name w:val="heading 8"/>
    <w:basedOn w:val="Normal"/>
    <w:next w:val="ParaNum0"/>
    <w:qFormat/>
    <w:rsid w:val="001E01CA"/>
    <w:pPr>
      <w:numPr>
        <w:ilvl w:val="7"/>
        <w:numId w:val="3"/>
      </w:numPr>
      <w:tabs>
        <w:tab w:val="clear" w:pos="5400"/>
        <w:tab w:val="left" w:pos="5760"/>
      </w:tabs>
      <w:spacing w:after="120"/>
      <w:ind w:left="5760" w:hanging="720"/>
      <w:outlineLvl w:val="7"/>
    </w:pPr>
    <w:rPr>
      <w:b/>
    </w:rPr>
  </w:style>
  <w:style w:type="paragraph" w:styleId="Heading9">
    <w:name w:val="heading 9"/>
    <w:basedOn w:val="Normal"/>
    <w:next w:val="ParaNum0"/>
    <w:qFormat/>
    <w:rsid w:val="001E01CA"/>
    <w:pPr>
      <w:numPr>
        <w:ilvl w:val="8"/>
        <w:numId w:val="3"/>
      </w:numPr>
      <w:tabs>
        <w:tab w:val="clear" w:pos="6120"/>
        <w:tab w:val="left" w:pos="6480"/>
      </w:tabs>
      <w:spacing w:after="120"/>
      <w:ind w:left="6480" w:hanging="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Num0">
    <w:name w:val="ParaNum"/>
    <w:basedOn w:val="Normal"/>
    <w:link w:val="ParaNumChar"/>
    <w:rsid w:val="00E07225"/>
    <w:pPr>
      <w:numPr>
        <w:numId w:val="2"/>
      </w:numPr>
      <w:tabs>
        <w:tab w:val="num" w:pos="1440"/>
      </w:tabs>
      <w:spacing w:after="120"/>
    </w:pPr>
  </w:style>
  <w:style w:type="paragraph" w:styleId="EndnoteText">
    <w:name w:val="endnote text"/>
    <w:basedOn w:val="Normal"/>
    <w:semiHidden/>
    <w:rsid w:val="00B6410F"/>
    <w:rPr>
      <w:sz w:val="20"/>
    </w:rPr>
  </w:style>
  <w:style w:type="character" w:styleId="EndnoteReference">
    <w:name w:val="endnote reference"/>
    <w:semiHidden/>
    <w:rsid w:val="00B6410F"/>
    <w:rPr>
      <w:vertAlign w:val="superscript"/>
    </w:rPr>
  </w:style>
  <w:style w:type="paragraph" w:styleId="FootnoteText">
    <w:name w:val="footnote text"/>
    <w:aliases w:val="Footnote Text Char1 Char,rrfootnote Char Char,Style 5 Char Char,Footnote Text Char Char Char,Footnote Text Char1 Char Char Char,Footnote Text Char Char Char Char Char,Footnote Text Char1 Char Char Char Char Char,fn,Style,Footnote Text Char"/>
    <w:link w:val="FootnoteTextChar1"/>
    <w:semiHidden/>
    <w:rsid w:val="000E3D42"/>
    <w:pPr>
      <w:spacing w:after="120"/>
    </w:pPr>
    <w:rPr>
      <w:lang w:bidi="ar-SA"/>
    </w:rPr>
  </w:style>
  <w:style w:type="character" w:styleId="FootnoteReference">
    <w:name w:val="footnote reference"/>
    <w:aliases w:val="Style 4,Style 12,(NECG) Footnote Reference,Appel note de bas de p,Style 124,Style 13,o,fr,Style 3,FR"/>
    <w:semiHidden/>
    <w:rsid w:val="00B6410F"/>
    <w:rPr>
      <w:rFonts w:ascii="Times New Roman" w:hAnsi="Times New Roman"/>
      <w:dstrike w:val="0"/>
      <w:color w:val="auto"/>
      <w:sz w:val="22"/>
      <w:vertAlign w:val="superscript"/>
    </w:rPr>
  </w:style>
  <w:style w:type="paragraph" w:styleId="TOC1">
    <w:name w:val="toc 1"/>
    <w:basedOn w:val="Normal"/>
    <w:next w:val="Normal"/>
    <w:semiHidden/>
    <w:rsid w:val="00B6410F"/>
    <w:pPr>
      <w:tabs>
        <w:tab w:val="left" w:pos="360"/>
        <w:tab w:val="right" w:leader="dot" w:pos="9360"/>
      </w:tabs>
      <w:suppressAutoHyphens/>
      <w:ind w:left="360" w:right="720" w:hanging="360"/>
    </w:pPr>
    <w:rPr>
      <w:caps/>
      <w:noProof/>
    </w:rPr>
  </w:style>
  <w:style w:type="paragraph" w:styleId="TOC2">
    <w:name w:val="toc 2"/>
    <w:basedOn w:val="Normal"/>
    <w:next w:val="Normal"/>
    <w:semiHidden/>
    <w:rsid w:val="00B6410F"/>
    <w:pPr>
      <w:tabs>
        <w:tab w:val="left" w:pos="720"/>
        <w:tab w:val="right" w:leader="dot" w:pos="9360"/>
      </w:tabs>
      <w:suppressAutoHyphens/>
      <w:ind w:left="720" w:right="720" w:hanging="360"/>
    </w:pPr>
    <w:rPr>
      <w:noProof/>
    </w:rPr>
  </w:style>
  <w:style w:type="paragraph" w:styleId="TOC3">
    <w:name w:val="toc 3"/>
    <w:basedOn w:val="Normal"/>
    <w:next w:val="Normal"/>
    <w:semiHidden/>
    <w:rsid w:val="00B6410F"/>
    <w:pPr>
      <w:tabs>
        <w:tab w:val="left" w:pos="1080"/>
        <w:tab w:val="right" w:leader="dot" w:pos="9360"/>
      </w:tabs>
      <w:suppressAutoHyphens/>
      <w:ind w:left="1080" w:right="720" w:hanging="360"/>
    </w:pPr>
    <w:rPr>
      <w:noProof/>
    </w:rPr>
  </w:style>
  <w:style w:type="paragraph" w:styleId="TOC4">
    <w:name w:val="toc 4"/>
    <w:basedOn w:val="Normal"/>
    <w:next w:val="Normal"/>
    <w:autoRedefine/>
    <w:semiHidden/>
    <w:rsid w:val="00B6410F"/>
    <w:pPr>
      <w:tabs>
        <w:tab w:val="left" w:pos="1440"/>
        <w:tab w:val="right" w:leader="dot" w:pos="9360"/>
      </w:tabs>
      <w:suppressAutoHyphens/>
      <w:ind w:left="1440" w:right="720" w:hanging="360"/>
    </w:pPr>
    <w:rPr>
      <w:noProof/>
    </w:rPr>
  </w:style>
  <w:style w:type="paragraph" w:styleId="TOC5">
    <w:name w:val="toc 5"/>
    <w:basedOn w:val="Normal"/>
    <w:next w:val="Normal"/>
    <w:autoRedefine/>
    <w:semiHidden/>
    <w:rsid w:val="00B6410F"/>
    <w:pPr>
      <w:tabs>
        <w:tab w:val="left" w:pos="1800"/>
        <w:tab w:val="right" w:leader="dot" w:pos="9360"/>
      </w:tabs>
      <w:suppressAutoHyphens/>
      <w:ind w:left="1800" w:right="720" w:hanging="360"/>
    </w:pPr>
    <w:rPr>
      <w:noProof/>
    </w:rPr>
  </w:style>
  <w:style w:type="paragraph" w:styleId="TOC6">
    <w:name w:val="toc 6"/>
    <w:basedOn w:val="Normal"/>
    <w:next w:val="Normal"/>
    <w:autoRedefine/>
    <w:semiHidden/>
    <w:rsid w:val="00B6410F"/>
    <w:pPr>
      <w:tabs>
        <w:tab w:val="left" w:pos="2160"/>
        <w:tab w:val="right" w:leader="dot" w:pos="9360"/>
      </w:tabs>
      <w:suppressAutoHyphens/>
      <w:ind w:left="2160" w:hanging="360"/>
    </w:pPr>
    <w:rPr>
      <w:noProof/>
    </w:rPr>
  </w:style>
  <w:style w:type="paragraph" w:styleId="TOC7">
    <w:name w:val="toc 7"/>
    <w:basedOn w:val="Normal"/>
    <w:next w:val="Normal"/>
    <w:autoRedefine/>
    <w:semiHidden/>
    <w:rsid w:val="00B6410F"/>
    <w:pPr>
      <w:tabs>
        <w:tab w:val="left" w:pos="2520"/>
        <w:tab w:val="right" w:leader="dot" w:pos="9360"/>
      </w:tabs>
      <w:suppressAutoHyphens/>
      <w:ind w:left="2520" w:hanging="360"/>
    </w:pPr>
    <w:rPr>
      <w:noProof/>
    </w:rPr>
  </w:style>
  <w:style w:type="paragraph" w:styleId="TOC8">
    <w:name w:val="toc 8"/>
    <w:basedOn w:val="Normal"/>
    <w:next w:val="Normal"/>
    <w:autoRedefine/>
    <w:semiHidden/>
    <w:rsid w:val="00B6410F"/>
    <w:pPr>
      <w:tabs>
        <w:tab w:val="left" w:pos="2880"/>
        <w:tab w:val="right" w:leader="dot" w:pos="9360"/>
      </w:tabs>
      <w:suppressAutoHyphens/>
      <w:ind w:left="2880" w:hanging="360"/>
    </w:pPr>
    <w:rPr>
      <w:noProof/>
    </w:rPr>
  </w:style>
  <w:style w:type="paragraph" w:styleId="TOC9">
    <w:name w:val="toc 9"/>
    <w:basedOn w:val="Normal"/>
    <w:next w:val="Normal"/>
    <w:autoRedefine/>
    <w:semiHidden/>
    <w:rsid w:val="00B6410F"/>
    <w:pPr>
      <w:tabs>
        <w:tab w:val="left" w:pos="3240"/>
        <w:tab w:val="right" w:leader="dot" w:pos="9360"/>
      </w:tabs>
      <w:suppressAutoHyphens/>
      <w:ind w:left="3240" w:hanging="360"/>
    </w:pPr>
    <w:rPr>
      <w:noProof/>
    </w:rPr>
  </w:style>
  <w:style w:type="paragraph" w:styleId="TOAHeading">
    <w:name w:val="toa heading"/>
    <w:basedOn w:val="Normal"/>
    <w:next w:val="Normal"/>
    <w:semiHidden/>
    <w:rsid w:val="00B6410F"/>
    <w:pPr>
      <w:tabs>
        <w:tab w:val="right" w:pos="9360"/>
      </w:tabs>
      <w:suppressAutoHyphens/>
    </w:pPr>
  </w:style>
  <w:style w:type="character" w:customStyle="1" w:styleId="EquationCaption">
    <w:name w:val="_Equation Caption"/>
    <w:rsid w:val="00B6410F"/>
  </w:style>
  <w:style w:type="paragraph" w:styleId="Header">
    <w:name w:val="header"/>
    <w:basedOn w:val="Normal"/>
    <w:autoRedefine/>
    <w:rsid w:val="00871C1B"/>
    <w:pPr>
      <w:pBdr>
        <w:bottom w:val="single" w:sz="12" w:space="1" w:color="auto"/>
      </w:pBdr>
      <w:tabs>
        <w:tab w:val="center" w:pos="4680"/>
        <w:tab w:val="right" w:pos="9360"/>
      </w:tabs>
      <w:jc w:val="right"/>
    </w:pPr>
    <w:rPr>
      <w:b/>
    </w:rPr>
  </w:style>
  <w:style w:type="paragraph" w:styleId="Footer">
    <w:name w:val="footer"/>
    <w:basedOn w:val="Normal"/>
    <w:rsid w:val="00B6410F"/>
    <w:pPr>
      <w:tabs>
        <w:tab w:val="center" w:pos="4320"/>
        <w:tab w:val="right" w:pos="8640"/>
      </w:tabs>
    </w:pPr>
  </w:style>
  <w:style w:type="character" w:styleId="PageNumber">
    <w:name w:val="page number"/>
    <w:basedOn w:val="DefaultParagraphFont"/>
    <w:rsid w:val="00B6410F"/>
  </w:style>
  <w:style w:type="paragraph" w:styleId="BlockText">
    <w:name w:val="Block Text"/>
    <w:basedOn w:val="Normal"/>
    <w:rsid w:val="00B6410F"/>
    <w:pPr>
      <w:spacing w:after="240"/>
      <w:ind w:left="1440" w:right="1440"/>
    </w:pPr>
  </w:style>
  <w:style w:type="paragraph" w:customStyle="1" w:styleId="Paratitle">
    <w:name w:val="Para title"/>
    <w:basedOn w:val="Normal"/>
    <w:rsid w:val="00B6410F"/>
    <w:pPr>
      <w:tabs>
        <w:tab w:val="center" w:pos="9270"/>
      </w:tabs>
      <w:spacing w:after="240"/>
    </w:pPr>
    <w:rPr>
      <w:spacing w:val="-2"/>
    </w:rPr>
  </w:style>
  <w:style w:type="paragraph" w:customStyle="1" w:styleId="Bullet">
    <w:name w:val="Bullet"/>
    <w:basedOn w:val="Normal"/>
    <w:rsid w:val="00B6410F"/>
    <w:pPr>
      <w:tabs>
        <w:tab w:val="left" w:pos="2160"/>
      </w:tabs>
      <w:spacing w:after="220"/>
      <w:ind w:left="2160" w:hanging="720"/>
    </w:pPr>
  </w:style>
  <w:style w:type="paragraph" w:customStyle="1" w:styleId="TableFormat">
    <w:name w:val="TableFormat"/>
    <w:basedOn w:val="Bullet"/>
    <w:rsid w:val="00B6410F"/>
    <w:pPr>
      <w:tabs>
        <w:tab w:val="clear" w:pos="2160"/>
        <w:tab w:val="left" w:pos="5040"/>
      </w:tabs>
      <w:ind w:left="5040" w:hanging="3600"/>
    </w:pPr>
  </w:style>
  <w:style w:type="paragraph" w:customStyle="1" w:styleId="TOCTitle">
    <w:name w:val="TOC Title"/>
    <w:basedOn w:val="Normal"/>
    <w:rsid w:val="00B6410F"/>
    <w:pPr>
      <w:spacing w:before="240" w:after="240"/>
      <w:jc w:val="center"/>
    </w:pPr>
    <w:rPr>
      <w:rFonts w:ascii="Times New Roman Bold" w:hAnsi="Times New Roman Bold"/>
      <w:b/>
      <w:caps/>
      <w:spacing w:val="-2"/>
    </w:rPr>
  </w:style>
  <w:style w:type="paragraph" w:customStyle="1" w:styleId="StyleBoldCentered">
    <w:name w:val="Style Bold Centered"/>
    <w:basedOn w:val="Normal"/>
    <w:rsid w:val="00096D8C"/>
    <w:pPr>
      <w:jc w:val="center"/>
    </w:pPr>
    <w:rPr>
      <w:rFonts w:ascii="Times New Roman Bold" w:hAnsi="Times New Roman Bold"/>
      <w:b/>
      <w:bCs/>
      <w:caps/>
      <w:szCs w:val="22"/>
    </w:rPr>
  </w:style>
  <w:style w:type="character" w:styleId="Hyperlink">
    <w:name w:val="Hyperlink"/>
    <w:rsid w:val="002A2D2E"/>
    <w:rPr>
      <w:color w:val="0000FF"/>
      <w:u w:val="single"/>
    </w:rPr>
  </w:style>
  <w:style w:type="paragraph" w:customStyle="1" w:styleId="FreeFormA">
    <w:name w:val="Free Form A"/>
    <w:rsid w:val="00A17A3B"/>
    <w:rPr>
      <w:rFonts w:eastAsia="ヒラギノ角ゴ Pro W3"/>
      <w:color w:val="000000"/>
      <w:lang w:bidi="ar-SA"/>
    </w:rPr>
  </w:style>
  <w:style w:type="paragraph" w:customStyle="1" w:styleId="par1">
    <w:name w:val="par1"/>
    <w:link w:val="par1Char"/>
    <w:rsid w:val="00A17A3B"/>
    <w:pPr>
      <w:tabs>
        <w:tab w:val="left" w:pos="1080"/>
      </w:tabs>
      <w:ind w:firstLine="720"/>
    </w:pPr>
    <w:rPr>
      <w:rFonts w:eastAsia="ヒラギノ角ゴ Pro W3"/>
      <w:color w:val="000000"/>
      <w:sz w:val="22"/>
      <w:lang w:bidi="ar-SA"/>
    </w:rPr>
  </w:style>
  <w:style w:type="character" w:customStyle="1" w:styleId="ParanumChar0">
    <w:name w:val="Paranum Char"/>
    <w:rsid w:val="00A17A3B"/>
    <w:rPr>
      <w:color w:val="000000"/>
      <w:sz w:val="22"/>
      <w:lang w:val="en-US"/>
    </w:rPr>
  </w:style>
  <w:style w:type="paragraph" w:customStyle="1" w:styleId="Paranum">
    <w:name w:val="Paranum"/>
    <w:autoRedefine/>
    <w:rsid w:val="005A3822"/>
    <w:pPr>
      <w:numPr>
        <w:numId w:val="7"/>
      </w:numPr>
      <w:spacing w:after="240"/>
    </w:pPr>
    <w:rPr>
      <w:rFonts w:eastAsia="ヒラギノ角ゴ Pro W3"/>
      <w:color w:val="000000"/>
      <w:sz w:val="24"/>
      <w:lang w:bidi="ar-SA"/>
    </w:rPr>
  </w:style>
  <w:style w:type="paragraph" w:customStyle="1" w:styleId="OutlineL4">
    <w:name w:val="Outline_L4"/>
    <w:next w:val="BodyText1"/>
    <w:rsid w:val="00A17A3B"/>
    <w:pPr>
      <w:tabs>
        <w:tab w:val="left" w:pos="2880"/>
      </w:tabs>
      <w:spacing w:after="240"/>
      <w:ind w:firstLine="2160"/>
      <w:outlineLvl w:val="3"/>
    </w:pPr>
    <w:rPr>
      <w:rFonts w:eastAsia="ヒラギノ角ゴ Pro W3"/>
      <w:color w:val="000000"/>
      <w:sz w:val="24"/>
      <w:lang w:bidi="ar-SA"/>
    </w:rPr>
  </w:style>
  <w:style w:type="paragraph" w:customStyle="1" w:styleId="BodyText1">
    <w:name w:val="Body Text1"/>
    <w:rsid w:val="00A17A3B"/>
    <w:rPr>
      <w:rFonts w:ascii="Times New Roman Bold" w:eastAsia="ヒラギノ角ゴ Pro W3" w:hAnsi="Times New Roman Bold"/>
      <w:color w:val="000000"/>
      <w:sz w:val="24"/>
      <w:u w:val="single"/>
      <w:lang w:bidi="ar-SA"/>
    </w:rPr>
  </w:style>
  <w:style w:type="paragraph" w:customStyle="1" w:styleId="OutlineL1">
    <w:name w:val="Outline_L1"/>
    <w:next w:val="BodyText1"/>
    <w:rsid w:val="00A17A3B"/>
    <w:pPr>
      <w:tabs>
        <w:tab w:val="left" w:pos="720"/>
      </w:tabs>
      <w:spacing w:after="240"/>
      <w:outlineLvl w:val="0"/>
    </w:pPr>
    <w:rPr>
      <w:rFonts w:eastAsia="ヒラギノ角ゴ Pro W3"/>
      <w:color w:val="000000"/>
      <w:sz w:val="24"/>
      <w:lang w:bidi="ar-SA"/>
    </w:rPr>
  </w:style>
  <w:style w:type="character" w:customStyle="1" w:styleId="FootnoteTextChar1">
    <w:name w:val="Footnote Text Char1"/>
    <w:aliases w:val="Footnote Text Char1 Char Char,rrfootnote Char Char Char,Style 5 Char Char Char,Footnote Text Char Char Char Char,Footnote Text Char1 Char Char Char Char,Footnote Text Char Char Char Char Char Char,fn Char1,Style Char"/>
    <w:link w:val="FootnoteText"/>
    <w:semiHidden/>
    <w:rsid w:val="00A17A3B"/>
    <w:rPr>
      <w:lang w:val="en-US" w:eastAsia="en-US" w:bidi="ar-SA"/>
    </w:rPr>
  </w:style>
  <w:style w:type="character" w:customStyle="1" w:styleId="Heading5Char">
    <w:name w:val="Heading 5 Char"/>
    <w:link w:val="Heading5"/>
    <w:rsid w:val="007F25D2"/>
    <w:rPr>
      <w:b/>
      <w:snapToGrid/>
      <w:kern w:val="28"/>
      <w:sz w:val="22"/>
      <w:lang w:val="en-US" w:eastAsia="en-US" w:bidi="ar-SA"/>
    </w:rPr>
  </w:style>
  <w:style w:type="paragraph" w:styleId="BalloonText">
    <w:name w:val="Balloon Text"/>
    <w:basedOn w:val="Normal"/>
    <w:link w:val="BalloonTextChar"/>
    <w:semiHidden/>
    <w:rsid w:val="00064FCE"/>
    <w:rPr>
      <w:rFonts w:ascii="Tahoma" w:hAnsi="Tahoma" w:cs="Tahoma"/>
      <w:sz w:val="16"/>
      <w:szCs w:val="16"/>
    </w:rPr>
  </w:style>
  <w:style w:type="character" w:styleId="CommentReference">
    <w:name w:val="annotation reference"/>
    <w:semiHidden/>
    <w:rsid w:val="00164854"/>
    <w:rPr>
      <w:sz w:val="16"/>
      <w:szCs w:val="16"/>
    </w:rPr>
  </w:style>
  <w:style w:type="paragraph" w:styleId="CommentText">
    <w:name w:val="annotation text"/>
    <w:basedOn w:val="Normal"/>
    <w:semiHidden/>
    <w:rsid w:val="00164854"/>
    <w:rPr>
      <w:sz w:val="20"/>
    </w:rPr>
  </w:style>
  <w:style w:type="paragraph" w:styleId="CommentSubject">
    <w:name w:val="annotation subject"/>
    <w:basedOn w:val="CommentText"/>
    <w:next w:val="CommentText"/>
    <w:semiHidden/>
    <w:rsid w:val="00164854"/>
    <w:rPr>
      <w:b/>
      <w:bCs/>
    </w:rPr>
  </w:style>
  <w:style w:type="paragraph" w:customStyle="1" w:styleId="ColorfulList-Accent11">
    <w:name w:val="Colorful List - Accent 11"/>
    <w:basedOn w:val="Normal"/>
    <w:uiPriority w:val="34"/>
    <w:qFormat/>
    <w:rsid w:val="00B65EF8"/>
    <w:pPr>
      <w:ind w:left="720"/>
    </w:pPr>
  </w:style>
  <w:style w:type="character" w:customStyle="1" w:styleId="ALTSFOOTNOTECharChar">
    <w:name w:val="ALTS FOOTNOTE Char Char"/>
    <w:aliases w:val="fn Char Char,rrfootnote Char1 Char,rrfootnote Char Char Char Char Char,rrfootnote Char,fn Char Char1"/>
    <w:semiHidden/>
    <w:locked/>
    <w:rsid w:val="00A4658E"/>
    <w:rPr>
      <w:lang w:val="en-US" w:eastAsia="en-US" w:bidi="ar-SA"/>
    </w:rPr>
  </w:style>
  <w:style w:type="character" w:customStyle="1" w:styleId="ALTSFOOTNOTEChar">
    <w:name w:val="ALTS FOOTNOTE Char"/>
    <w:aliases w:val="fn Char"/>
    <w:semiHidden/>
    <w:locked/>
    <w:rsid w:val="0013714B"/>
    <w:rPr>
      <w:lang w:val="en-US" w:eastAsia="en-US" w:bidi="ar-SA"/>
    </w:rPr>
  </w:style>
  <w:style w:type="paragraph" w:styleId="DocumentMap">
    <w:name w:val="Document Map"/>
    <w:basedOn w:val="Normal"/>
    <w:semiHidden/>
    <w:rsid w:val="001B34D7"/>
    <w:pPr>
      <w:shd w:val="clear" w:color="auto" w:fill="000080"/>
    </w:pPr>
    <w:rPr>
      <w:rFonts w:ascii="Tahoma" w:hAnsi="Tahoma" w:cs="Tahoma"/>
      <w:sz w:val="20"/>
    </w:rPr>
  </w:style>
  <w:style w:type="character" w:customStyle="1" w:styleId="par1Char">
    <w:name w:val="par1 Char"/>
    <w:link w:val="par1"/>
    <w:locked/>
    <w:rsid w:val="00F956EB"/>
    <w:rPr>
      <w:rFonts w:eastAsia="ヒラギノ角ゴ Pro W3"/>
      <w:color w:val="000000"/>
      <w:sz w:val="22"/>
      <w:lang w:val="en-US" w:eastAsia="en-US" w:bidi="ar-SA"/>
    </w:rPr>
  </w:style>
  <w:style w:type="numbering" w:styleId="1ai">
    <w:name w:val="Outline List 1"/>
    <w:basedOn w:val="NoList"/>
    <w:rsid w:val="002A59AE"/>
    <w:pPr>
      <w:numPr>
        <w:numId w:val="6"/>
      </w:numPr>
    </w:pPr>
  </w:style>
  <w:style w:type="paragraph" w:customStyle="1" w:styleId="ColorfulShading-Accent11">
    <w:name w:val="Colorful Shading - Accent 11"/>
    <w:hidden/>
    <w:uiPriority w:val="71"/>
    <w:rsid w:val="00437752"/>
    <w:rPr>
      <w:snapToGrid w:val="0"/>
      <w:kern w:val="28"/>
      <w:sz w:val="22"/>
      <w:lang w:bidi="ar-SA"/>
    </w:rPr>
  </w:style>
  <w:style w:type="character" w:customStyle="1" w:styleId="BalloonTextChar">
    <w:name w:val="Balloon Text Char"/>
    <w:link w:val="BalloonText"/>
    <w:semiHidden/>
    <w:locked/>
    <w:rsid w:val="00215253"/>
    <w:rPr>
      <w:rFonts w:ascii="Tahoma" w:hAnsi="Tahoma" w:cs="Tahoma"/>
      <w:snapToGrid w:val="0"/>
      <w:kern w:val="28"/>
      <w:sz w:val="16"/>
      <w:szCs w:val="16"/>
      <w:lang w:val="en-US" w:eastAsia="en-US" w:bidi="ar-SA"/>
    </w:rPr>
  </w:style>
  <w:style w:type="character" w:customStyle="1" w:styleId="ParaNumChar">
    <w:name w:val="ParaNum Char"/>
    <w:link w:val="ParaNum0"/>
    <w:locked/>
    <w:rsid w:val="00215253"/>
    <w:rPr>
      <w:snapToGrid w:val="0"/>
      <w:kern w:val="28"/>
      <w:sz w:val="22"/>
      <w:lang w:val="en-US" w:eastAsia="en-US" w:bidi="ar-SA"/>
    </w:rPr>
  </w:style>
  <w:style w:type="paragraph" w:styleId="ListParagraph">
    <w:name w:val="List Paragraph"/>
    <w:basedOn w:val="Normal"/>
    <w:uiPriority w:val="34"/>
    <w:qFormat/>
    <w:rsid w:val="007335C1"/>
    <w:pPr>
      <w:ind w:left="720"/>
    </w:pPr>
  </w:style>
  <w:style w:type="character" w:styleId="LineNumber">
    <w:name w:val="line number"/>
    <w:basedOn w:val="DefaultParagraphFont"/>
    <w:rsid w:val="00662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740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Johnny.Drake@fcc.gov"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Daniel.Grosh@fcc.gov" TargetMode="External"/><Relationship Id="rId2" Type="http://schemas.openxmlformats.org/officeDocument/2006/relationships/styles" Target="styles.xml"/><Relationship Id="rId16" Type="http://schemas.openxmlformats.org/officeDocument/2006/relationships/hyperlink" Target="mailto:Phillip.Priesman@fcc.gov"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Daniel.Grosh@fcc.gov" TargetMode="External"/><Relationship Id="rId10" Type="http://schemas.openxmlformats.org/officeDocument/2006/relationships/footer" Target="footer1.xml"/><Relationship Id="rId19" Type="http://schemas.openxmlformats.org/officeDocument/2006/relationships/hyperlink" Target="mailto:ARINQUIRIES@fcc.gov"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Phillip.Priesman@fcc.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Forms\OS%20Process\Orders%20TOC%20by%20Paragrap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Orders TOC by Paragraph</Template>
  <TotalTime>0</TotalTime>
  <Pages>3</Pages>
  <Words>4618</Words>
  <Characters>25336</Characters>
  <Application>Microsoft Office Word</Application>
  <DocSecurity>0</DocSecurity>
  <Lines>467</Lines>
  <Paragraphs>135</Paragraphs>
  <ScaleCrop>false</ScaleCrop>
  <HeadingPairs>
    <vt:vector size="2" baseType="variant">
      <vt:variant>
        <vt:lpstr>Title</vt:lpstr>
      </vt:variant>
      <vt:variant>
        <vt:i4>1</vt:i4>
      </vt:variant>
    </vt:vector>
  </HeadingPairs>
  <TitlesOfParts>
    <vt:vector size="1" baseType="lpstr">
      <vt:lpstr>Orders TOC by Paragraph.dot</vt:lpstr>
    </vt:vector>
  </TitlesOfParts>
  <Manager/>
  <Company/>
  <LinksUpToDate>false</LinksUpToDate>
  <CharactersWithSpaces>30062</CharactersWithSpaces>
  <SharedDoc>false</SharedDoc>
  <HyperlinkBase> </HyperlinkBase>
  <HLinks>
    <vt:vector size="36" baseType="variant">
      <vt:variant>
        <vt:i4>8126550</vt:i4>
      </vt:variant>
      <vt:variant>
        <vt:i4>15</vt:i4>
      </vt:variant>
      <vt:variant>
        <vt:i4>0</vt:i4>
      </vt:variant>
      <vt:variant>
        <vt:i4>5</vt:i4>
      </vt:variant>
      <vt:variant>
        <vt:lpwstr>mailto:ARINQUIRIES@fcc.gov</vt:lpwstr>
      </vt:variant>
      <vt:variant>
        <vt:lpwstr/>
      </vt:variant>
      <vt:variant>
        <vt:i4>5963824</vt:i4>
      </vt:variant>
      <vt:variant>
        <vt:i4>12</vt:i4>
      </vt:variant>
      <vt:variant>
        <vt:i4>0</vt:i4>
      </vt:variant>
      <vt:variant>
        <vt:i4>5</vt:i4>
      </vt:variant>
      <vt:variant>
        <vt:lpwstr>mailto:Johnny.Drake@fcc.gov</vt:lpwstr>
      </vt:variant>
      <vt:variant>
        <vt:lpwstr/>
      </vt:variant>
      <vt:variant>
        <vt:i4>4194348</vt:i4>
      </vt:variant>
      <vt:variant>
        <vt:i4>9</vt:i4>
      </vt:variant>
      <vt:variant>
        <vt:i4>0</vt:i4>
      </vt:variant>
      <vt:variant>
        <vt:i4>5</vt:i4>
      </vt:variant>
      <vt:variant>
        <vt:lpwstr>mailto:Daniel.Grosh@fcc.gov</vt:lpwstr>
      </vt:variant>
      <vt:variant>
        <vt:lpwstr/>
      </vt:variant>
      <vt:variant>
        <vt:i4>917631</vt:i4>
      </vt:variant>
      <vt:variant>
        <vt:i4>6</vt:i4>
      </vt:variant>
      <vt:variant>
        <vt:i4>0</vt:i4>
      </vt:variant>
      <vt:variant>
        <vt:i4>5</vt:i4>
      </vt:variant>
      <vt:variant>
        <vt:lpwstr>mailto:Phillip.Priesman@fcc.gov</vt:lpwstr>
      </vt:variant>
      <vt:variant>
        <vt:lpwstr/>
      </vt:variant>
      <vt:variant>
        <vt:i4>4194348</vt:i4>
      </vt:variant>
      <vt:variant>
        <vt:i4>3</vt:i4>
      </vt:variant>
      <vt:variant>
        <vt:i4>0</vt:i4>
      </vt:variant>
      <vt:variant>
        <vt:i4>5</vt:i4>
      </vt:variant>
      <vt:variant>
        <vt:lpwstr>mailto:Daniel.Grosh@fcc.gov</vt:lpwstr>
      </vt:variant>
      <vt:variant>
        <vt:lpwstr/>
      </vt:variant>
      <vt:variant>
        <vt:i4>917631</vt:i4>
      </vt:variant>
      <vt:variant>
        <vt:i4>0</vt:i4>
      </vt:variant>
      <vt:variant>
        <vt:i4>0</vt:i4>
      </vt:variant>
      <vt:variant>
        <vt:i4>5</vt:i4>
      </vt:variant>
      <vt:variant>
        <vt:lpwstr>mailto:Phillip.Priesman@fcc.gov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subject>
  <dc:creator/>
  <cp:keywords> </cp:keywords>
  <dc:description> </dc:description>
  <cp:lastModifiedBy/>
  <cp:revision>1</cp:revision>
  <cp:lastPrinted>2013-03-29T18:14:00Z</cp:lastPrinted>
  <dcterms:created xsi:type="dcterms:W3CDTF">2013-04-01T20:21:00Z</dcterms:created>
  <dcterms:modified xsi:type="dcterms:W3CDTF">2013-04-01T20:21:00Z</dcterms:modified>
  <cp:category> </cp:category>
  <cp:contentStatus> </cp:contentStatus>
</cp:coreProperties>
</file>