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DFF1F" w14:textId="77777777" w:rsidR="001F678F" w:rsidRPr="001F678F" w:rsidRDefault="001F678F" w:rsidP="001F678F">
      <w:pPr>
        <w:pStyle w:val="Heading2"/>
      </w:pPr>
      <w:r w:rsidRPr="001F678F">
        <w:t xml:space="preserve">VERTROUWELIJKHEIDSOVEREENKOMST </w:t>
      </w:r>
    </w:p>
    <w:p w14:paraId="3630F2BF" w14:textId="77777777" w:rsidR="001F678F" w:rsidRDefault="001F678F" w:rsidP="001F678F">
      <w:pPr>
        <w:jc w:val="both"/>
        <w:rPr>
          <w:rFonts w:ascii="Arial" w:hAnsi="Arial" w:cs="Arial"/>
          <w:b/>
          <w:szCs w:val="20"/>
          <w:lang w:val="nl-BE"/>
        </w:rPr>
      </w:pPr>
    </w:p>
    <w:p w14:paraId="0EDD62DB" w14:textId="77777777" w:rsidR="001F678F" w:rsidRDefault="001F678F" w:rsidP="001F678F">
      <w:pPr>
        <w:jc w:val="both"/>
        <w:rPr>
          <w:rFonts w:ascii="Arial" w:hAnsi="Arial" w:cs="Arial"/>
          <w:b/>
          <w:szCs w:val="20"/>
          <w:lang w:val="nl-BE"/>
        </w:rPr>
      </w:pPr>
    </w:p>
    <w:p w14:paraId="5E261A63" w14:textId="77777777" w:rsidR="001F678F" w:rsidRDefault="001F678F" w:rsidP="001F678F">
      <w:pPr>
        <w:jc w:val="both"/>
        <w:rPr>
          <w:rFonts w:ascii="Arial" w:hAnsi="Arial" w:cs="Arial"/>
          <w:b/>
          <w:szCs w:val="20"/>
          <w:lang w:val="nl-BE"/>
        </w:rPr>
      </w:pPr>
    </w:p>
    <w:p w14:paraId="76CF35F5" w14:textId="77777777" w:rsidR="001F678F" w:rsidRPr="00E33EFB" w:rsidRDefault="001F678F" w:rsidP="001F678F">
      <w:pPr>
        <w:jc w:val="both"/>
        <w:rPr>
          <w:rFonts w:cs="Arial"/>
          <w:b/>
          <w:szCs w:val="20"/>
          <w:lang w:val="nl-BE"/>
        </w:rPr>
      </w:pPr>
      <w:r w:rsidRPr="00E33EFB">
        <w:rPr>
          <w:rFonts w:cs="Arial"/>
          <w:b/>
          <w:szCs w:val="20"/>
          <w:lang w:val="nl-BE"/>
        </w:rPr>
        <w:t>PARTIJEN:</w:t>
      </w:r>
    </w:p>
    <w:p w14:paraId="0655EAB9" w14:textId="77777777" w:rsidR="001F678F" w:rsidRPr="00E33EFB" w:rsidRDefault="001F678F" w:rsidP="001F678F">
      <w:pPr>
        <w:jc w:val="both"/>
        <w:rPr>
          <w:rFonts w:cs="Arial"/>
          <w:b/>
          <w:szCs w:val="20"/>
          <w:lang w:val="nl-BE"/>
        </w:rPr>
      </w:pPr>
    </w:p>
    <w:p w14:paraId="291A7248" w14:textId="77777777" w:rsidR="001F678F" w:rsidRPr="00E33EFB" w:rsidRDefault="001F678F" w:rsidP="001F678F">
      <w:pPr>
        <w:jc w:val="both"/>
        <w:rPr>
          <w:rFonts w:cs="Arial"/>
          <w:szCs w:val="20"/>
          <w:lang w:val="nl-BE"/>
        </w:rPr>
      </w:pPr>
      <w:proofErr w:type="gramStart"/>
      <w:r w:rsidRPr="00E33EFB">
        <w:rPr>
          <w:rFonts w:cs="Arial"/>
          <w:szCs w:val="20"/>
          <w:lang w:val="nl-BE"/>
        </w:rPr>
        <w:t>●, [rechtsvorm], met zetel te ●, ingeschreven in het rechtspersonenregister te ● onder het nummer ●, hier rechtsgeldig vertegenwoordigd door: ● [hoedanigheid] ("</w:t>
      </w:r>
      <w:r w:rsidRPr="00E33EFB">
        <w:rPr>
          <w:rFonts w:cs="Arial"/>
          <w:b/>
          <w:szCs w:val="20"/>
          <w:lang w:val="nl-BE"/>
        </w:rPr>
        <w:t>Onderzoekende Partij</w:t>
      </w:r>
      <w:r w:rsidRPr="00E33EFB">
        <w:rPr>
          <w:rFonts w:cs="Arial"/>
          <w:szCs w:val="20"/>
          <w:lang w:val="nl-BE"/>
        </w:rPr>
        <w:t>”)</w:t>
      </w:r>
      <w:proofErr w:type="gramEnd"/>
    </w:p>
    <w:p w14:paraId="769EFB09" w14:textId="77777777" w:rsidR="001F678F" w:rsidRPr="00E33EFB" w:rsidRDefault="001F678F" w:rsidP="001F678F">
      <w:pPr>
        <w:jc w:val="both"/>
        <w:rPr>
          <w:rFonts w:cs="Arial"/>
          <w:szCs w:val="20"/>
          <w:lang w:val="nl-BE"/>
        </w:rPr>
      </w:pPr>
    </w:p>
    <w:p w14:paraId="4C118207" w14:textId="77777777" w:rsidR="001F678F" w:rsidRPr="00E33EFB" w:rsidRDefault="001F678F" w:rsidP="001F678F">
      <w:pPr>
        <w:jc w:val="both"/>
        <w:rPr>
          <w:rFonts w:cs="Arial"/>
          <w:b/>
          <w:szCs w:val="20"/>
          <w:lang w:val="nl-BE"/>
        </w:rPr>
      </w:pPr>
      <w:r w:rsidRPr="00E33EFB">
        <w:rPr>
          <w:rFonts w:cs="Arial"/>
          <w:b/>
          <w:szCs w:val="20"/>
          <w:lang w:val="nl-BE"/>
        </w:rPr>
        <w:t>EN</w:t>
      </w:r>
    </w:p>
    <w:p w14:paraId="56B626D3" w14:textId="77777777" w:rsidR="001F678F" w:rsidRPr="00E33EFB" w:rsidRDefault="001F678F" w:rsidP="001F678F">
      <w:pPr>
        <w:jc w:val="both"/>
        <w:rPr>
          <w:rFonts w:cs="Arial"/>
          <w:b/>
          <w:szCs w:val="20"/>
          <w:lang w:val="nl-BE"/>
        </w:rPr>
      </w:pPr>
    </w:p>
    <w:p w14:paraId="24FC5627" w14:textId="77777777" w:rsidR="001F678F" w:rsidRPr="00E33EFB" w:rsidRDefault="001F678F" w:rsidP="001F678F">
      <w:pPr>
        <w:jc w:val="both"/>
        <w:rPr>
          <w:rFonts w:cs="Arial"/>
          <w:szCs w:val="20"/>
          <w:lang w:val="nl-BE"/>
        </w:rPr>
      </w:pPr>
      <w:proofErr w:type="gramStart"/>
      <w:r w:rsidRPr="00E33EFB">
        <w:rPr>
          <w:rFonts w:cs="Arial"/>
          <w:szCs w:val="20"/>
          <w:lang w:val="nl-BE"/>
        </w:rPr>
        <w:t>PARTICIPATIEMAATSCHAPPIJ VLAANDEREN, een naamloze vennootschap, met zetel te 1000 Brussel, Oude Graanmarkt 63, ingeschreven in het rechtspersonenregister te Brussel onder het nummer 0455.777.660, hier rechtsgeldig vertegenwoordigd door [</w:t>
      </w:r>
      <w:r w:rsidRPr="00E33EFB">
        <w:rPr>
          <w:rFonts w:cs="Arial"/>
          <w:i/>
          <w:szCs w:val="20"/>
          <w:lang w:val="nl-BE"/>
        </w:rPr>
        <w:t>mevrouw Elke Van de Walle, groepsmanager juridische zaken en de heer Philip Borremans, businessmanager vastgoed</w:t>
      </w:r>
      <w:r w:rsidRPr="00E33EFB">
        <w:rPr>
          <w:rFonts w:cs="Arial"/>
          <w:szCs w:val="20"/>
          <w:lang w:val="nl-BE"/>
        </w:rPr>
        <w:t>] ("</w:t>
      </w:r>
      <w:r w:rsidRPr="00E33EFB">
        <w:rPr>
          <w:rFonts w:cs="Arial"/>
          <w:b/>
          <w:szCs w:val="20"/>
          <w:lang w:val="nl-BE"/>
        </w:rPr>
        <w:t>PMV</w:t>
      </w:r>
      <w:r w:rsidRPr="00E33EFB">
        <w:rPr>
          <w:rFonts w:cs="Arial"/>
          <w:szCs w:val="20"/>
          <w:lang w:val="nl-BE"/>
        </w:rPr>
        <w:t>”).</w:t>
      </w:r>
      <w:proofErr w:type="gramEnd"/>
    </w:p>
    <w:p w14:paraId="7F81E66A" w14:textId="77777777" w:rsidR="001F678F" w:rsidRPr="00E33EFB" w:rsidRDefault="001F678F" w:rsidP="001F678F">
      <w:pPr>
        <w:jc w:val="both"/>
        <w:rPr>
          <w:rFonts w:cs="Arial"/>
          <w:szCs w:val="20"/>
          <w:lang w:val="nl-BE"/>
        </w:rPr>
      </w:pPr>
    </w:p>
    <w:p w14:paraId="35715EF4" w14:textId="77777777" w:rsidR="001F678F" w:rsidRPr="00E33EFB" w:rsidRDefault="001F678F" w:rsidP="001F678F">
      <w:pPr>
        <w:jc w:val="both"/>
        <w:rPr>
          <w:rFonts w:cs="Arial"/>
          <w:szCs w:val="20"/>
          <w:lang w:val="nl-BE"/>
        </w:rPr>
      </w:pPr>
      <w:r w:rsidRPr="00E33EFB">
        <w:rPr>
          <w:rFonts w:cs="Arial"/>
          <w:szCs w:val="20"/>
          <w:lang w:val="nl-BE"/>
        </w:rPr>
        <w:t>Beide partijen hierna "</w:t>
      </w:r>
      <w:r w:rsidRPr="00E33EFB">
        <w:rPr>
          <w:rFonts w:cs="Arial"/>
          <w:b/>
          <w:szCs w:val="20"/>
          <w:lang w:val="nl-BE"/>
        </w:rPr>
        <w:t>Partij</w:t>
      </w:r>
      <w:r w:rsidRPr="00E33EFB">
        <w:rPr>
          <w:rFonts w:cs="Arial"/>
          <w:szCs w:val="20"/>
          <w:lang w:val="nl-BE"/>
        </w:rPr>
        <w:t>" of "</w:t>
      </w:r>
      <w:r w:rsidRPr="00E33EFB">
        <w:rPr>
          <w:rFonts w:cs="Arial"/>
          <w:b/>
          <w:szCs w:val="20"/>
          <w:lang w:val="nl-BE"/>
        </w:rPr>
        <w:t>Partijen</w:t>
      </w:r>
      <w:r w:rsidRPr="00E33EFB">
        <w:rPr>
          <w:rFonts w:cs="Arial"/>
          <w:szCs w:val="20"/>
          <w:lang w:val="nl-BE"/>
        </w:rPr>
        <w:t>" genoemd.</w:t>
      </w:r>
    </w:p>
    <w:p w14:paraId="59548697" w14:textId="77777777" w:rsidR="001F678F" w:rsidRDefault="001F678F" w:rsidP="001F678F">
      <w:pPr>
        <w:rPr>
          <w:rFonts w:cs="Arial"/>
          <w:szCs w:val="20"/>
          <w:lang w:val="nl-BE"/>
        </w:rPr>
      </w:pPr>
    </w:p>
    <w:p w14:paraId="1ABC216E" w14:textId="77777777" w:rsidR="001F678F" w:rsidRPr="00E33EFB" w:rsidRDefault="001F678F" w:rsidP="001F678F">
      <w:pPr>
        <w:rPr>
          <w:rFonts w:cs="Arial"/>
          <w:szCs w:val="20"/>
          <w:lang w:val="nl-BE"/>
        </w:rPr>
      </w:pPr>
    </w:p>
    <w:p w14:paraId="3E5B32E2" w14:textId="77777777" w:rsidR="001F678F" w:rsidRPr="00E33EFB" w:rsidRDefault="001F678F" w:rsidP="001F678F">
      <w:pPr>
        <w:pStyle w:val="Subtitle"/>
        <w:tabs>
          <w:tab w:val="left" w:pos="6123"/>
        </w:tabs>
        <w:rPr>
          <w:rFonts w:ascii="Verdana" w:hAnsi="Verdana" w:cs="Arial"/>
          <w:sz w:val="20"/>
          <w:lang w:val="nl-BE"/>
        </w:rPr>
      </w:pPr>
      <w:r>
        <w:rPr>
          <w:rFonts w:ascii="Verdana" w:hAnsi="Verdana" w:cs="Arial"/>
          <w:sz w:val="20"/>
          <w:lang w:val="nl-BE"/>
        </w:rPr>
        <w:t>ACHTERGROND:</w:t>
      </w:r>
    </w:p>
    <w:p w14:paraId="4BBBCB3D" w14:textId="77777777" w:rsidR="001F678F" w:rsidRPr="00E33EFB" w:rsidRDefault="001F678F" w:rsidP="001F678F">
      <w:pPr>
        <w:rPr>
          <w:rFonts w:cs="Arial"/>
          <w:szCs w:val="20"/>
          <w:lang w:val="nl-BE"/>
        </w:rPr>
      </w:pPr>
    </w:p>
    <w:p w14:paraId="7E70B368" w14:textId="77777777" w:rsidR="001F678F" w:rsidRPr="00E33EFB" w:rsidRDefault="001F678F" w:rsidP="001F678F">
      <w:pPr>
        <w:jc w:val="both"/>
        <w:rPr>
          <w:rFonts w:cs="Arial"/>
          <w:szCs w:val="20"/>
          <w:lang w:val="nl-BE"/>
        </w:rPr>
      </w:pPr>
      <w:r w:rsidRPr="00E33EFB">
        <w:rPr>
          <w:rFonts w:cs="Arial"/>
          <w:szCs w:val="20"/>
          <w:lang w:val="nl-BE"/>
        </w:rPr>
        <w:t>Onderzoekende Partij heeft interesse getoond om het project inzake de herontwikkeling van de site van Ford Genk (het “</w:t>
      </w:r>
      <w:r w:rsidRPr="00E33EFB">
        <w:rPr>
          <w:rFonts w:cs="Arial"/>
          <w:b/>
          <w:szCs w:val="20"/>
          <w:lang w:val="nl-BE"/>
        </w:rPr>
        <w:t>Project</w:t>
      </w:r>
      <w:r w:rsidRPr="00E33EFB">
        <w:rPr>
          <w:rFonts w:cs="Arial"/>
          <w:szCs w:val="20"/>
          <w:lang w:val="nl-BE"/>
        </w:rPr>
        <w:t>”) te analyseren en te evalueren (met het oog op een mogelijke uitvoering ervan) en verzoekt toegang tot bepaalde (vertrouwelijke) informatie m.b.t. het Project. PMV wenst onder de voorwaarden van deze overeenkomst (de “</w:t>
      </w:r>
      <w:r w:rsidRPr="00E33EFB">
        <w:rPr>
          <w:rFonts w:cs="Arial"/>
          <w:b/>
          <w:szCs w:val="20"/>
          <w:lang w:val="nl-BE"/>
        </w:rPr>
        <w:t>Overeenkomst</w:t>
      </w:r>
      <w:r w:rsidRPr="00E33EFB">
        <w:rPr>
          <w:rFonts w:cs="Arial"/>
          <w:szCs w:val="20"/>
          <w:lang w:val="nl-BE"/>
        </w:rPr>
        <w:t xml:space="preserve">”) vertrouwelijke Project-informatie uit te wisselen aan Onderzoekende Partij. </w:t>
      </w:r>
    </w:p>
    <w:p w14:paraId="449F8B3A" w14:textId="77777777" w:rsidR="001F678F" w:rsidRDefault="001F678F" w:rsidP="001F678F">
      <w:pPr>
        <w:rPr>
          <w:rFonts w:eastAsiaTheme="majorEastAsia" w:cs="Arial"/>
          <w:b/>
          <w:iCs/>
          <w:caps/>
          <w:szCs w:val="20"/>
          <w:lang w:val="nl-BE"/>
        </w:rPr>
      </w:pPr>
    </w:p>
    <w:p w14:paraId="37AD0005" w14:textId="77777777" w:rsidR="001F678F" w:rsidRPr="00E33EFB" w:rsidRDefault="001F678F" w:rsidP="001F678F">
      <w:pPr>
        <w:rPr>
          <w:rFonts w:eastAsiaTheme="majorEastAsia" w:cs="Arial"/>
          <w:b/>
          <w:iCs/>
          <w:caps/>
          <w:szCs w:val="20"/>
          <w:lang w:val="nl-BE"/>
        </w:rPr>
      </w:pPr>
    </w:p>
    <w:p w14:paraId="02E69264" w14:textId="77777777" w:rsidR="001F678F" w:rsidRPr="00E33EFB" w:rsidRDefault="001F678F" w:rsidP="001F678F">
      <w:pPr>
        <w:pStyle w:val="Subtitle"/>
        <w:rPr>
          <w:rFonts w:ascii="Verdana" w:hAnsi="Verdana" w:cs="Arial"/>
          <w:sz w:val="20"/>
          <w:lang w:val="nl-BE"/>
        </w:rPr>
      </w:pPr>
      <w:r w:rsidRPr="00E33EFB">
        <w:rPr>
          <w:rFonts w:ascii="Verdana" w:hAnsi="Verdana" w:cs="Arial"/>
          <w:sz w:val="20"/>
          <w:lang w:val="nl-BE"/>
        </w:rPr>
        <w:t>IS OVEREENGEKOMEN WAT VOLGT:</w:t>
      </w:r>
    </w:p>
    <w:p w14:paraId="628AC03F" w14:textId="77777777" w:rsidR="001F678F" w:rsidRPr="00E33EFB" w:rsidRDefault="001F678F" w:rsidP="001F678F">
      <w:pPr>
        <w:pStyle w:val="Heading3"/>
      </w:pPr>
      <w:bookmarkStart w:id="0" w:name="_Toc458187310"/>
      <w:bookmarkStart w:id="1" w:name="_Toc458552557"/>
      <w:r w:rsidRPr="00E33EFB">
        <w:t xml:space="preserve">1. </w:t>
      </w:r>
      <w:r w:rsidRPr="00E33EFB">
        <w:tab/>
        <w:t>Definities</w:t>
      </w:r>
      <w:bookmarkEnd w:id="0"/>
      <w:bookmarkEnd w:id="1"/>
    </w:p>
    <w:p w14:paraId="7FFE1A62" w14:textId="77777777" w:rsidR="001F678F" w:rsidRPr="00E33EFB" w:rsidRDefault="001F678F" w:rsidP="001F678F">
      <w:pPr>
        <w:ind w:left="720" w:hanging="720"/>
        <w:jc w:val="both"/>
        <w:rPr>
          <w:rFonts w:cs="Arial"/>
          <w:szCs w:val="20"/>
          <w:lang w:val="nl-BE"/>
        </w:rPr>
      </w:pPr>
      <w:r w:rsidRPr="00E33EFB">
        <w:rPr>
          <w:rFonts w:cs="Arial"/>
          <w:szCs w:val="20"/>
          <w:lang w:val="nl-BE"/>
        </w:rPr>
        <w:t>1.1</w:t>
      </w:r>
      <w:r w:rsidRPr="00E33EFB">
        <w:rPr>
          <w:rFonts w:cs="Arial"/>
          <w:szCs w:val="20"/>
          <w:lang w:val="nl-BE"/>
        </w:rPr>
        <w:tab/>
        <w:t>Onder Vertrouwelijke Informatie wordt verstaan: alle informatie en documentatie m.b.t. het Project (in schriftelijke en/of mondelinge vorm) die door PMV aan Onderzoekende Partij wordt verstrekt.</w:t>
      </w:r>
    </w:p>
    <w:p w14:paraId="52472F37" w14:textId="77777777" w:rsidR="001F678F" w:rsidRPr="00E33EFB" w:rsidRDefault="001F678F" w:rsidP="001F678F">
      <w:pPr>
        <w:ind w:left="720" w:hanging="720"/>
        <w:jc w:val="both"/>
        <w:rPr>
          <w:rFonts w:cs="Arial"/>
          <w:szCs w:val="20"/>
          <w:lang w:val="nl-BE"/>
        </w:rPr>
      </w:pPr>
    </w:p>
    <w:p w14:paraId="0FEB3683" w14:textId="77777777" w:rsidR="001F678F" w:rsidRPr="00E33EFB" w:rsidRDefault="001F678F" w:rsidP="001F678F">
      <w:pPr>
        <w:ind w:left="720" w:hanging="720"/>
        <w:jc w:val="both"/>
        <w:rPr>
          <w:rFonts w:cs="Arial"/>
          <w:szCs w:val="20"/>
          <w:lang w:val="nl-BE"/>
        </w:rPr>
      </w:pPr>
      <w:r w:rsidRPr="00E33EFB">
        <w:rPr>
          <w:rFonts w:cs="Arial"/>
          <w:szCs w:val="20"/>
          <w:lang w:val="nl-BE"/>
        </w:rPr>
        <w:t xml:space="preserve"> 1.2</w:t>
      </w:r>
      <w:r w:rsidRPr="00E33EFB">
        <w:rPr>
          <w:rFonts w:cs="Arial"/>
          <w:szCs w:val="20"/>
          <w:lang w:val="nl-BE"/>
        </w:rPr>
        <w:tab/>
        <w:t xml:space="preserve">Onder Intellectuele Eigendom wordt verstaan: alle rechten voortvloeiend uit het auteursrecht, de naburige rechten, de rechtsbescherming van computerprogramma’s, de rechtsbescherming van databanken, het merkenrecht, het tekeningen- en modellenrecht, het octrooirecht, het recht een octrooi aan te vragen, de kwekersrechten, domeinnamen en de rechtsbescherming van topografieën en halfgeleiderproducten. </w:t>
      </w:r>
    </w:p>
    <w:p w14:paraId="4D96F7C9" w14:textId="77777777" w:rsidR="001F678F" w:rsidRPr="00E33EFB" w:rsidRDefault="001F678F" w:rsidP="001F678F">
      <w:pPr>
        <w:jc w:val="both"/>
        <w:rPr>
          <w:rFonts w:cs="Arial"/>
          <w:noProof/>
          <w:szCs w:val="20"/>
          <w:lang w:val="nl-BE"/>
        </w:rPr>
      </w:pPr>
    </w:p>
    <w:p w14:paraId="33ACBCB3" w14:textId="77777777" w:rsidR="001F678F" w:rsidRPr="00E33EFB" w:rsidRDefault="001F678F" w:rsidP="001F678F">
      <w:pPr>
        <w:ind w:left="720" w:hanging="720"/>
        <w:jc w:val="both"/>
        <w:rPr>
          <w:rFonts w:cs="Arial"/>
          <w:noProof/>
          <w:szCs w:val="20"/>
          <w:lang w:val="nl-BE"/>
        </w:rPr>
      </w:pPr>
      <w:r w:rsidRPr="00E33EFB">
        <w:rPr>
          <w:rFonts w:cs="Arial"/>
          <w:noProof/>
          <w:szCs w:val="20"/>
          <w:lang w:val="nl-BE"/>
        </w:rPr>
        <w:t>1.3</w:t>
      </w:r>
      <w:r w:rsidRPr="00E33EFB">
        <w:rPr>
          <w:rFonts w:cs="Arial"/>
          <w:noProof/>
          <w:szCs w:val="20"/>
          <w:lang w:val="nl-BE"/>
        </w:rPr>
        <w:tab/>
        <w:t xml:space="preserve">Onder Medewerkers wordt verstaan: de bestuurders, zaakvoerders, leidinggevenden, werknemers, financiële </w:t>
      </w:r>
      <w:r>
        <w:rPr>
          <w:rFonts w:cs="Arial"/>
          <w:noProof/>
          <w:szCs w:val="20"/>
          <w:lang w:val="nl-BE"/>
        </w:rPr>
        <w:t xml:space="preserve">en andere </w:t>
      </w:r>
      <w:r w:rsidRPr="00E33EFB">
        <w:rPr>
          <w:rFonts w:cs="Arial"/>
          <w:noProof/>
          <w:szCs w:val="20"/>
          <w:lang w:val="nl-BE"/>
        </w:rPr>
        <w:t>adviseurs, raadslieden en accountants.</w:t>
      </w:r>
    </w:p>
    <w:p w14:paraId="04D00156" w14:textId="77777777" w:rsidR="001F678F" w:rsidRPr="00E33EFB" w:rsidRDefault="001F678F" w:rsidP="001F678F">
      <w:pPr>
        <w:pStyle w:val="Heading3"/>
      </w:pPr>
      <w:bookmarkStart w:id="2" w:name="_Toc458187311"/>
      <w:bookmarkStart w:id="3" w:name="_Toc458552558"/>
      <w:r w:rsidRPr="00E33EFB">
        <w:t xml:space="preserve">2. </w:t>
      </w:r>
      <w:r w:rsidRPr="00E33EFB">
        <w:tab/>
        <w:t>Gebruik van de Vertrouwelijke Informatie</w:t>
      </w:r>
      <w:bookmarkEnd w:id="2"/>
      <w:bookmarkEnd w:id="3"/>
    </w:p>
    <w:p w14:paraId="3ACFFFB5" w14:textId="77777777" w:rsidR="001F678F" w:rsidRPr="00E33EFB" w:rsidRDefault="001F678F" w:rsidP="001F678F">
      <w:pPr>
        <w:ind w:left="720" w:hanging="720"/>
        <w:jc w:val="both"/>
        <w:rPr>
          <w:rFonts w:cs="Arial"/>
          <w:szCs w:val="20"/>
          <w:lang w:val="nl-BE"/>
        </w:rPr>
      </w:pPr>
      <w:r w:rsidRPr="00E33EFB">
        <w:rPr>
          <w:rFonts w:cs="Arial"/>
          <w:szCs w:val="20"/>
          <w:lang w:val="nl-BE"/>
        </w:rPr>
        <w:t xml:space="preserve">2.1 </w:t>
      </w:r>
      <w:r w:rsidRPr="00E33EFB">
        <w:rPr>
          <w:rFonts w:cs="Arial"/>
          <w:szCs w:val="20"/>
          <w:lang w:val="nl-BE"/>
        </w:rPr>
        <w:tab/>
        <w:t>Onderzoekende Partij verbindt zich ertoe de Vertrouwelijke Informatie uitsluitend te gebruiken in het kader van de analyse en evaluatie (en eventuele uitvoering) van het Project en verbindt er zich toe de Vertrouwelijke Informatie strikt geheim en vertrouwelijk te houden en alle mogelijke stappen te ondernemen om de vertrouwelijkheid te bewaren.</w:t>
      </w:r>
    </w:p>
    <w:p w14:paraId="589196D3" w14:textId="77777777" w:rsidR="001F678F" w:rsidRPr="00E33EFB" w:rsidRDefault="001F678F" w:rsidP="001F678F">
      <w:pPr>
        <w:jc w:val="both"/>
        <w:rPr>
          <w:rFonts w:cs="Arial"/>
          <w:szCs w:val="20"/>
          <w:lang w:val="nl-BE"/>
        </w:rPr>
      </w:pPr>
      <w:r w:rsidRPr="00E33EFB">
        <w:rPr>
          <w:rFonts w:cs="Arial"/>
          <w:szCs w:val="20"/>
          <w:lang w:val="nl-BE"/>
        </w:rPr>
        <w:tab/>
      </w:r>
    </w:p>
    <w:p w14:paraId="6453EED9" w14:textId="77777777" w:rsidR="001F678F" w:rsidRPr="00E33EFB" w:rsidRDefault="001F678F" w:rsidP="001F678F">
      <w:pPr>
        <w:ind w:left="720" w:hanging="720"/>
        <w:jc w:val="both"/>
        <w:rPr>
          <w:rFonts w:cs="Arial"/>
          <w:szCs w:val="20"/>
          <w:lang w:val="nl-BE"/>
        </w:rPr>
      </w:pPr>
      <w:r w:rsidRPr="00E33EFB">
        <w:rPr>
          <w:rFonts w:cs="Arial"/>
          <w:szCs w:val="20"/>
          <w:lang w:val="nl-BE"/>
        </w:rPr>
        <w:t>2.2</w:t>
      </w:r>
      <w:r w:rsidRPr="00E33EFB">
        <w:rPr>
          <w:rFonts w:cs="Arial"/>
          <w:szCs w:val="20"/>
          <w:lang w:val="nl-BE"/>
        </w:rPr>
        <w:tab/>
        <w:t>Onderzoekende Partij zal de Vertrouwelijke Informatie uitsluitend bekend maken aan haar Medewerkers mits deze vóór de bekendmaking van Vertrouwelijke Informatie een strikte geheimhoudingsplicht werd opgelegd ten aanzien van de Vertrouwelijke Informatie. Onderzoekende Partij zal verantwoordelijk worden geacht voor elke inbreuk op deze vertrouwelijkheid door deze Medewerkers. De Vertrouwelijke Informatie zal door Onderzoekende Partij in geen geval, noch geheel noch gedeeltelijk, noch direct noch indirect aan derden worden meegedeeld zonder de expliciete, schriftelijke en voorafgaande toestemming van PMV.</w:t>
      </w:r>
    </w:p>
    <w:p w14:paraId="02FEDEA4" w14:textId="77777777" w:rsidR="001F678F" w:rsidRPr="00E33EFB" w:rsidRDefault="001F678F" w:rsidP="001F678F">
      <w:pPr>
        <w:pStyle w:val="Heading3"/>
      </w:pPr>
      <w:bookmarkStart w:id="4" w:name="_Toc458187312"/>
      <w:bookmarkStart w:id="5" w:name="_Toc458552559"/>
      <w:r w:rsidRPr="00E33EFB">
        <w:lastRenderedPageBreak/>
        <w:t xml:space="preserve">3. </w:t>
      </w:r>
      <w:r w:rsidRPr="00E33EFB">
        <w:tab/>
        <w:t>Vrijstellingen</w:t>
      </w:r>
      <w:bookmarkEnd w:id="4"/>
      <w:bookmarkEnd w:id="5"/>
    </w:p>
    <w:p w14:paraId="06AFEAF6" w14:textId="77777777" w:rsidR="001F678F" w:rsidRPr="00E33EFB" w:rsidRDefault="001F678F" w:rsidP="001F678F">
      <w:pPr>
        <w:ind w:left="708"/>
        <w:jc w:val="both"/>
        <w:rPr>
          <w:rFonts w:cs="Arial"/>
          <w:szCs w:val="20"/>
          <w:lang w:val="nl-BE"/>
        </w:rPr>
      </w:pPr>
      <w:r w:rsidRPr="00E33EFB">
        <w:rPr>
          <w:rFonts w:cs="Arial"/>
          <w:szCs w:val="20"/>
          <w:lang w:val="nl-BE"/>
        </w:rPr>
        <w:t>De verplichtingen uiteengezet in artikel 2 van de Overeenkomst gelden niet voor die delen van de Vertrouwelijke Informatie waarvan Onderzoekende Partij schriftelijk kan aantonen dat:</w:t>
      </w:r>
    </w:p>
    <w:p w14:paraId="25D58762" w14:textId="77777777" w:rsidR="001F678F" w:rsidRPr="00E33EFB" w:rsidRDefault="001F678F" w:rsidP="001F678F">
      <w:pPr>
        <w:pStyle w:val="ListParagraph"/>
        <w:numPr>
          <w:ilvl w:val="0"/>
          <w:numId w:val="1"/>
        </w:numPr>
        <w:contextualSpacing/>
        <w:jc w:val="both"/>
        <w:rPr>
          <w:rFonts w:cs="Arial"/>
          <w:szCs w:val="20"/>
          <w:lang w:val="nl-BE"/>
        </w:rPr>
      </w:pPr>
      <w:r w:rsidRPr="00E33EFB">
        <w:rPr>
          <w:rFonts w:cs="Arial"/>
          <w:szCs w:val="20"/>
          <w:lang w:val="nl-BE"/>
        </w:rPr>
        <w:t>zij reeds vóór bekendmaking door PMV publiekelijk toegankelijk waren of achteraf publiekelijk toegankelijk zijn geworden zonder inbreuk op de Overeenkomst;</w:t>
      </w:r>
    </w:p>
    <w:p w14:paraId="0BB784ED" w14:textId="77777777" w:rsidR="001F678F" w:rsidRPr="00E33EFB" w:rsidRDefault="001F678F" w:rsidP="001F678F">
      <w:pPr>
        <w:pStyle w:val="ListParagraph"/>
        <w:numPr>
          <w:ilvl w:val="0"/>
          <w:numId w:val="1"/>
        </w:numPr>
        <w:contextualSpacing/>
        <w:jc w:val="both"/>
        <w:rPr>
          <w:rFonts w:cs="Arial"/>
          <w:szCs w:val="20"/>
          <w:lang w:val="nl-BE"/>
        </w:rPr>
      </w:pPr>
      <w:r w:rsidRPr="00E33EFB">
        <w:rPr>
          <w:rFonts w:cs="Arial"/>
          <w:szCs w:val="20"/>
          <w:lang w:val="nl-BE"/>
        </w:rPr>
        <w:t>zij openbaar moesten worden gemaakt op verzoek van een overheidsinstantie die rechtsmacht heeft over Onderzoekende Partij.</w:t>
      </w:r>
    </w:p>
    <w:p w14:paraId="1A732385" w14:textId="77777777" w:rsidR="001F678F" w:rsidRPr="00E33EFB" w:rsidRDefault="001F678F" w:rsidP="001F678F">
      <w:pPr>
        <w:pStyle w:val="Heading3"/>
      </w:pPr>
      <w:bookmarkStart w:id="6" w:name="_Toc458187313"/>
      <w:bookmarkStart w:id="7" w:name="_Toc458552560"/>
      <w:r w:rsidRPr="00E33EFB">
        <w:t xml:space="preserve">4. </w:t>
      </w:r>
      <w:r w:rsidRPr="00E33EFB">
        <w:tab/>
        <w:t>Geen verplichting – Verklaringen</w:t>
      </w:r>
      <w:bookmarkEnd w:id="6"/>
      <w:bookmarkEnd w:id="7"/>
    </w:p>
    <w:p w14:paraId="4E2675FA" w14:textId="77777777" w:rsidR="001F678F" w:rsidRPr="00E33EFB" w:rsidRDefault="001F678F" w:rsidP="001F678F">
      <w:pPr>
        <w:ind w:left="720" w:hanging="720"/>
        <w:jc w:val="both"/>
        <w:rPr>
          <w:rFonts w:cs="Arial"/>
          <w:szCs w:val="20"/>
          <w:lang w:val="nl-BE"/>
        </w:rPr>
      </w:pPr>
      <w:r w:rsidRPr="00E33EFB">
        <w:rPr>
          <w:rFonts w:cs="Arial"/>
          <w:szCs w:val="20"/>
          <w:lang w:val="nl-BE"/>
        </w:rPr>
        <w:t>4.1</w:t>
      </w:r>
      <w:r w:rsidRPr="00E33EFB">
        <w:rPr>
          <w:rFonts w:cs="Arial"/>
          <w:szCs w:val="20"/>
          <w:lang w:val="nl-BE"/>
        </w:rPr>
        <w:tab/>
        <w:t>De Overeenkomst of enige bepaling ervan houden geenszins een verplichting in tot het verstrekken van Vertrouwelijke Informatie aan Onderzoekende Partij. Niets in de Overeenkomst kan bovendien één van beide Partijen ertoe verplichten om in de toekomst enige andere overeenkomst te sluiten met de andere Partij.</w:t>
      </w:r>
    </w:p>
    <w:p w14:paraId="3488D30C" w14:textId="77777777" w:rsidR="001F678F" w:rsidRPr="00E33EFB" w:rsidRDefault="001F678F" w:rsidP="001F678F">
      <w:pPr>
        <w:jc w:val="both"/>
        <w:rPr>
          <w:rFonts w:cs="Arial"/>
          <w:szCs w:val="20"/>
          <w:lang w:val="nl-BE"/>
        </w:rPr>
      </w:pPr>
    </w:p>
    <w:p w14:paraId="00153FA4" w14:textId="77777777" w:rsidR="001F678F" w:rsidRPr="00E33EFB" w:rsidRDefault="001F678F" w:rsidP="001F678F">
      <w:pPr>
        <w:ind w:left="720" w:hanging="720"/>
        <w:jc w:val="both"/>
        <w:rPr>
          <w:rFonts w:cs="Arial"/>
          <w:szCs w:val="20"/>
          <w:lang w:val="nl-BE"/>
        </w:rPr>
      </w:pPr>
      <w:r w:rsidRPr="00E33EFB">
        <w:rPr>
          <w:rFonts w:cs="Arial"/>
          <w:szCs w:val="20"/>
          <w:lang w:val="nl-BE"/>
        </w:rPr>
        <w:t>4.2</w:t>
      </w:r>
      <w:r w:rsidRPr="00E33EFB">
        <w:rPr>
          <w:rFonts w:cs="Arial"/>
          <w:szCs w:val="20"/>
          <w:lang w:val="nl-BE"/>
        </w:rPr>
        <w:tab/>
        <w:t xml:space="preserve">PMV biedt geen enkele garantie dat de aan Onderzoekende Partij verstrekte Vertrouwelijke Informatie correct, accuraat of volledig is. </w:t>
      </w:r>
    </w:p>
    <w:p w14:paraId="4A37269B" w14:textId="77777777" w:rsidR="001F678F" w:rsidRPr="00E33EFB" w:rsidRDefault="001F678F" w:rsidP="001F678F">
      <w:pPr>
        <w:jc w:val="both"/>
        <w:rPr>
          <w:rFonts w:cs="Arial"/>
          <w:szCs w:val="20"/>
          <w:lang w:val="nl-BE"/>
        </w:rPr>
      </w:pPr>
    </w:p>
    <w:p w14:paraId="40D0F2B5" w14:textId="77777777" w:rsidR="001F678F" w:rsidRPr="00E33EFB" w:rsidRDefault="001F678F" w:rsidP="001F678F">
      <w:pPr>
        <w:ind w:left="708" w:hanging="708"/>
        <w:jc w:val="both"/>
        <w:rPr>
          <w:rFonts w:cs="Arial"/>
          <w:szCs w:val="20"/>
          <w:lang w:val="nl-BE"/>
        </w:rPr>
      </w:pPr>
      <w:r w:rsidRPr="00E33EFB">
        <w:rPr>
          <w:rFonts w:cs="Arial"/>
          <w:szCs w:val="20"/>
          <w:lang w:val="nl-BE"/>
        </w:rPr>
        <w:t>4.3</w:t>
      </w:r>
      <w:r w:rsidRPr="00E33EFB">
        <w:rPr>
          <w:rFonts w:cs="Arial"/>
          <w:szCs w:val="20"/>
          <w:lang w:val="nl-BE"/>
        </w:rPr>
        <w:tab/>
        <w:t>Elke Partij zal zelf de kosten dragen die zij in het kader van de Overeenkomst maakt.</w:t>
      </w:r>
    </w:p>
    <w:p w14:paraId="2AFBEE89" w14:textId="77777777" w:rsidR="001F678F" w:rsidRPr="00E33EFB" w:rsidRDefault="001F678F" w:rsidP="001F678F">
      <w:pPr>
        <w:pStyle w:val="Heading3"/>
      </w:pPr>
      <w:bookmarkStart w:id="8" w:name="_Toc458187314"/>
      <w:bookmarkStart w:id="9" w:name="_Toc458552561"/>
      <w:r w:rsidRPr="00E33EFB">
        <w:t xml:space="preserve">5. </w:t>
      </w:r>
      <w:r w:rsidRPr="00E33EFB">
        <w:tab/>
        <w:t>Intellectuele Eigendom</w:t>
      </w:r>
      <w:bookmarkEnd w:id="8"/>
      <w:bookmarkEnd w:id="9"/>
      <w:r w:rsidRPr="00E33EFB">
        <w:t xml:space="preserve"> </w:t>
      </w:r>
    </w:p>
    <w:p w14:paraId="1DFABD03" w14:textId="77777777" w:rsidR="001F678F" w:rsidRPr="00E33EFB" w:rsidRDefault="001F678F" w:rsidP="001F678F">
      <w:pPr>
        <w:ind w:left="720" w:hanging="720"/>
        <w:jc w:val="both"/>
        <w:rPr>
          <w:rFonts w:cs="Arial"/>
          <w:szCs w:val="20"/>
          <w:lang w:val="nl-BE"/>
        </w:rPr>
      </w:pPr>
      <w:r w:rsidRPr="00E33EFB">
        <w:rPr>
          <w:rFonts w:cs="Arial"/>
          <w:szCs w:val="20"/>
          <w:lang w:val="nl-BE"/>
        </w:rPr>
        <w:t>5.1</w:t>
      </w:r>
      <w:r w:rsidRPr="00E33EFB">
        <w:rPr>
          <w:rFonts w:cs="Arial"/>
          <w:szCs w:val="20"/>
          <w:lang w:val="nl-BE"/>
        </w:rPr>
        <w:tab/>
        <w:t xml:space="preserve">Niets in de Overeenkomst kan opgevat worden als een overdracht aan Onderzoekende Partij van enig recht op de Vertrouwelijke Informatie of enige Intellectuele Eigendom met betrekking tot de Vertrouwelijke Informatie. </w:t>
      </w:r>
    </w:p>
    <w:p w14:paraId="3731DB41" w14:textId="77777777" w:rsidR="001F678F" w:rsidRPr="00E33EFB" w:rsidRDefault="001F678F" w:rsidP="001F678F">
      <w:pPr>
        <w:jc w:val="both"/>
        <w:rPr>
          <w:rFonts w:cs="Arial"/>
          <w:szCs w:val="20"/>
          <w:lang w:val="nl-BE"/>
        </w:rPr>
      </w:pPr>
    </w:p>
    <w:p w14:paraId="0EB52B2D" w14:textId="77777777" w:rsidR="001F678F" w:rsidRPr="00E33EFB" w:rsidRDefault="001F678F" w:rsidP="001F678F">
      <w:pPr>
        <w:ind w:left="720" w:hanging="720"/>
        <w:jc w:val="both"/>
        <w:rPr>
          <w:rFonts w:cs="Arial"/>
          <w:szCs w:val="20"/>
          <w:lang w:val="nl-BE"/>
        </w:rPr>
      </w:pPr>
      <w:r w:rsidRPr="00E33EFB">
        <w:rPr>
          <w:rFonts w:cs="Arial"/>
          <w:szCs w:val="20"/>
          <w:lang w:val="nl-BE"/>
        </w:rPr>
        <w:t>5.2</w:t>
      </w:r>
      <w:r w:rsidRPr="00E33EFB">
        <w:rPr>
          <w:rFonts w:cs="Arial"/>
          <w:szCs w:val="20"/>
          <w:lang w:val="nl-BE"/>
        </w:rPr>
        <w:tab/>
        <w:t xml:space="preserve">Onderzoekende Partij zal zich ervan weerhouden een schending van nieuwheid of recht van voorgebruik in te roepen met betrekking tot de Vertrouwelijke Informatie indien PMV of een andere rechtspersoon een aanvraag indient tot bescherming van de Intellectuele Eigendom vervat in de Vertrouwelijke Informatie. </w:t>
      </w:r>
    </w:p>
    <w:p w14:paraId="574619AA" w14:textId="77777777" w:rsidR="001F678F" w:rsidRPr="00E33EFB" w:rsidRDefault="001F678F" w:rsidP="001F678F">
      <w:pPr>
        <w:pStyle w:val="Heading3"/>
      </w:pPr>
      <w:bookmarkStart w:id="10" w:name="_Toc458187315"/>
      <w:bookmarkStart w:id="11" w:name="_Toc458552562"/>
      <w:r w:rsidRPr="00E33EFB">
        <w:t xml:space="preserve">6. </w:t>
      </w:r>
      <w:r w:rsidRPr="00E33EFB">
        <w:tab/>
        <w:t>Teruggave of vernietiging van de verstrekte Informatie</w:t>
      </w:r>
      <w:bookmarkEnd w:id="10"/>
      <w:bookmarkEnd w:id="11"/>
    </w:p>
    <w:p w14:paraId="37537111" w14:textId="77777777" w:rsidR="001F678F" w:rsidRPr="00E33EFB" w:rsidRDefault="001F678F" w:rsidP="001F678F">
      <w:pPr>
        <w:ind w:left="708"/>
        <w:jc w:val="both"/>
        <w:rPr>
          <w:rFonts w:cs="Arial"/>
          <w:szCs w:val="20"/>
          <w:lang w:val="nl-BE"/>
        </w:rPr>
      </w:pPr>
      <w:r w:rsidRPr="00E33EFB">
        <w:rPr>
          <w:rFonts w:cs="Arial"/>
          <w:szCs w:val="20"/>
          <w:lang w:val="nl-BE"/>
        </w:rPr>
        <w:t>Onderzoekende Partij verbindt zich ertoe om op schriftelijk verzoek van PMV alle Vertrouwelijke Informatie die in tastbare vorm of op om het even welke gegevensdrager door PMV werd overgemaakt, terug te bezorgen of te vernietigen.</w:t>
      </w:r>
    </w:p>
    <w:p w14:paraId="172558A5" w14:textId="77777777" w:rsidR="001F678F" w:rsidRPr="00E33EFB" w:rsidRDefault="001F678F" w:rsidP="001F678F">
      <w:pPr>
        <w:pStyle w:val="Heading3"/>
        <w:rPr>
          <w:sz w:val="20"/>
          <w:szCs w:val="20"/>
          <w:lang w:val="nl-BE"/>
        </w:rPr>
      </w:pPr>
      <w:bookmarkStart w:id="12" w:name="_Toc458187316"/>
      <w:bookmarkStart w:id="13" w:name="_Toc458552563"/>
      <w:r w:rsidRPr="00E33EFB">
        <w:t xml:space="preserve">7. </w:t>
      </w:r>
      <w:r w:rsidRPr="00E33EFB">
        <w:tab/>
        <w:t>Duur van deze Overeenkomst</w:t>
      </w:r>
      <w:bookmarkEnd w:id="12"/>
      <w:bookmarkEnd w:id="13"/>
    </w:p>
    <w:p w14:paraId="0EC65FA7" w14:textId="77777777" w:rsidR="001F678F" w:rsidRPr="00E33EFB" w:rsidRDefault="001F678F" w:rsidP="001F678F">
      <w:pPr>
        <w:ind w:left="708"/>
        <w:jc w:val="both"/>
        <w:rPr>
          <w:rFonts w:cs="Arial"/>
          <w:szCs w:val="20"/>
          <w:lang w:val="nl-BE"/>
        </w:rPr>
      </w:pPr>
      <w:r w:rsidRPr="00E33EFB">
        <w:rPr>
          <w:rFonts w:cs="Arial"/>
          <w:szCs w:val="20"/>
          <w:lang w:val="nl-BE"/>
        </w:rPr>
        <w:t>De verplichtingen welke volgen uit de Overeenkomst met betrekking tot de Vertrouwelijke Informatie blijven van kracht gedurende 3 jaar na ondertekening van de Overeenkomst.</w:t>
      </w:r>
    </w:p>
    <w:p w14:paraId="6B503580" w14:textId="77777777" w:rsidR="001F678F" w:rsidRPr="00E33EFB" w:rsidRDefault="001F678F" w:rsidP="001F678F">
      <w:pPr>
        <w:pStyle w:val="Heading3"/>
      </w:pPr>
      <w:bookmarkStart w:id="14" w:name="_Toc458187317"/>
      <w:bookmarkStart w:id="15" w:name="_Toc458552564"/>
      <w:r w:rsidRPr="00E33EFB">
        <w:t>8.</w:t>
      </w:r>
      <w:r w:rsidRPr="00E33EFB">
        <w:tab/>
        <w:t>Algemeen</w:t>
      </w:r>
      <w:bookmarkEnd w:id="14"/>
      <w:bookmarkEnd w:id="15"/>
    </w:p>
    <w:p w14:paraId="7F21534D" w14:textId="77777777" w:rsidR="001F678F" w:rsidRPr="00E33EFB" w:rsidRDefault="001F678F" w:rsidP="001F678F">
      <w:pPr>
        <w:ind w:left="720" w:hanging="720"/>
        <w:jc w:val="both"/>
        <w:rPr>
          <w:rFonts w:cs="Arial"/>
          <w:szCs w:val="20"/>
          <w:lang w:val="nl-BE"/>
        </w:rPr>
      </w:pPr>
      <w:r w:rsidRPr="00E33EFB">
        <w:rPr>
          <w:rFonts w:cs="Arial"/>
          <w:szCs w:val="20"/>
          <w:lang w:val="nl-BE"/>
        </w:rPr>
        <w:t>8.1</w:t>
      </w:r>
      <w:r w:rsidRPr="00E33EFB">
        <w:rPr>
          <w:rFonts w:cs="Arial"/>
          <w:szCs w:val="20"/>
          <w:lang w:val="nl-BE"/>
        </w:rPr>
        <w:tab/>
        <w:t>Indien één van de bepalingen van de Overeenkomst ongeldig of niet-afdwingbaar wordt verklaard, blijven alle andere onderdelen van de Overeenkomst onverkort van kracht. De nietige of ongeldige bepaling zal in onderling akkoord worden vervangen door een bepaling die de economische intentie van de nietige of ongeldige bepaling zo sterk mogelijk benadert.</w:t>
      </w:r>
    </w:p>
    <w:p w14:paraId="3C85AF14" w14:textId="77777777" w:rsidR="001F678F" w:rsidRPr="00E33EFB" w:rsidRDefault="001F678F" w:rsidP="001F678F">
      <w:pPr>
        <w:ind w:left="720" w:hanging="720"/>
        <w:jc w:val="both"/>
        <w:rPr>
          <w:rFonts w:cs="Arial"/>
          <w:szCs w:val="20"/>
          <w:lang w:val="nl-BE"/>
        </w:rPr>
      </w:pPr>
    </w:p>
    <w:p w14:paraId="6F9A60B7" w14:textId="77777777" w:rsidR="001F678F" w:rsidRPr="00E33EFB" w:rsidRDefault="001F678F" w:rsidP="001F678F">
      <w:pPr>
        <w:ind w:left="720" w:hanging="720"/>
        <w:jc w:val="both"/>
        <w:rPr>
          <w:rFonts w:cs="Arial"/>
          <w:szCs w:val="20"/>
          <w:lang w:val="nl-BE"/>
        </w:rPr>
      </w:pPr>
      <w:r w:rsidRPr="00E33EFB">
        <w:rPr>
          <w:rFonts w:cs="Arial"/>
          <w:szCs w:val="20"/>
          <w:lang w:val="nl-BE"/>
        </w:rPr>
        <w:t>8.2</w:t>
      </w:r>
      <w:r w:rsidRPr="00E33EFB">
        <w:rPr>
          <w:rFonts w:cs="Arial"/>
          <w:szCs w:val="20"/>
          <w:lang w:val="nl-BE"/>
        </w:rPr>
        <w:tab/>
        <w:t xml:space="preserve">Het stilzitten of stilzwijgen van een Partij kan nooit worden uitgelegd als de verzaking van een recht waarover deze Partij </w:t>
      </w:r>
      <w:proofErr w:type="gramStart"/>
      <w:r w:rsidRPr="00E33EFB">
        <w:rPr>
          <w:rFonts w:cs="Arial"/>
          <w:szCs w:val="20"/>
          <w:lang w:val="nl-BE"/>
        </w:rPr>
        <w:t>krachtens</w:t>
      </w:r>
      <w:proofErr w:type="gramEnd"/>
      <w:r w:rsidRPr="00E33EFB">
        <w:rPr>
          <w:rFonts w:cs="Arial"/>
          <w:szCs w:val="20"/>
          <w:lang w:val="nl-BE"/>
        </w:rPr>
        <w:t xml:space="preserve"> deze overeenkomst beschikt.</w:t>
      </w:r>
    </w:p>
    <w:p w14:paraId="107D2D24" w14:textId="77777777" w:rsidR="001F678F" w:rsidRPr="00E33EFB" w:rsidRDefault="001F678F" w:rsidP="001F678F">
      <w:pPr>
        <w:jc w:val="both"/>
        <w:rPr>
          <w:rFonts w:cs="Arial"/>
          <w:szCs w:val="20"/>
          <w:lang w:val="nl-BE"/>
        </w:rPr>
      </w:pPr>
    </w:p>
    <w:p w14:paraId="2D397DD8" w14:textId="77777777" w:rsidR="001F678F" w:rsidRPr="00E33EFB" w:rsidRDefault="001F678F" w:rsidP="001F678F">
      <w:pPr>
        <w:ind w:left="708" w:hanging="708"/>
        <w:jc w:val="both"/>
        <w:rPr>
          <w:rFonts w:cs="Arial"/>
          <w:szCs w:val="20"/>
          <w:lang w:val="nl-BE"/>
        </w:rPr>
      </w:pPr>
      <w:r w:rsidRPr="00E33EFB">
        <w:rPr>
          <w:rFonts w:cs="Arial"/>
          <w:szCs w:val="20"/>
          <w:lang w:val="nl-BE"/>
        </w:rPr>
        <w:t>8.3</w:t>
      </w:r>
      <w:r w:rsidRPr="00E33EFB">
        <w:rPr>
          <w:rFonts w:cs="Arial"/>
          <w:szCs w:val="20"/>
          <w:lang w:val="nl-BE"/>
        </w:rPr>
        <w:tab/>
        <w:t>De Overeenkomst wordt uitsluitend door het Belgische recht beheerst. Elk geschil dat uit de Overeenkomst voortkomt en waarvoor geen minnelijke schikking wordt getroffen, zal uitsluitend worden beslecht door de hoven en rechtbanken van Brussel, België.</w:t>
      </w:r>
    </w:p>
    <w:p w14:paraId="119D910D" w14:textId="77777777" w:rsidR="001F678F" w:rsidRDefault="001F678F" w:rsidP="001F678F">
      <w:pPr>
        <w:rPr>
          <w:rFonts w:cs="Arial"/>
          <w:b/>
          <w:szCs w:val="18"/>
          <w:lang w:val="nl-BE"/>
        </w:rPr>
      </w:pPr>
    </w:p>
    <w:p w14:paraId="64D2616F" w14:textId="77777777" w:rsidR="001F678F" w:rsidRDefault="001F678F" w:rsidP="001F678F">
      <w:pPr>
        <w:rPr>
          <w:rFonts w:cs="Arial"/>
          <w:b/>
          <w:szCs w:val="18"/>
          <w:lang w:val="nl-BE"/>
        </w:rPr>
      </w:pPr>
    </w:p>
    <w:p w14:paraId="75F0C4A0" w14:textId="77777777" w:rsidR="001F678F" w:rsidRDefault="001F678F" w:rsidP="001F678F">
      <w:pPr>
        <w:rPr>
          <w:rFonts w:cs="Arial"/>
          <w:b/>
          <w:szCs w:val="18"/>
          <w:lang w:val="nl-BE"/>
        </w:rPr>
      </w:pPr>
    </w:p>
    <w:p w14:paraId="5383FCEC" w14:textId="77777777" w:rsidR="00A55866" w:rsidRDefault="00A55866" w:rsidP="001F678F">
      <w:pPr>
        <w:rPr>
          <w:rFonts w:cs="Arial"/>
          <w:b/>
          <w:szCs w:val="18"/>
          <w:lang w:val="nl-BE"/>
        </w:rPr>
      </w:pPr>
    </w:p>
    <w:p w14:paraId="098AD14A" w14:textId="77777777" w:rsidR="00A55866" w:rsidRDefault="00A55866" w:rsidP="001F678F">
      <w:pPr>
        <w:rPr>
          <w:rFonts w:cs="Arial"/>
          <w:b/>
          <w:szCs w:val="18"/>
          <w:lang w:val="nl-BE"/>
        </w:rPr>
      </w:pPr>
    </w:p>
    <w:p w14:paraId="2D8BB869" w14:textId="77777777" w:rsidR="00A55866" w:rsidRDefault="00A55866" w:rsidP="001F678F">
      <w:pPr>
        <w:rPr>
          <w:rFonts w:cs="Arial"/>
          <w:b/>
          <w:szCs w:val="18"/>
          <w:lang w:val="nl-BE"/>
        </w:rPr>
      </w:pPr>
      <w:bookmarkStart w:id="16" w:name="_GoBack"/>
      <w:bookmarkEnd w:id="16"/>
    </w:p>
    <w:p w14:paraId="30B41E25" w14:textId="77777777" w:rsidR="001F678F" w:rsidRDefault="001F678F" w:rsidP="001F678F">
      <w:pPr>
        <w:rPr>
          <w:rFonts w:cs="Arial"/>
          <w:b/>
          <w:szCs w:val="18"/>
          <w:lang w:val="nl-BE"/>
        </w:rPr>
      </w:pPr>
    </w:p>
    <w:p w14:paraId="08F53A33" w14:textId="77777777" w:rsidR="001F678F" w:rsidRDefault="001F678F" w:rsidP="001F678F">
      <w:pPr>
        <w:rPr>
          <w:rFonts w:cs="Arial"/>
          <w:b/>
          <w:szCs w:val="18"/>
          <w:lang w:val="nl-BE"/>
        </w:rPr>
      </w:pPr>
    </w:p>
    <w:p w14:paraId="42C67851" w14:textId="77777777" w:rsidR="001F678F" w:rsidRDefault="001F678F" w:rsidP="001F678F">
      <w:pPr>
        <w:rPr>
          <w:rFonts w:cs="Arial"/>
          <w:b/>
          <w:szCs w:val="18"/>
          <w:lang w:val="nl-BE"/>
        </w:rPr>
      </w:pPr>
    </w:p>
    <w:p w14:paraId="53028155" w14:textId="77777777" w:rsidR="001F678F" w:rsidRDefault="001F678F" w:rsidP="001F678F">
      <w:pPr>
        <w:rPr>
          <w:rFonts w:cs="Arial"/>
          <w:b/>
          <w:szCs w:val="18"/>
          <w:lang w:val="nl-BE"/>
        </w:rPr>
      </w:pPr>
      <w:r w:rsidRPr="00E33EFB">
        <w:rPr>
          <w:rFonts w:cs="Arial"/>
          <w:b/>
          <w:szCs w:val="18"/>
          <w:lang w:val="nl-BE"/>
        </w:rPr>
        <w:lastRenderedPageBreak/>
        <w:t xml:space="preserve">Opgemaakt op </w:t>
      </w:r>
      <w:r w:rsidRPr="00AD3799">
        <w:rPr>
          <w:rFonts w:cs="Arial"/>
          <w:b/>
          <w:szCs w:val="18"/>
          <w:lang w:val="nl-BE"/>
        </w:rPr>
        <w:t>__/_/___</w:t>
      </w:r>
      <w:r w:rsidRPr="00E33EFB">
        <w:rPr>
          <w:rFonts w:cs="Arial"/>
          <w:b/>
          <w:szCs w:val="18"/>
          <w:lang w:val="nl-BE"/>
        </w:rPr>
        <w:t xml:space="preserve"> in zoveel originele exemplaren als er partijen zijn en waarvan iedere Partij erkent het </w:t>
      </w:r>
      <w:proofErr w:type="gramStart"/>
      <w:r w:rsidRPr="00E33EFB">
        <w:rPr>
          <w:rFonts w:cs="Arial"/>
          <w:b/>
          <w:szCs w:val="18"/>
          <w:lang w:val="nl-BE"/>
        </w:rPr>
        <w:t>hare</w:t>
      </w:r>
      <w:proofErr w:type="gramEnd"/>
      <w:r w:rsidRPr="00E33EFB">
        <w:rPr>
          <w:rFonts w:cs="Arial"/>
          <w:b/>
          <w:szCs w:val="18"/>
          <w:lang w:val="nl-BE"/>
        </w:rPr>
        <w:t xml:space="preserve"> te hebben ontvangen.</w:t>
      </w:r>
    </w:p>
    <w:p w14:paraId="222885C7" w14:textId="77777777" w:rsidR="001F678F" w:rsidRDefault="001F678F" w:rsidP="001F678F">
      <w:pPr>
        <w:rPr>
          <w:rFonts w:cs="Arial"/>
          <w:b/>
          <w:szCs w:val="18"/>
          <w:lang w:val="nl-BE"/>
        </w:rPr>
      </w:pPr>
    </w:p>
    <w:p w14:paraId="07A0EC5A" w14:textId="77777777" w:rsidR="001F678F" w:rsidRPr="00E33EFB" w:rsidRDefault="001F678F" w:rsidP="001F678F">
      <w:pPr>
        <w:rPr>
          <w:rFonts w:cs="Arial"/>
          <w:b/>
          <w:szCs w:val="18"/>
          <w:lang w:val="nl-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1F678F" w:rsidRPr="00E33EFB" w14:paraId="0EC61DC2" w14:textId="77777777" w:rsidTr="00CF41BD">
        <w:trPr>
          <w:trHeight w:val="1868"/>
        </w:trPr>
        <w:tc>
          <w:tcPr>
            <w:tcW w:w="4551" w:type="dxa"/>
          </w:tcPr>
          <w:p w14:paraId="4397EFFE" w14:textId="77777777" w:rsidR="001F678F" w:rsidRPr="00E33EFB" w:rsidRDefault="001F678F" w:rsidP="00CF41BD">
            <w:pPr>
              <w:rPr>
                <w:rFonts w:cs="Arial"/>
                <w:szCs w:val="20"/>
                <w:lang w:val="nl-BE"/>
              </w:rPr>
            </w:pPr>
            <w:r w:rsidRPr="00E33EFB">
              <w:rPr>
                <w:rFonts w:cs="Arial"/>
                <w:szCs w:val="20"/>
                <w:lang w:val="nl-BE"/>
              </w:rPr>
              <w:t>Voor Onderzoekende Partij</w:t>
            </w:r>
          </w:p>
          <w:p w14:paraId="36DEBF10" w14:textId="77777777" w:rsidR="001F678F" w:rsidRDefault="001F678F" w:rsidP="00CF41BD">
            <w:pPr>
              <w:rPr>
                <w:rFonts w:cs="Arial"/>
                <w:szCs w:val="20"/>
                <w:lang w:val="nl-BE"/>
              </w:rPr>
            </w:pPr>
          </w:p>
          <w:p w14:paraId="1A548FD9" w14:textId="77777777" w:rsidR="001F678F" w:rsidRDefault="001F678F" w:rsidP="00CF41BD">
            <w:pPr>
              <w:rPr>
                <w:rFonts w:cs="Arial"/>
                <w:szCs w:val="20"/>
                <w:lang w:val="nl-BE"/>
              </w:rPr>
            </w:pPr>
          </w:p>
          <w:p w14:paraId="391F32CD" w14:textId="77777777" w:rsidR="001F678F" w:rsidRPr="00E33EFB" w:rsidRDefault="001F678F" w:rsidP="00CF41BD">
            <w:pPr>
              <w:rPr>
                <w:rFonts w:cs="Arial"/>
                <w:szCs w:val="20"/>
                <w:lang w:val="nl-BE"/>
              </w:rPr>
            </w:pPr>
          </w:p>
          <w:p w14:paraId="7CECBA6F" w14:textId="77777777" w:rsidR="001F678F" w:rsidRPr="00E33EFB" w:rsidRDefault="001F678F" w:rsidP="00CF41BD">
            <w:pPr>
              <w:rPr>
                <w:rFonts w:cs="Arial"/>
                <w:szCs w:val="20"/>
                <w:lang w:val="nl-BE"/>
              </w:rPr>
            </w:pPr>
            <w:r w:rsidRPr="00E33EFB">
              <w:rPr>
                <w:rFonts w:cs="Arial"/>
                <w:szCs w:val="20"/>
                <w:lang w:val="nl-BE"/>
              </w:rPr>
              <w:t>_______________</w:t>
            </w:r>
          </w:p>
          <w:p w14:paraId="20B93DF8" w14:textId="77777777" w:rsidR="001F678F" w:rsidRPr="00E33EFB" w:rsidRDefault="001F678F" w:rsidP="00CF41BD">
            <w:pPr>
              <w:rPr>
                <w:rFonts w:cs="Arial"/>
                <w:szCs w:val="20"/>
                <w:lang w:val="nl-BE"/>
              </w:rPr>
            </w:pPr>
            <w:r w:rsidRPr="00E33EFB">
              <w:rPr>
                <w:rFonts w:cs="Arial"/>
                <w:szCs w:val="20"/>
                <w:lang w:val="nl-BE"/>
              </w:rPr>
              <w:t>●</w:t>
            </w:r>
          </w:p>
          <w:p w14:paraId="7D8B207E" w14:textId="77777777" w:rsidR="001F678F" w:rsidRPr="00E33EFB" w:rsidRDefault="001F678F" w:rsidP="00CF41BD">
            <w:pPr>
              <w:rPr>
                <w:rFonts w:cs="Arial"/>
                <w:szCs w:val="20"/>
                <w:lang w:val="nl-BE"/>
              </w:rPr>
            </w:pPr>
          </w:p>
          <w:p w14:paraId="5D6A73F6" w14:textId="77777777" w:rsidR="001F678F" w:rsidRDefault="001F678F" w:rsidP="00CF41BD">
            <w:pPr>
              <w:rPr>
                <w:rFonts w:cs="Arial"/>
                <w:szCs w:val="20"/>
                <w:lang w:val="nl-BE"/>
              </w:rPr>
            </w:pPr>
          </w:p>
          <w:p w14:paraId="57EF9DAD" w14:textId="77777777" w:rsidR="001F678F" w:rsidRDefault="001F678F" w:rsidP="00CF41BD">
            <w:pPr>
              <w:rPr>
                <w:rFonts w:cs="Arial"/>
                <w:szCs w:val="20"/>
                <w:lang w:val="nl-BE"/>
              </w:rPr>
            </w:pPr>
          </w:p>
          <w:p w14:paraId="1E80D29C" w14:textId="77777777" w:rsidR="001F678F" w:rsidRPr="00E33EFB" w:rsidRDefault="001F678F" w:rsidP="00CF41BD">
            <w:pPr>
              <w:rPr>
                <w:rFonts w:cs="Arial"/>
                <w:szCs w:val="20"/>
                <w:lang w:val="nl-BE"/>
              </w:rPr>
            </w:pPr>
          </w:p>
          <w:p w14:paraId="4F1C7F91" w14:textId="77777777" w:rsidR="001F678F" w:rsidRPr="00E33EFB" w:rsidRDefault="001F678F" w:rsidP="00CF41BD">
            <w:pPr>
              <w:rPr>
                <w:rFonts w:cs="Arial"/>
                <w:szCs w:val="20"/>
                <w:lang w:val="nl-BE"/>
              </w:rPr>
            </w:pPr>
          </w:p>
          <w:p w14:paraId="1356AFCD" w14:textId="77777777" w:rsidR="001F678F" w:rsidRPr="00E33EFB" w:rsidRDefault="001F678F" w:rsidP="00CF41BD">
            <w:pPr>
              <w:rPr>
                <w:rFonts w:cs="Arial"/>
                <w:szCs w:val="20"/>
                <w:lang w:val="nl-BE"/>
              </w:rPr>
            </w:pPr>
            <w:r w:rsidRPr="00E33EFB">
              <w:rPr>
                <w:rFonts w:cs="Arial"/>
                <w:szCs w:val="20"/>
                <w:lang w:val="nl-BE"/>
              </w:rPr>
              <w:t>_______________</w:t>
            </w:r>
          </w:p>
          <w:p w14:paraId="7FA301F1" w14:textId="77777777" w:rsidR="001F678F" w:rsidRPr="00E33EFB" w:rsidRDefault="001F678F" w:rsidP="00CF41BD">
            <w:pPr>
              <w:rPr>
                <w:rFonts w:cs="Arial"/>
                <w:szCs w:val="20"/>
              </w:rPr>
            </w:pPr>
            <w:r w:rsidRPr="00E33EFB">
              <w:rPr>
                <w:rFonts w:cs="Arial"/>
                <w:szCs w:val="20"/>
              </w:rPr>
              <w:t>●</w:t>
            </w:r>
          </w:p>
          <w:p w14:paraId="2B8E7CC7" w14:textId="77777777" w:rsidR="001F678F" w:rsidRPr="00E33EFB" w:rsidRDefault="001F678F" w:rsidP="00CF41BD">
            <w:pPr>
              <w:rPr>
                <w:rFonts w:cs="Arial"/>
                <w:szCs w:val="20"/>
                <w:lang w:val="nl-BE"/>
              </w:rPr>
            </w:pPr>
          </w:p>
          <w:p w14:paraId="1455AC72" w14:textId="77777777" w:rsidR="001F678F" w:rsidRPr="00E33EFB" w:rsidRDefault="001F678F" w:rsidP="00CF41BD">
            <w:pPr>
              <w:rPr>
                <w:rFonts w:cs="Arial"/>
                <w:szCs w:val="20"/>
                <w:lang w:val="fr-BE"/>
              </w:rPr>
            </w:pPr>
          </w:p>
        </w:tc>
        <w:tc>
          <w:tcPr>
            <w:tcW w:w="4551" w:type="dxa"/>
          </w:tcPr>
          <w:p w14:paraId="35C55633" w14:textId="77777777" w:rsidR="001F678F" w:rsidRPr="00E33EFB" w:rsidRDefault="001F678F" w:rsidP="00CF41BD">
            <w:pPr>
              <w:rPr>
                <w:rFonts w:cs="Arial"/>
                <w:szCs w:val="20"/>
                <w:lang w:val="nl-BE"/>
              </w:rPr>
            </w:pPr>
            <w:r w:rsidRPr="00E33EFB">
              <w:rPr>
                <w:rFonts w:cs="Arial"/>
                <w:szCs w:val="20"/>
                <w:lang w:val="nl-BE"/>
              </w:rPr>
              <w:t>Voor PMV</w:t>
            </w:r>
          </w:p>
          <w:p w14:paraId="6E88B2A0" w14:textId="77777777" w:rsidR="001F678F" w:rsidRDefault="001F678F" w:rsidP="00CF41BD">
            <w:pPr>
              <w:rPr>
                <w:rFonts w:cs="Arial"/>
                <w:szCs w:val="20"/>
                <w:lang w:val="nl-BE"/>
              </w:rPr>
            </w:pPr>
          </w:p>
          <w:p w14:paraId="0D3984A3" w14:textId="77777777" w:rsidR="001F678F" w:rsidRDefault="001F678F" w:rsidP="00CF41BD">
            <w:pPr>
              <w:rPr>
                <w:rFonts w:cs="Arial"/>
                <w:szCs w:val="20"/>
                <w:lang w:val="nl-BE"/>
              </w:rPr>
            </w:pPr>
          </w:p>
          <w:p w14:paraId="72A212E4" w14:textId="77777777" w:rsidR="001F678F" w:rsidRPr="00E33EFB" w:rsidRDefault="001F678F" w:rsidP="00CF41BD">
            <w:pPr>
              <w:rPr>
                <w:rFonts w:cs="Arial"/>
                <w:szCs w:val="20"/>
                <w:lang w:val="nl-BE"/>
              </w:rPr>
            </w:pPr>
          </w:p>
          <w:p w14:paraId="4EBB9F13" w14:textId="77777777" w:rsidR="001F678F" w:rsidRPr="00E33EFB" w:rsidRDefault="001F678F" w:rsidP="00CF41BD">
            <w:pPr>
              <w:rPr>
                <w:rFonts w:cs="Arial"/>
                <w:szCs w:val="20"/>
                <w:lang w:val="nl-BE"/>
              </w:rPr>
            </w:pPr>
            <w:r w:rsidRPr="00E33EFB">
              <w:rPr>
                <w:rFonts w:cs="Arial"/>
                <w:szCs w:val="20"/>
                <w:lang w:val="nl-BE"/>
              </w:rPr>
              <w:t>_______________</w:t>
            </w:r>
          </w:p>
          <w:p w14:paraId="0ED28BA0" w14:textId="77777777" w:rsidR="001F678F" w:rsidRPr="00E33EFB" w:rsidRDefault="001F678F" w:rsidP="00CF41BD">
            <w:pPr>
              <w:rPr>
                <w:rFonts w:cs="Arial"/>
                <w:i/>
                <w:szCs w:val="20"/>
                <w:lang w:val="nl-BE"/>
              </w:rPr>
            </w:pPr>
            <w:r w:rsidRPr="00E33EFB">
              <w:rPr>
                <w:rFonts w:cs="Arial"/>
                <w:szCs w:val="20"/>
                <w:lang w:val="nl-BE"/>
              </w:rPr>
              <w:t xml:space="preserve">Elke Van de Walle, </w:t>
            </w:r>
            <w:r w:rsidRPr="00E33EFB">
              <w:rPr>
                <w:rFonts w:cs="Arial"/>
                <w:i/>
                <w:szCs w:val="20"/>
                <w:lang w:val="nl-BE"/>
              </w:rPr>
              <w:t>groepsmanager juridische zaken</w:t>
            </w:r>
          </w:p>
          <w:p w14:paraId="3E4325EF" w14:textId="77777777" w:rsidR="001F678F" w:rsidRPr="00E33EFB" w:rsidRDefault="001F678F" w:rsidP="00CF41BD">
            <w:pPr>
              <w:rPr>
                <w:rFonts w:cs="Arial"/>
                <w:szCs w:val="20"/>
                <w:lang w:val="nl-BE"/>
              </w:rPr>
            </w:pPr>
          </w:p>
          <w:p w14:paraId="31130D21" w14:textId="77777777" w:rsidR="001F678F" w:rsidRDefault="001F678F" w:rsidP="00CF41BD">
            <w:pPr>
              <w:rPr>
                <w:rFonts w:cs="Arial"/>
                <w:szCs w:val="20"/>
                <w:lang w:val="nl-BE"/>
              </w:rPr>
            </w:pPr>
          </w:p>
          <w:p w14:paraId="42EB7385" w14:textId="77777777" w:rsidR="001F678F" w:rsidRDefault="001F678F" w:rsidP="00CF41BD">
            <w:pPr>
              <w:rPr>
                <w:rFonts w:cs="Arial"/>
                <w:szCs w:val="20"/>
                <w:lang w:val="nl-BE"/>
              </w:rPr>
            </w:pPr>
          </w:p>
          <w:p w14:paraId="5DBB888F" w14:textId="77777777" w:rsidR="001F678F" w:rsidRPr="00E33EFB" w:rsidRDefault="001F678F" w:rsidP="00CF41BD">
            <w:pPr>
              <w:rPr>
                <w:rFonts w:cs="Arial"/>
                <w:szCs w:val="20"/>
                <w:lang w:val="nl-BE"/>
              </w:rPr>
            </w:pPr>
          </w:p>
          <w:p w14:paraId="7E72CE95" w14:textId="77777777" w:rsidR="001F678F" w:rsidRPr="00E33EFB" w:rsidRDefault="001F678F" w:rsidP="00CF41BD">
            <w:pPr>
              <w:rPr>
                <w:rFonts w:cs="Arial"/>
                <w:szCs w:val="20"/>
                <w:lang w:val="nl-BE"/>
              </w:rPr>
            </w:pPr>
            <w:r w:rsidRPr="00E33EFB">
              <w:rPr>
                <w:rFonts w:cs="Arial"/>
                <w:szCs w:val="20"/>
                <w:lang w:val="nl-BE"/>
              </w:rPr>
              <w:t>_______________</w:t>
            </w:r>
          </w:p>
          <w:p w14:paraId="156C14E8" w14:textId="77777777" w:rsidR="001F678F" w:rsidRPr="00E33EFB" w:rsidRDefault="001F678F" w:rsidP="00CF41BD">
            <w:pPr>
              <w:rPr>
                <w:rFonts w:cs="Arial"/>
                <w:szCs w:val="20"/>
              </w:rPr>
            </w:pPr>
            <w:r w:rsidRPr="00E33EFB">
              <w:rPr>
                <w:rFonts w:cs="Arial"/>
                <w:szCs w:val="20"/>
              </w:rPr>
              <w:t xml:space="preserve">Philip Borremans, </w:t>
            </w:r>
            <w:proofErr w:type="spellStart"/>
            <w:r w:rsidRPr="00E33EFB">
              <w:rPr>
                <w:rFonts w:cs="Arial"/>
                <w:i/>
                <w:szCs w:val="20"/>
              </w:rPr>
              <w:t>businessman</w:t>
            </w:r>
            <w:r>
              <w:rPr>
                <w:rFonts w:cs="Arial"/>
                <w:i/>
                <w:szCs w:val="20"/>
              </w:rPr>
              <w:t>a</w:t>
            </w:r>
            <w:r w:rsidRPr="00E33EFB">
              <w:rPr>
                <w:rFonts w:cs="Arial"/>
                <w:i/>
                <w:szCs w:val="20"/>
              </w:rPr>
              <w:t>ger</w:t>
            </w:r>
            <w:proofErr w:type="spellEnd"/>
            <w:r w:rsidRPr="00E33EFB">
              <w:rPr>
                <w:rFonts w:cs="Arial"/>
                <w:i/>
                <w:szCs w:val="20"/>
              </w:rPr>
              <w:t xml:space="preserve"> </w:t>
            </w:r>
            <w:proofErr w:type="spellStart"/>
            <w:r w:rsidRPr="00E33EFB">
              <w:rPr>
                <w:rFonts w:cs="Arial"/>
                <w:i/>
                <w:szCs w:val="20"/>
              </w:rPr>
              <w:t>vastgoed</w:t>
            </w:r>
            <w:proofErr w:type="spellEnd"/>
          </w:p>
          <w:p w14:paraId="6E6AB59C" w14:textId="77777777" w:rsidR="001F678F" w:rsidRPr="00E33EFB" w:rsidRDefault="001F678F" w:rsidP="00CF41BD">
            <w:pPr>
              <w:rPr>
                <w:rFonts w:cs="Arial"/>
                <w:szCs w:val="20"/>
              </w:rPr>
            </w:pPr>
          </w:p>
        </w:tc>
      </w:tr>
    </w:tbl>
    <w:p w14:paraId="61704728" w14:textId="77777777" w:rsidR="00823855" w:rsidRDefault="00823855"/>
    <w:sectPr w:rsidR="00823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27490E"/>
    <w:multiLevelType w:val="hybridMultilevel"/>
    <w:tmpl w:val="A6FED98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F"/>
    <w:rsid w:val="001F678F"/>
    <w:rsid w:val="00823855"/>
    <w:rsid w:val="00A558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7995"/>
  <w15:chartTrackingRefBased/>
  <w15:docId w15:val="{E5A6A5ED-D6D6-48F8-B423-8E694BD3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8F"/>
    <w:pPr>
      <w:spacing w:after="0" w:line="240" w:lineRule="auto"/>
    </w:pPr>
    <w:rPr>
      <w:rFonts w:ascii="Verdana" w:eastAsia="Times New Roman" w:hAnsi="Verdana" w:cs="Times New Roman"/>
      <w:sz w:val="18"/>
      <w:szCs w:val="24"/>
      <w:lang w:val="en-US"/>
    </w:rPr>
  </w:style>
  <w:style w:type="paragraph" w:styleId="Heading2">
    <w:name w:val="heading 2"/>
    <w:aliases w:val="Chapter x.x,H2,Heading 2a,h2,2,Header 2,l2,UNDERRUBRIK 1-2"/>
    <w:basedOn w:val="Normal"/>
    <w:link w:val="Heading2Char"/>
    <w:autoRedefine/>
    <w:qFormat/>
    <w:rsid w:val="001F678F"/>
    <w:pPr>
      <w:keepNext/>
      <w:spacing w:before="240" w:after="60"/>
      <w:outlineLvl w:val="1"/>
    </w:pPr>
    <w:rPr>
      <w:rFonts w:cs="Arial"/>
      <w:bCs/>
      <w:snapToGrid w:val="0"/>
      <w:sz w:val="32"/>
      <w:szCs w:val="32"/>
      <w:lang w:val="nl-NL" w:eastAsia="nl-NL"/>
    </w:rPr>
  </w:style>
  <w:style w:type="paragraph" w:styleId="Heading3">
    <w:name w:val="heading 3"/>
    <w:aliases w:val="Chapter x.x.x,Underrubrik2,heading 3,H3"/>
    <w:basedOn w:val="Normal"/>
    <w:link w:val="Heading3Char"/>
    <w:autoRedefine/>
    <w:qFormat/>
    <w:rsid w:val="001F678F"/>
    <w:pPr>
      <w:keepNext/>
      <w:spacing w:before="240" w:after="60"/>
      <w:outlineLvl w:val="2"/>
    </w:pPr>
    <w:rPr>
      <w:rFonts w:cs="Arial"/>
      <w:b/>
      <w:bCs/>
      <w:szCs w:val="1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x.x Char,H2 Char,Heading 2a Char,h2 Char,2 Char,Header 2 Char,l2 Char,UNDERRUBRIK 1-2 Char"/>
    <w:basedOn w:val="DefaultParagraphFont"/>
    <w:link w:val="Heading2"/>
    <w:rsid w:val="001F678F"/>
    <w:rPr>
      <w:rFonts w:ascii="Verdana" w:eastAsia="Times New Roman" w:hAnsi="Verdana" w:cs="Arial"/>
      <w:bCs/>
      <w:snapToGrid w:val="0"/>
      <w:sz w:val="32"/>
      <w:szCs w:val="32"/>
      <w:lang w:val="nl-NL" w:eastAsia="nl-NL"/>
    </w:rPr>
  </w:style>
  <w:style w:type="character" w:customStyle="1" w:styleId="Heading3Char">
    <w:name w:val="Heading 3 Char"/>
    <w:aliases w:val="Chapter x.x.x Char,Underrubrik2 Char,heading 3 Char,H3 Char"/>
    <w:basedOn w:val="DefaultParagraphFont"/>
    <w:link w:val="Heading3"/>
    <w:rsid w:val="001F678F"/>
    <w:rPr>
      <w:rFonts w:ascii="Verdana" w:eastAsia="Times New Roman" w:hAnsi="Verdana" w:cs="Arial"/>
      <w:b/>
      <w:bCs/>
      <w:sz w:val="18"/>
      <w:szCs w:val="18"/>
      <w:lang w:val="nl-NL" w:eastAsia="nl-NL"/>
    </w:rPr>
  </w:style>
  <w:style w:type="table" w:styleId="TableGrid">
    <w:name w:val="Table Grid"/>
    <w:basedOn w:val="TableNormal"/>
    <w:rsid w:val="001F67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F678F"/>
    <w:pPr>
      <w:ind w:left="708"/>
    </w:pPr>
  </w:style>
  <w:style w:type="paragraph" w:styleId="Subtitle">
    <w:name w:val="Subtitle"/>
    <w:basedOn w:val="Normal"/>
    <w:link w:val="SubtitleChar"/>
    <w:qFormat/>
    <w:rsid w:val="001F678F"/>
    <w:pPr>
      <w:tabs>
        <w:tab w:val="left" w:pos="0"/>
        <w:tab w:val="left" w:pos="567"/>
      </w:tabs>
      <w:spacing w:after="60"/>
    </w:pPr>
    <w:rPr>
      <w:rFonts w:ascii="Arial" w:hAnsi="Arial"/>
      <w:b/>
      <w:sz w:val="24"/>
      <w:szCs w:val="20"/>
      <w:u w:val="single"/>
      <w:lang w:val="nl" w:eastAsia="nl-BE"/>
    </w:rPr>
  </w:style>
  <w:style w:type="character" w:customStyle="1" w:styleId="SubtitleChar">
    <w:name w:val="Subtitle Char"/>
    <w:basedOn w:val="DefaultParagraphFont"/>
    <w:link w:val="Subtitle"/>
    <w:rsid w:val="001F678F"/>
    <w:rPr>
      <w:rFonts w:ascii="Arial" w:eastAsia="Times New Roman" w:hAnsi="Arial" w:cs="Times New Roman"/>
      <w:b/>
      <w:sz w:val="24"/>
      <w:szCs w:val="20"/>
      <w:u w:val="single"/>
      <w:lang w:val="nl" w:eastAsia="nl-BE"/>
    </w:rPr>
  </w:style>
  <w:style w:type="character" w:customStyle="1" w:styleId="ListParagraphChar">
    <w:name w:val="List Paragraph Char"/>
    <w:basedOn w:val="DefaultParagraphFont"/>
    <w:link w:val="ListParagraph"/>
    <w:uiPriority w:val="34"/>
    <w:rsid w:val="001F678F"/>
    <w:rPr>
      <w:rFonts w:ascii="Verdana" w:eastAsia="Times New Roman" w:hAnsi="Verdana"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PMV</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Vrijens</dc:creator>
  <cp:keywords/>
  <dc:description/>
  <cp:lastModifiedBy>Erwin Vrijens</cp:lastModifiedBy>
  <cp:revision>2</cp:revision>
  <dcterms:created xsi:type="dcterms:W3CDTF">2016-08-19T07:29:00Z</dcterms:created>
  <dcterms:modified xsi:type="dcterms:W3CDTF">2016-08-19T07:45:00Z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Werkdocument</vt:lpwstr>
  </property>
</Properties>
</file>