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514" w:rsidRPr="004230CE" w:rsidRDefault="00A05514" w:rsidP="007527D1">
      <w:pPr>
        <w:jc w:val="center"/>
        <w:outlineLvl w:val="0"/>
        <w:rPr>
          <w:b/>
          <w:bCs/>
        </w:rPr>
      </w:pPr>
      <w:r w:rsidRPr="004230CE">
        <w:rPr>
          <w:b/>
          <w:bCs/>
        </w:rPr>
        <w:t>DEPARTMENT OF JUSTICE</w:t>
      </w:r>
    </w:p>
    <w:p w:rsidR="00A05514" w:rsidRPr="004230CE" w:rsidRDefault="00A05514">
      <w:pPr>
        <w:tabs>
          <w:tab w:val="left" w:pos="-1440"/>
          <w:tab w:val="left" w:pos="1800"/>
        </w:tabs>
        <w:ind w:left="1800" w:hanging="1800"/>
      </w:pPr>
      <w:r w:rsidRPr="004230CE">
        <w:rPr>
          <w:b/>
          <w:bCs/>
        </w:rPr>
        <w:t>CFDA 16.710</w:t>
      </w:r>
      <w:r w:rsidRPr="004230CE">
        <w:rPr>
          <w:b/>
          <w:bCs/>
        </w:rPr>
        <w:tab/>
        <w:t>PUBLIC SAFETY PARTNERSHIP AND COMMUNITY POLICING GRANTS</w:t>
      </w:r>
    </w:p>
    <w:p w:rsidR="00A05514" w:rsidRPr="004230CE" w:rsidRDefault="00A05514" w:rsidP="00257518">
      <w:pPr>
        <w:outlineLvl w:val="0"/>
      </w:pPr>
      <w:r w:rsidRPr="004230CE">
        <w:rPr>
          <w:b/>
          <w:bCs/>
        </w:rPr>
        <w:t>I.</w:t>
      </w:r>
      <w:r w:rsidRPr="004230CE">
        <w:rPr>
          <w:b/>
          <w:bCs/>
        </w:rPr>
        <w:tab/>
        <w:t>PROGRAM OBJECTIVES</w:t>
      </w:r>
    </w:p>
    <w:p w:rsidR="00A05514" w:rsidRPr="004230CE" w:rsidRDefault="00A05514">
      <w:r w:rsidRPr="004230CE">
        <w:t xml:space="preserve">The Community Oriented Policing Services (COPS) </w:t>
      </w:r>
      <w:r w:rsidR="00641602" w:rsidRPr="004230CE">
        <w:t>g</w:t>
      </w:r>
      <w:r w:rsidRPr="004230CE">
        <w:t xml:space="preserve">rant </w:t>
      </w:r>
      <w:r w:rsidR="00E73C78" w:rsidRPr="004230CE">
        <w:t>program</w:t>
      </w:r>
      <w:r w:rsidR="004230CE" w:rsidRPr="004230CE">
        <w:t>s</w:t>
      </w:r>
      <w:r w:rsidR="00E73C78" w:rsidRPr="004230CE">
        <w:t xml:space="preserve"> </w:t>
      </w:r>
      <w:r w:rsidRPr="004230CE">
        <w:t xml:space="preserve">provide </w:t>
      </w:r>
      <w:r w:rsidR="00E73C78" w:rsidRPr="004230CE">
        <w:t>State, local</w:t>
      </w:r>
      <w:r w:rsidR="00510199" w:rsidRPr="004230CE">
        <w:t>,</w:t>
      </w:r>
      <w:r w:rsidR="00E73C78" w:rsidRPr="004230CE">
        <w:t xml:space="preserve"> and tribal law enforcement agencies with resources</w:t>
      </w:r>
      <w:r w:rsidR="0070577A" w:rsidRPr="004230CE">
        <w:t xml:space="preserve"> to address law enforcement needs with a focus</w:t>
      </w:r>
      <w:r w:rsidR="00E73C78" w:rsidRPr="004230CE">
        <w:t xml:space="preserve"> on </w:t>
      </w:r>
      <w:r w:rsidR="00E817B7">
        <w:t>advanc</w:t>
      </w:r>
      <w:r w:rsidR="00AB3519">
        <w:t>ing</w:t>
      </w:r>
      <w:r w:rsidR="00E817B7">
        <w:t xml:space="preserve"> public safety through</w:t>
      </w:r>
      <w:r w:rsidR="00E73C78" w:rsidRPr="004230CE">
        <w:t xml:space="preserve"> </w:t>
      </w:r>
      <w:r w:rsidR="00AB3519">
        <w:t xml:space="preserve">the </w:t>
      </w:r>
      <w:r w:rsidR="00E73C78" w:rsidRPr="004230CE">
        <w:t>implement</w:t>
      </w:r>
      <w:r w:rsidR="00AB3519">
        <w:t>ation of</w:t>
      </w:r>
      <w:r w:rsidR="00E73C78" w:rsidRPr="004230CE">
        <w:t xml:space="preserve"> community policing strategies. </w:t>
      </w:r>
      <w:r w:rsidR="00E27C0A" w:rsidRPr="004230CE">
        <w:t xml:space="preserve"> </w:t>
      </w:r>
      <w:r w:rsidR="00E73C78" w:rsidRPr="004230CE">
        <w:t xml:space="preserve">These strategies are focused on three primary elements of community policing: </w:t>
      </w:r>
      <w:r w:rsidR="00E27C0A" w:rsidRPr="004230CE">
        <w:t xml:space="preserve"> (</w:t>
      </w:r>
      <w:r w:rsidR="00E73C78" w:rsidRPr="004230CE">
        <w:t xml:space="preserve">1) developing community/law enforcement partnerships; </w:t>
      </w:r>
      <w:r w:rsidR="00E27C0A" w:rsidRPr="004230CE">
        <w:t>(</w:t>
      </w:r>
      <w:r w:rsidR="00E73C78" w:rsidRPr="004230CE">
        <w:t xml:space="preserve">2) developing problem-solving and innovative approaches to crime issues; and </w:t>
      </w:r>
      <w:r w:rsidR="00E27C0A" w:rsidRPr="004230CE">
        <w:t>(</w:t>
      </w:r>
      <w:r w:rsidR="00E73C78" w:rsidRPr="004230CE">
        <w:t>3) implementing organizational change to build and strengthen community policing infrastructure</w:t>
      </w:r>
      <w:r w:rsidRPr="004230CE">
        <w:t>.</w:t>
      </w:r>
    </w:p>
    <w:p w:rsidR="00A05514" w:rsidRPr="004230CE" w:rsidRDefault="00A05514" w:rsidP="00257518">
      <w:pPr>
        <w:outlineLvl w:val="0"/>
      </w:pPr>
      <w:r w:rsidRPr="004230CE">
        <w:rPr>
          <w:b/>
          <w:bCs/>
        </w:rPr>
        <w:t>II.</w:t>
      </w:r>
      <w:r w:rsidRPr="004230CE">
        <w:rPr>
          <w:b/>
          <w:bCs/>
        </w:rPr>
        <w:tab/>
        <w:t>PROGRAM PROCEDURES</w:t>
      </w:r>
    </w:p>
    <w:p w:rsidR="00A05514" w:rsidRPr="004230CE" w:rsidRDefault="00A05514">
      <w:r w:rsidRPr="004230CE">
        <w:t xml:space="preserve">COPS grant programs are awarded to law enforcement agencies, large and small, across the country.  The overall intent of the grant programs is to help develop an infrastructure that will </w:t>
      </w:r>
      <w:r w:rsidR="00C551D4">
        <w:t>advanc</w:t>
      </w:r>
      <w:r w:rsidR="00AB3519">
        <w:t>e</w:t>
      </w:r>
      <w:r w:rsidR="00C551D4">
        <w:t xml:space="preserve"> </w:t>
      </w:r>
      <w:r w:rsidR="00E817B7">
        <w:t>public safety through</w:t>
      </w:r>
      <w:r w:rsidR="00E817B7" w:rsidRPr="004230CE">
        <w:t xml:space="preserve"> </w:t>
      </w:r>
      <w:r w:rsidRPr="004230CE">
        <w:t>community policing.</w:t>
      </w:r>
    </w:p>
    <w:p w:rsidR="00A05514" w:rsidRPr="004230CE" w:rsidRDefault="00A05514">
      <w:r w:rsidRPr="004230CE">
        <w:t xml:space="preserve">COPS grants provide </w:t>
      </w:r>
      <w:r w:rsidR="00923C5C">
        <w:t>funds</w:t>
      </w:r>
      <w:r w:rsidR="00B35253" w:rsidRPr="004230CE">
        <w:t xml:space="preserve"> for </w:t>
      </w:r>
      <w:r w:rsidRPr="004230CE">
        <w:t xml:space="preserve">personnel, technology, equipment, training and technical assistance, and innovative community policing strategies.  The </w:t>
      </w:r>
      <w:r w:rsidR="00E73C78" w:rsidRPr="004230CE">
        <w:t xml:space="preserve">two </w:t>
      </w:r>
      <w:r w:rsidRPr="004230CE">
        <w:t>main categories of grants are Hiring</w:t>
      </w:r>
      <w:r w:rsidR="00E73C78" w:rsidRPr="004230CE">
        <w:t xml:space="preserve"> </w:t>
      </w:r>
      <w:r w:rsidRPr="004230CE">
        <w:t xml:space="preserve">and </w:t>
      </w:r>
      <w:r w:rsidR="00E73C78" w:rsidRPr="004230CE">
        <w:t>Non-Hiring</w:t>
      </w:r>
      <w:r w:rsidR="00F14CCD">
        <w:t>.</w:t>
      </w:r>
    </w:p>
    <w:p w:rsidR="00A05514" w:rsidRPr="004230CE" w:rsidRDefault="00A05514" w:rsidP="00257518">
      <w:pPr>
        <w:outlineLvl w:val="0"/>
        <w:rPr>
          <w:b/>
          <w:bCs/>
        </w:rPr>
      </w:pPr>
      <w:r w:rsidRPr="004230CE">
        <w:rPr>
          <w:b/>
          <w:bCs/>
        </w:rPr>
        <w:t>Hiring Grants</w:t>
      </w:r>
    </w:p>
    <w:p w:rsidR="00F14CCD" w:rsidRDefault="00EC50DB" w:rsidP="00675D18">
      <w:pPr>
        <w:rPr>
          <w:bCs/>
        </w:rPr>
      </w:pPr>
      <w:r w:rsidRPr="004230CE">
        <w:rPr>
          <w:bCs/>
        </w:rPr>
        <w:t xml:space="preserve">There are </w:t>
      </w:r>
      <w:r w:rsidR="00143C42">
        <w:rPr>
          <w:bCs/>
        </w:rPr>
        <w:t xml:space="preserve">four </w:t>
      </w:r>
      <w:r w:rsidRPr="004230CE">
        <w:rPr>
          <w:bCs/>
        </w:rPr>
        <w:t>types of hiring grants</w:t>
      </w:r>
      <w:r w:rsidR="002154E4">
        <w:rPr>
          <w:bCs/>
        </w:rPr>
        <w:t xml:space="preserve"> </w:t>
      </w:r>
      <w:r w:rsidR="00016DF1">
        <w:rPr>
          <w:bCs/>
        </w:rPr>
        <w:t>actively managed within the COPS Office</w:t>
      </w:r>
      <w:r w:rsidR="00064F92">
        <w:rPr>
          <w:bCs/>
        </w:rPr>
        <w:t>:</w:t>
      </w:r>
    </w:p>
    <w:p w:rsidR="00485D39" w:rsidRDefault="00F14CCD" w:rsidP="00675D18">
      <w:pPr>
        <w:rPr>
          <w:bCs/>
        </w:rPr>
      </w:pPr>
      <w:r>
        <w:rPr>
          <w:bCs/>
        </w:rPr>
        <w:t>COPS Hiring Program</w:t>
      </w:r>
      <w:r w:rsidR="00EC50DB" w:rsidRPr="004230CE">
        <w:rPr>
          <w:bCs/>
        </w:rPr>
        <w:t xml:space="preserve"> </w:t>
      </w:r>
      <w:r w:rsidR="002F52DC">
        <w:rPr>
          <w:bCs/>
        </w:rPr>
        <w:t xml:space="preserve">(CHP), </w:t>
      </w:r>
      <w:r w:rsidR="00AD0984">
        <w:rPr>
          <w:bCs/>
        </w:rPr>
        <w:t xml:space="preserve">which </w:t>
      </w:r>
      <w:r w:rsidR="002F52DC">
        <w:rPr>
          <w:bCs/>
        </w:rPr>
        <w:t>provide</w:t>
      </w:r>
      <w:r w:rsidR="00AB3519">
        <w:rPr>
          <w:bCs/>
        </w:rPr>
        <w:t>s</w:t>
      </w:r>
      <w:r w:rsidR="002F52DC">
        <w:rPr>
          <w:bCs/>
        </w:rPr>
        <w:t xml:space="preserve"> funding directly to S</w:t>
      </w:r>
      <w:r w:rsidR="002F52DC" w:rsidRPr="002F52DC">
        <w:rPr>
          <w:bCs/>
        </w:rPr>
        <w:t xml:space="preserve">tate, local and tribal law enforcement agencies to hire </w:t>
      </w:r>
      <w:r w:rsidR="00AB3519">
        <w:rPr>
          <w:bCs/>
        </w:rPr>
        <w:t xml:space="preserve">new </w:t>
      </w:r>
      <w:r w:rsidR="002F52DC" w:rsidRPr="002F52DC">
        <w:rPr>
          <w:bCs/>
        </w:rPr>
        <w:t xml:space="preserve">and/or rehire full-time </w:t>
      </w:r>
      <w:r w:rsidR="00AB3519">
        <w:rPr>
          <w:bCs/>
        </w:rPr>
        <w:t>career law enforcement</w:t>
      </w:r>
      <w:r w:rsidR="00AB3519" w:rsidRPr="002F52DC">
        <w:rPr>
          <w:bCs/>
        </w:rPr>
        <w:t xml:space="preserve"> </w:t>
      </w:r>
      <w:r w:rsidR="002F52DC" w:rsidRPr="002F52DC">
        <w:rPr>
          <w:bCs/>
        </w:rPr>
        <w:t>officers to increase their community policing capacity and crime prevention efforts</w:t>
      </w:r>
      <w:r w:rsidR="00016DF1">
        <w:rPr>
          <w:bCs/>
        </w:rPr>
        <w:t>.</w:t>
      </w:r>
    </w:p>
    <w:p w:rsidR="00485D39" w:rsidRDefault="00675D18" w:rsidP="00675D18">
      <w:r w:rsidRPr="00485B59">
        <w:rPr>
          <w:b/>
          <w:bCs/>
        </w:rPr>
        <w:t>COPS Hiring Recovery Program (CHRP)</w:t>
      </w:r>
      <w:r w:rsidR="00EC50DB" w:rsidRPr="00227FF3">
        <w:rPr>
          <w:bCs/>
        </w:rPr>
        <w:t xml:space="preserve">, </w:t>
      </w:r>
      <w:r w:rsidR="00510199" w:rsidRPr="00485B59">
        <w:rPr>
          <w:b/>
        </w:rPr>
        <w:t>which p</w:t>
      </w:r>
      <w:r w:rsidR="00E73C78" w:rsidRPr="00485B59">
        <w:rPr>
          <w:b/>
        </w:rPr>
        <w:t>rovides fund</w:t>
      </w:r>
      <w:r w:rsidR="00923C5C" w:rsidRPr="00485B59">
        <w:rPr>
          <w:b/>
        </w:rPr>
        <w:t>s</w:t>
      </w:r>
      <w:r w:rsidR="00E73C78" w:rsidRPr="00485B59">
        <w:rPr>
          <w:b/>
        </w:rPr>
        <w:t xml:space="preserve"> to law enforcement agencies to hire new and/or rehire career law enforcement officers in an effort to create and preserve jobs, and to increase their community policing capacity and crime</w:t>
      </w:r>
      <w:r w:rsidR="0096503A" w:rsidRPr="00485B59">
        <w:rPr>
          <w:b/>
        </w:rPr>
        <w:t xml:space="preserve"> </w:t>
      </w:r>
      <w:r w:rsidR="00E73C78" w:rsidRPr="00485B59">
        <w:rPr>
          <w:b/>
        </w:rPr>
        <w:t>prevention efforts</w:t>
      </w:r>
      <w:r w:rsidR="00016DF1">
        <w:rPr>
          <w:b/>
        </w:rPr>
        <w:t>.</w:t>
      </w:r>
    </w:p>
    <w:p w:rsidR="00675D18" w:rsidRDefault="00675D18" w:rsidP="00675D18">
      <w:r w:rsidRPr="004230CE">
        <w:t xml:space="preserve">Tribal Resources Grant Program </w:t>
      </w:r>
      <w:r w:rsidR="00974416" w:rsidRPr="004230CE">
        <w:t xml:space="preserve">– Hiring </w:t>
      </w:r>
      <w:r w:rsidRPr="004230CE">
        <w:t>(TRGP</w:t>
      </w:r>
      <w:r w:rsidR="00974416" w:rsidRPr="004230CE">
        <w:t>-Hiring</w:t>
      </w:r>
      <w:r w:rsidRPr="004230CE">
        <w:t>)</w:t>
      </w:r>
      <w:r w:rsidR="00EC50DB" w:rsidRPr="004230CE">
        <w:t xml:space="preserve"> grants, which</w:t>
      </w:r>
      <w:r w:rsidR="00E27C0A" w:rsidRPr="004230CE">
        <w:t xml:space="preserve"> </w:t>
      </w:r>
      <w:r w:rsidR="00EC50DB" w:rsidRPr="004230CE">
        <w:t>p</w:t>
      </w:r>
      <w:r w:rsidRPr="004230CE">
        <w:t>rovide fund</w:t>
      </w:r>
      <w:r w:rsidR="00923C5C">
        <w:t>s</w:t>
      </w:r>
      <w:r w:rsidRPr="004230CE">
        <w:t xml:space="preserve"> to tribal law enforcement agencies for the hiring</w:t>
      </w:r>
      <w:r w:rsidR="007D0BB0" w:rsidRPr="007A32E7">
        <w:t>/rehiring</w:t>
      </w:r>
      <w:r w:rsidRPr="007A32E7">
        <w:t xml:space="preserve"> of</w:t>
      </w:r>
      <w:r w:rsidRPr="004230CE">
        <w:t xml:space="preserve"> officers to improve crime-fighting capabilities in Indian Country.</w:t>
      </w:r>
    </w:p>
    <w:p w:rsidR="00280E7F" w:rsidRPr="00280E7F" w:rsidRDefault="00280E7F" w:rsidP="00280E7F">
      <w:pPr>
        <w:rPr>
          <w:bCs/>
        </w:rPr>
      </w:pPr>
      <w:r w:rsidRPr="00280E7F">
        <w:rPr>
          <w:bCs/>
        </w:rPr>
        <w:t>Universal Hiring Program (UHP)</w:t>
      </w:r>
      <w:r>
        <w:rPr>
          <w:bCs/>
        </w:rPr>
        <w:t>, which p</w:t>
      </w:r>
      <w:r w:rsidRPr="00280E7F">
        <w:rPr>
          <w:bCs/>
        </w:rPr>
        <w:t>rovides funding directly to State, local</w:t>
      </w:r>
      <w:r w:rsidR="000033C5">
        <w:rPr>
          <w:bCs/>
        </w:rPr>
        <w:t>,</w:t>
      </w:r>
      <w:r w:rsidRPr="00280E7F">
        <w:rPr>
          <w:bCs/>
        </w:rPr>
        <w:t xml:space="preserve"> and tribal law enforcement agencies to hire new and/or rehire full-time career law enforcement officers to increase their community policing capacity and crime prevention efforts.  </w:t>
      </w:r>
    </w:p>
    <w:p w:rsidR="00675D18" w:rsidRPr="004230CE" w:rsidRDefault="00675D18" w:rsidP="009E4EAC">
      <w:pPr>
        <w:keepNext/>
        <w:keepLines/>
        <w:outlineLvl w:val="0"/>
        <w:rPr>
          <w:b/>
          <w:bCs/>
        </w:rPr>
      </w:pPr>
      <w:r w:rsidRPr="004230CE">
        <w:rPr>
          <w:b/>
          <w:bCs/>
        </w:rPr>
        <w:lastRenderedPageBreak/>
        <w:t>Non-Hiring Grants</w:t>
      </w:r>
    </w:p>
    <w:p w:rsidR="00B969D5" w:rsidRPr="004230CE" w:rsidRDefault="004E428E" w:rsidP="00257518">
      <w:pPr>
        <w:outlineLvl w:val="0"/>
        <w:rPr>
          <w:bCs/>
        </w:rPr>
      </w:pPr>
      <w:r w:rsidRPr="004230CE">
        <w:rPr>
          <w:bCs/>
        </w:rPr>
        <w:t>There are</w:t>
      </w:r>
      <w:r w:rsidR="00AC524D">
        <w:rPr>
          <w:bCs/>
        </w:rPr>
        <w:t xml:space="preserve"> 10</w:t>
      </w:r>
      <w:r w:rsidR="002A316A">
        <w:rPr>
          <w:bCs/>
        </w:rPr>
        <w:t xml:space="preserve"> </w:t>
      </w:r>
      <w:r w:rsidRPr="004230CE">
        <w:rPr>
          <w:bCs/>
        </w:rPr>
        <w:t>types of non-hiring grants</w:t>
      </w:r>
      <w:r w:rsidR="00016DF1">
        <w:rPr>
          <w:bCs/>
        </w:rPr>
        <w:t xml:space="preserve"> actively managed within the COPS Office</w:t>
      </w:r>
      <w:r w:rsidR="00064F92">
        <w:rPr>
          <w:bCs/>
        </w:rPr>
        <w:t>:</w:t>
      </w:r>
    </w:p>
    <w:p w:rsidR="00CA272A" w:rsidRDefault="00CA272A" w:rsidP="00675D18">
      <w:r w:rsidRPr="00CA272A">
        <w:t xml:space="preserve">COPS Anti-Methamphetamine Program (CAMP), </w:t>
      </w:r>
      <w:r>
        <w:t xml:space="preserve">which provides </w:t>
      </w:r>
      <w:r w:rsidRPr="00CA272A">
        <w:t>funds to investigate illicit activities related to the manufacture and distribution of methamphetamine.</w:t>
      </w:r>
    </w:p>
    <w:p w:rsidR="00974416" w:rsidRPr="004230CE" w:rsidRDefault="00675D18" w:rsidP="00675D18">
      <w:r w:rsidRPr="004230CE">
        <w:t>Child Sexual Predator Program (CSPP)</w:t>
      </w:r>
      <w:r w:rsidR="004E428E" w:rsidRPr="004230CE">
        <w:t>,</w:t>
      </w:r>
      <w:r w:rsidRPr="004230CE">
        <w:t xml:space="preserve"> </w:t>
      </w:r>
      <w:r w:rsidR="004E428E" w:rsidRPr="004230CE">
        <w:t>which p</w:t>
      </w:r>
      <w:r w:rsidR="00C53450" w:rsidRPr="004230CE">
        <w:t xml:space="preserve">rovides funds to </w:t>
      </w:r>
      <w:r w:rsidRPr="004230CE">
        <w:t>assist law enforcement agencies with the location, arrest, and prosecution of child sexual predators.</w:t>
      </w:r>
    </w:p>
    <w:p w:rsidR="00974416" w:rsidRPr="004230CE" w:rsidRDefault="00974416" w:rsidP="00974416">
      <w:r w:rsidRPr="004230CE">
        <w:t>Tribal Resources Grant Program – Equipment/Training (TRGP-E/T)</w:t>
      </w:r>
      <w:r w:rsidR="004E428E" w:rsidRPr="004230CE">
        <w:t>,</w:t>
      </w:r>
      <w:r w:rsidR="00C53450" w:rsidRPr="004230CE">
        <w:t xml:space="preserve"> </w:t>
      </w:r>
      <w:r w:rsidR="004E428E" w:rsidRPr="004230CE">
        <w:t>which p</w:t>
      </w:r>
      <w:r w:rsidRPr="004230CE">
        <w:t>rovides funds to tribal law enforcement agencies for the purchase of equipment and technology to improve crime-fighting capabilities in Indian Country.</w:t>
      </w:r>
    </w:p>
    <w:p w:rsidR="00675D18" w:rsidRDefault="00675D18" w:rsidP="00675D18">
      <w:r w:rsidRPr="004230CE">
        <w:t>Community Policing Development (CPD)</w:t>
      </w:r>
      <w:r w:rsidR="004E428E" w:rsidRPr="004230CE">
        <w:t>,</w:t>
      </w:r>
      <w:r w:rsidR="0084388D">
        <w:t xml:space="preserve"> </w:t>
      </w:r>
      <w:r w:rsidR="004E428E" w:rsidRPr="004230CE">
        <w:t>which p</w:t>
      </w:r>
      <w:r w:rsidRPr="004230CE">
        <w:t>rovides fund</w:t>
      </w:r>
      <w:r w:rsidR="00B35253" w:rsidRPr="004230CE">
        <w:t>s</w:t>
      </w:r>
      <w:r w:rsidRPr="004230CE">
        <w:t xml:space="preserve"> to advance community policing and problem-oriented policing efforts through the development of products, tools, and applied research that will facilitate the adoption and implementation of training and technical assistance.</w:t>
      </w:r>
    </w:p>
    <w:p w:rsidR="00622625" w:rsidRDefault="00622625" w:rsidP="00622625">
      <w:r>
        <w:t>Collaborative Reform Initiative for Technical Assistance (CRI-TA), which provides funding to assist law enforcement agencies on a wide variety of criminal justice issues through an analysis of policies, practices, training, tactics, and accountability methods that offers recommendations on how to resolve those issues and enhance the relationship between the police and the community.</w:t>
      </w:r>
    </w:p>
    <w:p w:rsidR="00675D18" w:rsidRPr="004230CE" w:rsidRDefault="00675D18" w:rsidP="00675D18">
      <w:r w:rsidRPr="004230CE">
        <w:t>Law Enforcement Technology Grants (Tech)</w:t>
      </w:r>
      <w:r w:rsidR="005260A6" w:rsidRPr="004230CE">
        <w:t>,</w:t>
      </w:r>
      <w:r w:rsidRPr="004230CE">
        <w:t xml:space="preserve"> </w:t>
      </w:r>
      <w:r w:rsidR="005260A6" w:rsidRPr="004230CE">
        <w:t>which p</w:t>
      </w:r>
      <w:r w:rsidR="00B35253" w:rsidRPr="004230CE">
        <w:t>rovides funds</w:t>
      </w:r>
      <w:r w:rsidRPr="004230CE">
        <w:t xml:space="preserve"> for projects to develop and implement technologies that will advance community policing and help fight crime.</w:t>
      </w:r>
    </w:p>
    <w:p w:rsidR="00675D18" w:rsidRPr="004230CE" w:rsidRDefault="00675D18" w:rsidP="00675D18">
      <w:r w:rsidRPr="004230CE">
        <w:t>Methamphetamine Initiative (Meth)</w:t>
      </w:r>
      <w:r w:rsidR="005260A6" w:rsidRPr="004230CE">
        <w:t>, which</w:t>
      </w:r>
      <w:r w:rsidR="00B35253" w:rsidRPr="004230CE">
        <w:t xml:space="preserve"> </w:t>
      </w:r>
      <w:r w:rsidR="005260A6" w:rsidRPr="004230CE">
        <w:t>p</w:t>
      </w:r>
      <w:r w:rsidR="00B35253" w:rsidRPr="004230CE">
        <w:t>rovides funds to a</w:t>
      </w:r>
      <w:r w:rsidRPr="004230CE">
        <w:t xml:space="preserve">ssist local law enforcement agencies and task forces with developing </w:t>
      </w:r>
      <w:r w:rsidR="00AB3519">
        <w:t xml:space="preserve">and implementing </w:t>
      </w:r>
      <w:r w:rsidRPr="004230CE">
        <w:t>responses to problems of crime and disorder related to methamphetamine usage.</w:t>
      </w:r>
    </w:p>
    <w:p w:rsidR="00675D18" w:rsidRPr="004230CE" w:rsidRDefault="00675D18" w:rsidP="00675D18">
      <w:r w:rsidRPr="004230CE">
        <w:t>Safe Schools Initiative (SSI)</w:t>
      </w:r>
      <w:r w:rsidR="005260A6" w:rsidRPr="004230CE">
        <w:t>, which</w:t>
      </w:r>
      <w:r w:rsidRPr="004230CE">
        <w:t xml:space="preserve"> </w:t>
      </w:r>
      <w:r w:rsidR="005260A6" w:rsidRPr="004230CE">
        <w:t>p</w:t>
      </w:r>
      <w:r w:rsidR="00B35253" w:rsidRPr="004230CE">
        <w:t>rovides funds</w:t>
      </w:r>
      <w:r w:rsidRPr="004230CE">
        <w:t xml:space="preserve"> aimed at preventing violence in public schools, and to support the assignment of officers to work in collaboration with schools and community-based organizations to address the threat of terrorism, crime, disorder, gangs, and drug activities.</w:t>
      </w:r>
    </w:p>
    <w:p w:rsidR="00675D18" w:rsidRDefault="00675D18" w:rsidP="00675D18">
      <w:r w:rsidRPr="004230CE">
        <w:t>Secure Our Schools (SOS)</w:t>
      </w:r>
      <w:r w:rsidR="005260A6" w:rsidRPr="004230CE">
        <w:t>,</w:t>
      </w:r>
      <w:r w:rsidRPr="004230CE">
        <w:t xml:space="preserve"> </w:t>
      </w:r>
      <w:r w:rsidR="005260A6" w:rsidRPr="004230CE">
        <w:t>which p</w:t>
      </w:r>
      <w:r w:rsidRPr="004230CE">
        <w:t>rovides fund</w:t>
      </w:r>
      <w:r w:rsidR="00B35253" w:rsidRPr="004230CE">
        <w:t>s</w:t>
      </w:r>
      <w:r w:rsidRPr="004230CE">
        <w:t xml:space="preserve"> to law enforcement agencies to partner with schools for the purchase of </w:t>
      </w:r>
      <w:r w:rsidR="00AB3519">
        <w:t xml:space="preserve">violent </w:t>
      </w:r>
      <w:r w:rsidRPr="004230CE">
        <w:t>crime prevention equipment, staff and student training, and other security improvements.</w:t>
      </w:r>
    </w:p>
    <w:p w:rsidR="00DF213E" w:rsidRDefault="0075707A" w:rsidP="00FD52F1">
      <w:pPr>
        <w:autoSpaceDE w:val="0"/>
        <w:autoSpaceDN w:val="0"/>
        <w:adjustRightInd w:val="0"/>
      </w:pPr>
      <w:r>
        <w:t>Tribal Methamphetamine Initiative</w:t>
      </w:r>
      <w:r w:rsidR="008F0260">
        <w:t xml:space="preserve"> (Tribal Meth)</w:t>
      </w:r>
      <w:r>
        <w:t xml:space="preserve">, which provides funds to </w:t>
      </w:r>
      <w:r w:rsidR="00DF213E">
        <w:t>federally recognized tribes to help address the unique challenges of tribal jurisdictions to combat methamphetamine production, use, and trafficking.</w:t>
      </w:r>
    </w:p>
    <w:p w:rsidR="00A05514" w:rsidRPr="004230CE" w:rsidRDefault="00A05514" w:rsidP="009E4EAC">
      <w:pPr>
        <w:keepNext/>
        <w:keepLines/>
        <w:outlineLvl w:val="0"/>
      </w:pPr>
      <w:r w:rsidRPr="004230CE">
        <w:rPr>
          <w:b/>
          <w:bCs/>
        </w:rPr>
        <w:lastRenderedPageBreak/>
        <w:t>Source of Governing Requirements</w:t>
      </w:r>
    </w:p>
    <w:p w:rsidR="008367E9" w:rsidRPr="004230CE" w:rsidRDefault="00A05514" w:rsidP="009E4EAC">
      <w:pPr>
        <w:keepNext/>
        <w:keepLines/>
        <w:rPr>
          <w:b/>
        </w:rPr>
      </w:pPr>
      <w:r w:rsidRPr="004230CE">
        <w:t xml:space="preserve">This program is authorized under the </w:t>
      </w:r>
      <w:r w:rsidR="00946AA0">
        <w:t xml:space="preserve">Omnibus Crime Control and Safe Streets Act of 1968 </w:t>
      </w:r>
      <w:r w:rsidR="00B62447">
        <w:t>(</w:t>
      </w:r>
      <w:r w:rsidR="00946AA0">
        <w:t>42</w:t>
      </w:r>
      <w:r w:rsidR="007527D1">
        <w:t> </w:t>
      </w:r>
      <w:r w:rsidR="00946AA0">
        <w:t>USC 3796dd et seq</w:t>
      </w:r>
      <w:r w:rsidR="00B62447">
        <w:t>.</w:t>
      </w:r>
      <w:r w:rsidR="00946AA0">
        <w:t xml:space="preserve">, as amended; </w:t>
      </w:r>
      <w:r w:rsidR="00B62447">
        <w:t xml:space="preserve">and the </w:t>
      </w:r>
      <w:r w:rsidR="00946AA0">
        <w:t>Violent Crime Control and Law Enforcement Act of 1994, Title I, Part Q, Pub</w:t>
      </w:r>
      <w:r w:rsidR="00B62447">
        <w:t>.</w:t>
      </w:r>
      <w:r w:rsidR="00946AA0">
        <w:t xml:space="preserve"> L</w:t>
      </w:r>
      <w:r w:rsidR="00B62447">
        <w:t>. No.</w:t>
      </w:r>
      <w:r w:rsidR="00946AA0">
        <w:t xml:space="preserve"> 103-322. </w:t>
      </w:r>
      <w:r w:rsidR="00B22424">
        <w:t xml:space="preserve"> </w:t>
      </w:r>
      <w:r w:rsidR="00B22424" w:rsidRPr="0057685F">
        <w:rPr>
          <w:b/>
        </w:rPr>
        <w:t>A</w:t>
      </w:r>
      <w:r w:rsidR="00B22424">
        <w:rPr>
          <w:b/>
        </w:rPr>
        <w:t>dditional funding is provided by</w:t>
      </w:r>
      <w:r w:rsidR="00432CEC" w:rsidRPr="004230CE">
        <w:t xml:space="preserve"> </w:t>
      </w:r>
      <w:r w:rsidR="009F1900" w:rsidRPr="004230CE">
        <w:rPr>
          <w:b/>
        </w:rPr>
        <w:t>the American Recovery and Reinvestment Act of 2009</w:t>
      </w:r>
      <w:r w:rsidR="002568D9" w:rsidRPr="004230CE">
        <w:rPr>
          <w:b/>
        </w:rPr>
        <w:t xml:space="preserve"> (ARRA)</w:t>
      </w:r>
      <w:r w:rsidR="009F1900" w:rsidRPr="004230CE">
        <w:rPr>
          <w:b/>
        </w:rPr>
        <w:t xml:space="preserve">, </w:t>
      </w:r>
      <w:r w:rsidR="00432CEC" w:rsidRPr="004230CE">
        <w:rPr>
          <w:b/>
        </w:rPr>
        <w:t>Pub. L. No. 111-5, 123 Stat.</w:t>
      </w:r>
      <w:r w:rsidR="009F1900" w:rsidRPr="004230CE">
        <w:rPr>
          <w:b/>
        </w:rPr>
        <w:t xml:space="preserve"> </w:t>
      </w:r>
      <w:r w:rsidR="00432CEC" w:rsidRPr="004230CE">
        <w:rPr>
          <w:b/>
        </w:rPr>
        <w:t>130</w:t>
      </w:r>
      <w:r w:rsidR="008367E9" w:rsidRPr="004230CE">
        <w:rPr>
          <w:b/>
        </w:rPr>
        <w:t>.</w:t>
      </w:r>
      <w:r w:rsidR="007D0BB0">
        <w:rPr>
          <w:b/>
        </w:rPr>
        <w:t xml:space="preserve">  </w:t>
      </w:r>
      <w:r w:rsidR="007D0BB0" w:rsidRPr="007A32E7">
        <w:t>The SOS</w:t>
      </w:r>
      <w:r w:rsidR="007D0BB0" w:rsidRPr="007A32E7">
        <w:rPr>
          <w:rFonts w:eastAsiaTheme="minorEastAsia"/>
          <w:color w:val="000000" w:themeColor="text1"/>
          <w:kern w:val="24"/>
        </w:rPr>
        <w:t xml:space="preserve"> program is authorized under Part AA of Omnibus Crime Control and Safe Streets Act of 1968 (42 USC 3797a et seq.)</w:t>
      </w:r>
    </w:p>
    <w:p w:rsidR="00A05514" w:rsidRPr="004230CE" w:rsidRDefault="00A05514" w:rsidP="00B07D8E">
      <w:pPr>
        <w:keepNext/>
        <w:keepLines/>
        <w:outlineLvl w:val="0"/>
      </w:pPr>
      <w:r w:rsidRPr="004230CE">
        <w:rPr>
          <w:b/>
          <w:bCs/>
        </w:rPr>
        <w:t>Availability of Other Program Information</w:t>
      </w:r>
    </w:p>
    <w:p w:rsidR="00A05514" w:rsidRPr="004230CE" w:rsidRDefault="00A05514" w:rsidP="00B07D8E">
      <w:pPr>
        <w:keepNext/>
        <w:keepLines/>
      </w:pPr>
      <w:r w:rsidRPr="004230CE">
        <w:t xml:space="preserve">The DOJ-COPS home page </w:t>
      </w:r>
      <w:hyperlink r:id="rId8" w:history="1">
        <w:r w:rsidRPr="008B7473">
          <w:rPr>
            <w:rStyle w:val="Hyperlink"/>
          </w:rPr>
          <w:t>(http://www.cops.usdoj.gov/</w:t>
        </w:r>
      </w:hyperlink>
      <w:r w:rsidRPr="004230CE">
        <w:t>) under the selection titled “</w:t>
      </w:r>
      <w:r w:rsidR="00C12549">
        <w:t xml:space="preserve">Grants &amp; </w:t>
      </w:r>
      <w:r w:rsidRPr="004230CE">
        <w:t>Funding” provides information on regulations and other general information about the program.</w:t>
      </w:r>
    </w:p>
    <w:p w:rsidR="00A05514" w:rsidRPr="004230CE" w:rsidRDefault="00A05514" w:rsidP="00B07D8E">
      <w:pPr>
        <w:keepNext/>
        <w:keepLines/>
      </w:pPr>
      <w:r w:rsidRPr="004230CE">
        <w:t xml:space="preserve">Additional information about this program is found in the Grant Owner’s Manuals developed by the COPS Office.  </w:t>
      </w:r>
      <w:r w:rsidR="001B5214" w:rsidRPr="004230CE">
        <w:t>Grant recipients can access t</w:t>
      </w:r>
      <w:r w:rsidRPr="004230CE">
        <w:t xml:space="preserve">he </w:t>
      </w:r>
      <w:r w:rsidR="00233683" w:rsidRPr="004230CE">
        <w:t>Grants Owner’s Manual</w:t>
      </w:r>
      <w:r w:rsidR="00AB0E05" w:rsidRPr="004230CE">
        <w:t>s</w:t>
      </w:r>
      <w:r w:rsidR="00233683" w:rsidRPr="004230CE">
        <w:t xml:space="preserve"> and </w:t>
      </w:r>
      <w:r w:rsidRPr="004230CE">
        <w:t>Grant Monitoring Standards for Hiring and Redeployment on the COPS home page</w:t>
      </w:r>
      <w:r w:rsidR="008367E9" w:rsidRPr="004230CE">
        <w:t xml:space="preserve"> </w:t>
      </w:r>
      <w:r w:rsidR="00BE3AFF" w:rsidRPr="004230CE">
        <w:t xml:space="preserve">by using </w:t>
      </w:r>
      <w:r w:rsidR="008367E9" w:rsidRPr="004230CE">
        <w:t>the Search feature</w:t>
      </w:r>
      <w:r w:rsidRPr="004230CE">
        <w:t>.</w:t>
      </w:r>
    </w:p>
    <w:p w:rsidR="00A05514" w:rsidRPr="004230CE" w:rsidRDefault="00A05514" w:rsidP="000033C5">
      <w:pPr>
        <w:outlineLvl w:val="0"/>
      </w:pPr>
      <w:r w:rsidRPr="004230CE">
        <w:rPr>
          <w:b/>
          <w:bCs/>
        </w:rPr>
        <w:t>III.</w:t>
      </w:r>
      <w:r w:rsidRPr="004230CE">
        <w:rPr>
          <w:b/>
          <w:bCs/>
        </w:rPr>
        <w:tab/>
        <w:t>COMPLIANCE REQUIREMENTS</w:t>
      </w:r>
    </w:p>
    <w:p w:rsidR="00A05514" w:rsidRPr="004230CE" w:rsidRDefault="00A05514" w:rsidP="000033C5">
      <w:r w:rsidRPr="004230CE">
        <w:rPr>
          <w:b/>
          <w:bCs/>
        </w:rPr>
        <w:t>In developing the audit procedures to test compliance with the requirements for a Federal program, the auditor should first look to Part 2, Matrix of Compliance Requireme</w:t>
      </w:r>
      <w:r w:rsidR="00917B92">
        <w:rPr>
          <w:b/>
          <w:bCs/>
        </w:rPr>
        <w:t>nts, to identify which of the 12</w:t>
      </w:r>
      <w:r w:rsidRPr="004230CE">
        <w:rPr>
          <w:b/>
          <w:bCs/>
        </w:rPr>
        <w:t xml:space="preserve"> types of compliance requirements described in Part 3 are applicable and then look to Parts 3 and 4 for the details of the requirements.</w:t>
      </w:r>
    </w:p>
    <w:p w:rsidR="00A05514" w:rsidRPr="004230CE" w:rsidRDefault="00A05514" w:rsidP="00257518">
      <w:pPr>
        <w:outlineLvl w:val="0"/>
      </w:pPr>
      <w:r w:rsidRPr="004230CE">
        <w:rPr>
          <w:b/>
          <w:bCs/>
        </w:rPr>
        <w:t>A.</w:t>
      </w:r>
      <w:r w:rsidRPr="004230CE">
        <w:rPr>
          <w:b/>
          <w:bCs/>
        </w:rPr>
        <w:tab/>
        <w:t>Activities Allowed or Unallowed</w:t>
      </w:r>
    </w:p>
    <w:p w:rsidR="00A05514" w:rsidRPr="004230CE" w:rsidRDefault="00A05514">
      <w:pPr>
        <w:tabs>
          <w:tab w:val="left" w:pos="-1440"/>
        </w:tabs>
        <w:ind w:left="1440" w:hanging="720"/>
      </w:pPr>
      <w:r w:rsidRPr="004230CE">
        <w:t>1.</w:t>
      </w:r>
      <w:r w:rsidRPr="004230CE">
        <w:tab/>
      </w:r>
      <w:r w:rsidRPr="004230CE">
        <w:rPr>
          <w:i/>
          <w:iCs/>
        </w:rPr>
        <w:t>Hiring Grants</w:t>
      </w:r>
      <w:r w:rsidRPr="004230CE">
        <w:t xml:space="preserve"> </w:t>
      </w:r>
      <w:r w:rsidR="00FD52F1">
        <w:t>–</w:t>
      </w:r>
      <w:r w:rsidRPr="004230CE">
        <w:t xml:space="preserve"> Hiring grants </w:t>
      </w:r>
      <w:r w:rsidR="008367E9" w:rsidRPr="004230CE">
        <w:t>(</w:t>
      </w:r>
      <w:r w:rsidR="00FC6A46">
        <w:t xml:space="preserve">CHP, </w:t>
      </w:r>
      <w:r w:rsidR="008367E9" w:rsidRPr="004230CE">
        <w:rPr>
          <w:b/>
        </w:rPr>
        <w:t>CHRP</w:t>
      </w:r>
      <w:r w:rsidR="008367E9" w:rsidRPr="004230CE">
        <w:t xml:space="preserve">, </w:t>
      </w:r>
      <w:r w:rsidR="008367E9" w:rsidRPr="0084388D">
        <w:t>UHP,</w:t>
      </w:r>
      <w:r w:rsidR="008367E9" w:rsidRPr="004230CE">
        <w:t xml:space="preserve"> and TRGP–Hiring) </w:t>
      </w:r>
      <w:r w:rsidRPr="004230CE">
        <w:t>may include programs, projects, and other activities to:</w:t>
      </w:r>
    </w:p>
    <w:p w:rsidR="003B464A" w:rsidRPr="004230CE" w:rsidRDefault="00A05514" w:rsidP="00FF2869">
      <w:pPr>
        <w:ind w:left="2160" w:hanging="720"/>
      </w:pPr>
      <w:r w:rsidRPr="004230CE">
        <w:t>a.</w:t>
      </w:r>
      <w:r w:rsidRPr="004230CE">
        <w:tab/>
      </w:r>
      <w:r w:rsidR="003B464A" w:rsidRPr="004230CE">
        <w:t>Hire and train new, additional career law enforcement officers for deployment into community-oriented policing</w:t>
      </w:r>
      <w:r w:rsidR="00CC74CF">
        <w:t xml:space="preserve"> </w:t>
      </w:r>
      <w:r w:rsidR="003B464A" w:rsidRPr="004230CE">
        <w:t xml:space="preserve">(42 USC 3796dd(b)(2)); </w:t>
      </w:r>
    </w:p>
    <w:p w:rsidR="00A05514" w:rsidRDefault="003B464A">
      <w:pPr>
        <w:tabs>
          <w:tab w:val="left" w:pos="-1440"/>
        </w:tabs>
        <w:ind w:left="2160" w:hanging="720"/>
      </w:pPr>
      <w:r w:rsidRPr="004230CE">
        <w:t>b.</w:t>
      </w:r>
      <w:r w:rsidRPr="004230CE">
        <w:tab/>
      </w:r>
      <w:r w:rsidR="00A05514" w:rsidRPr="004230CE">
        <w:t xml:space="preserve">Rehire law enforcement officers who have been laid off </w:t>
      </w:r>
      <w:r w:rsidR="008367E9" w:rsidRPr="004230CE">
        <w:t xml:space="preserve">or who are scheduled to be laid off on a specific future date </w:t>
      </w:r>
      <w:r w:rsidR="00A05514" w:rsidRPr="004230CE">
        <w:t>as a result of State</w:t>
      </w:r>
      <w:r w:rsidR="008367E9" w:rsidRPr="004230CE">
        <w:t xml:space="preserve">, </w:t>
      </w:r>
      <w:r w:rsidR="00A05514" w:rsidRPr="004230CE">
        <w:t xml:space="preserve">local </w:t>
      </w:r>
      <w:r w:rsidR="008367E9" w:rsidRPr="004230CE">
        <w:t>and</w:t>
      </w:r>
      <w:r w:rsidR="00641602" w:rsidRPr="004230CE">
        <w:t>/or</w:t>
      </w:r>
      <w:r w:rsidR="008367E9" w:rsidRPr="004230CE">
        <w:t xml:space="preserve"> tribal </w:t>
      </w:r>
      <w:r w:rsidR="00A05514" w:rsidRPr="004230CE">
        <w:t>budget reductions for financial reasons unrelated to the availability of COPS grant fund</w:t>
      </w:r>
      <w:r w:rsidR="00923C5C">
        <w:t>s</w:t>
      </w:r>
      <w:r w:rsidR="00A05514" w:rsidRPr="004230CE">
        <w:t xml:space="preserve"> for redeployment into community-oriented policing</w:t>
      </w:r>
      <w:r w:rsidR="008367E9" w:rsidRPr="004230CE">
        <w:t xml:space="preserve"> (42 USC 3796dd(b)(1))</w:t>
      </w:r>
      <w:r w:rsidR="00997D2B">
        <w:t>; and</w:t>
      </w:r>
    </w:p>
    <w:p w:rsidR="00997D2B" w:rsidRPr="004230CE" w:rsidRDefault="00997D2B">
      <w:pPr>
        <w:tabs>
          <w:tab w:val="left" w:pos="-1440"/>
        </w:tabs>
        <w:ind w:left="2160" w:hanging="720"/>
      </w:pPr>
      <w:r>
        <w:t>c.</w:t>
      </w:r>
      <w:r>
        <w:tab/>
        <w:t xml:space="preserve">For Fiscal Year (FY) 2012 CHP </w:t>
      </w:r>
      <w:r w:rsidR="0085135B">
        <w:t>awards</w:t>
      </w:r>
      <w:r w:rsidR="00143C42">
        <w:t xml:space="preserve"> only</w:t>
      </w:r>
      <w:r>
        <w:t>, all newly-hired officers must be post-September 11, 2001 military veterans (see page 12, Section 2, “Agency Eligibility Information” of the COPS FY2012 Application Guide: COPS Hiring Program</w:t>
      </w:r>
      <w:r w:rsidR="00FF0088">
        <w:t xml:space="preserve">, which is available at </w:t>
      </w:r>
      <w:hyperlink r:id="rId9" w:history="1">
        <w:r w:rsidR="00FF0088" w:rsidRPr="00FF0088">
          <w:rPr>
            <w:rStyle w:val="Hyperlink"/>
          </w:rPr>
          <w:t>http://www.cops.usdoj.gov/pdf/2012AwardDocs/CHP/2012_CHP_Application_Guide.pdf</w:t>
        </w:r>
      </w:hyperlink>
      <w:r>
        <w:t>).</w:t>
      </w:r>
    </w:p>
    <w:p w:rsidR="00A05514" w:rsidRPr="004230CE" w:rsidRDefault="00A05514" w:rsidP="00917B92">
      <w:pPr>
        <w:keepNext/>
        <w:keepLines/>
        <w:tabs>
          <w:tab w:val="left" w:pos="-1440"/>
        </w:tabs>
        <w:ind w:left="1440" w:hanging="720"/>
      </w:pPr>
      <w:r w:rsidRPr="004230CE">
        <w:lastRenderedPageBreak/>
        <w:t>2.</w:t>
      </w:r>
      <w:r w:rsidR="005647E7" w:rsidRPr="004230CE">
        <w:tab/>
      </w:r>
      <w:r w:rsidR="008367E9" w:rsidRPr="004230CE">
        <w:rPr>
          <w:i/>
          <w:iCs/>
        </w:rPr>
        <w:t xml:space="preserve">Non-Hiring </w:t>
      </w:r>
      <w:r w:rsidRPr="004230CE">
        <w:rPr>
          <w:i/>
          <w:iCs/>
        </w:rPr>
        <w:t>Grant</w:t>
      </w:r>
      <w:r w:rsidR="00A6499C" w:rsidRPr="004230CE">
        <w:rPr>
          <w:i/>
          <w:iCs/>
        </w:rPr>
        <w:t>s</w:t>
      </w:r>
      <w:r w:rsidRPr="004230CE">
        <w:rPr>
          <w:i/>
          <w:iCs/>
        </w:rPr>
        <w:t xml:space="preserve"> </w:t>
      </w:r>
      <w:r w:rsidR="00FD52F1">
        <w:t>–</w:t>
      </w:r>
      <w:r w:rsidRPr="004230CE">
        <w:t xml:space="preserve"> </w:t>
      </w:r>
      <w:r w:rsidR="00A6499C" w:rsidRPr="004230CE">
        <w:t>Non-hiring grants</w:t>
      </w:r>
      <w:r w:rsidR="008367E9" w:rsidRPr="004230CE">
        <w:t xml:space="preserve"> may include programs, projects, and other activities to </w:t>
      </w:r>
      <w:r w:rsidR="002824F3">
        <w:t>obtain</w:t>
      </w:r>
      <w:r w:rsidR="008367E9" w:rsidRPr="004230CE">
        <w:t xml:space="preserve"> a wide variety of equipment, technology, support systems, civilian personnel, training</w:t>
      </w:r>
      <w:r w:rsidR="00641602" w:rsidRPr="004230CE">
        <w:t>,</w:t>
      </w:r>
      <w:r w:rsidR="008367E9" w:rsidRPr="004230CE">
        <w:t xml:space="preserve"> and technical assistance</w:t>
      </w:r>
      <w:r w:rsidR="00BE3AFF" w:rsidRPr="004230CE">
        <w:t xml:space="preserve">. </w:t>
      </w:r>
      <w:r w:rsidR="008367E9" w:rsidRPr="004230CE">
        <w:t xml:space="preserve"> These grants include programs and projects that are very specific in terms of allowable and unallowable activities. </w:t>
      </w:r>
      <w:r w:rsidR="00064F92">
        <w:t xml:space="preserve"> </w:t>
      </w:r>
      <w:r w:rsidR="008367E9" w:rsidRPr="004230CE">
        <w:t>The individual grant must be evaluat</w:t>
      </w:r>
      <w:r w:rsidR="00641602" w:rsidRPr="004230CE">
        <w:t>ed</w:t>
      </w:r>
      <w:r w:rsidR="008367E9" w:rsidRPr="004230CE">
        <w:t xml:space="preserve"> to determine allowable</w:t>
      </w:r>
      <w:r w:rsidR="005647E7" w:rsidRPr="004230CE">
        <w:t xml:space="preserve"> activities</w:t>
      </w:r>
      <w:r w:rsidR="008367E9" w:rsidRPr="004230CE">
        <w:t>, in accordance with</w:t>
      </w:r>
      <w:r w:rsidR="00233683" w:rsidRPr="004230CE">
        <w:t xml:space="preserve"> </w:t>
      </w:r>
      <w:r w:rsidR="008367E9" w:rsidRPr="004230CE">
        <w:t xml:space="preserve">program guidelines </w:t>
      </w:r>
      <w:r w:rsidR="00BE3AFF" w:rsidRPr="004230CE">
        <w:t>in the Grants Owner’s Manual (42 USC 3796dd(b) and (d)).</w:t>
      </w:r>
    </w:p>
    <w:p w:rsidR="00A05514" w:rsidRPr="004230CE" w:rsidRDefault="00A05514" w:rsidP="00AC524D">
      <w:pPr>
        <w:outlineLvl w:val="0"/>
      </w:pPr>
      <w:r w:rsidRPr="004230CE">
        <w:rPr>
          <w:b/>
          <w:bCs/>
        </w:rPr>
        <w:t>B.</w:t>
      </w:r>
      <w:r w:rsidRPr="004230CE">
        <w:rPr>
          <w:b/>
          <w:bCs/>
        </w:rPr>
        <w:tab/>
        <w:t>Allowable Costs/Cost Principles</w:t>
      </w:r>
    </w:p>
    <w:p w:rsidR="008367E9" w:rsidRPr="004230CE" w:rsidRDefault="00A05514" w:rsidP="00AC524D">
      <w:pPr>
        <w:ind w:left="720"/>
      </w:pPr>
      <w:r w:rsidRPr="004230CE">
        <w:rPr>
          <w:i/>
          <w:iCs/>
        </w:rPr>
        <w:t>Hiring Costs</w:t>
      </w:r>
      <w:r w:rsidRPr="004230CE">
        <w:t xml:space="preserve"> </w:t>
      </w:r>
      <w:r w:rsidR="008367E9" w:rsidRPr="004230CE">
        <w:t>–</w:t>
      </w:r>
      <w:r w:rsidRPr="004230CE">
        <w:t xml:space="preserve"> </w:t>
      </w:r>
    </w:p>
    <w:p w:rsidR="002568D9" w:rsidRDefault="00586EFF" w:rsidP="00AC524D">
      <w:pPr>
        <w:ind w:left="1440" w:hanging="720"/>
        <w:rPr>
          <w:b/>
        </w:rPr>
      </w:pPr>
      <w:r w:rsidRPr="00C7709B">
        <w:t>1.</w:t>
      </w:r>
      <w:r w:rsidRPr="004230CE">
        <w:rPr>
          <w:b/>
        </w:rPr>
        <w:tab/>
      </w:r>
      <w:r w:rsidR="00B41B39" w:rsidRPr="00B41B39">
        <w:t>CHP,</w:t>
      </w:r>
      <w:r w:rsidR="008F0260" w:rsidRPr="008F0260">
        <w:rPr>
          <w:b/>
        </w:rPr>
        <w:t xml:space="preserve"> CHRP, </w:t>
      </w:r>
      <w:r w:rsidR="008F0260" w:rsidRPr="00CF778C">
        <w:t xml:space="preserve">and </w:t>
      </w:r>
      <w:r w:rsidR="00B41B39" w:rsidRPr="00CF778C">
        <w:t>TRGP</w:t>
      </w:r>
      <w:r w:rsidR="008F0260" w:rsidRPr="00CF778C">
        <w:t xml:space="preserve">-Hiring grants fund </w:t>
      </w:r>
      <w:r w:rsidR="00C80226" w:rsidRPr="00CF778C">
        <w:t>the</w:t>
      </w:r>
      <w:r w:rsidR="008367E9" w:rsidRPr="00CF778C">
        <w:t xml:space="preserve"> approved entry-level salaries and fringe benefits of newly hired or rehired full-time officers for 36 months of grant funding.</w:t>
      </w:r>
      <w:r w:rsidR="00C80226" w:rsidRPr="00CF778C">
        <w:t xml:space="preserve">  </w:t>
      </w:r>
      <w:r w:rsidR="003B464A" w:rsidRPr="00CF778C">
        <w:t xml:space="preserve">The approved entry-level salaries and fringe benefits are based on a grantee agency’s actual entry-level sworn officer salary and fringe benefit costs and are identified on the Final Financial Clearance Memorandum that is </w:t>
      </w:r>
      <w:r w:rsidR="00016DF1" w:rsidRPr="00CF778C">
        <w:t xml:space="preserve">provided </w:t>
      </w:r>
      <w:r w:rsidR="003B464A" w:rsidRPr="00CF778C">
        <w:t>to the grantee agency.</w:t>
      </w:r>
      <w:r w:rsidR="00C80226" w:rsidRPr="00CF778C">
        <w:t xml:space="preserve">  </w:t>
      </w:r>
      <w:r w:rsidR="008367E9" w:rsidRPr="00CF778C">
        <w:t>Any additional costs for higher than entry-level salaries and fringe benefits will be the responsibility of the grantee agency</w:t>
      </w:r>
      <w:r w:rsidR="00E17329" w:rsidRPr="00CF778C">
        <w:t xml:space="preserve"> (42 USC 3796dd</w:t>
      </w:r>
      <w:r w:rsidR="00FD142A" w:rsidRPr="00CF778C">
        <w:t>(b)</w:t>
      </w:r>
      <w:r w:rsidR="00997D2B" w:rsidRPr="00CF778C">
        <w:t>;</w:t>
      </w:r>
      <w:r w:rsidR="00997D2B" w:rsidRPr="00784315">
        <w:rPr>
          <w:b/>
        </w:rPr>
        <w:t xml:space="preserve"> </w:t>
      </w:r>
      <w:r w:rsidR="00736706" w:rsidRPr="00784315">
        <w:rPr>
          <w:b/>
          <w:bCs/>
        </w:rPr>
        <w:t xml:space="preserve">page </w:t>
      </w:r>
      <w:r w:rsidR="003D6B51">
        <w:rPr>
          <w:b/>
          <w:bCs/>
        </w:rPr>
        <w:t>5</w:t>
      </w:r>
      <w:r w:rsidR="00736706" w:rsidRPr="00784315">
        <w:rPr>
          <w:b/>
          <w:bCs/>
        </w:rPr>
        <w:t>, Program Specific Information of the COPS FY</w:t>
      </w:r>
      <w:r w:rsidR="00A338F6">
        <w:rPr>
          <w:b/>
          <w:bCs/>
        </w:rPr>
        <w:t xml:space="preserve"> </w:t>
      </w:r>
      <w:r w:rsidR="00736706" w:rsidRPr="00784315">
        <w:rPr>
          <w:b/>
          <w:bCs/>
        </w:rPr>
        <w:t>2009 Application Guide (CHRP) (</w:t>
      </w:r>
      <w:hyperlink r:id="rId10" w:history="1">
        <w:r w:rsidR="00AC23F0" w:rsidRPr="003B7632">
          <w:rPr>
            <w:rStyle w:val="Hyperlink"/>
            <w:b/>
          </w:rPr>
          <w:t>http://www.cops.usdoj.gov/pdf/e03094188-CHRP-v-2.pdf</w:t>
        </w:r>
      </w:hyperlink>
      <w:r w:rsidR="00736706" w:rsidRPr="00784315">
        <w:rPr>
          <w:b/>
        </w:rPr>
        <w:t>);</w:t>
      </w:r>
      <w:r w:rsidR="00736706" w:rsidRPr="00784315">
        <w:t xml:space="preserve"> </w:t>
      </w:r>
      <w:r w:rsidR="00736706" w:rsidRPr="00784315">
        <w:rPr>
          <w:bCs/>
        </w:rPr>
        <w:t>page 14</w:t>
      </w:r>
      <w:r w:rsidR="00900A8E">
        <w:rPr>
          <w:bCs/>
        </w:rPr>
        <w:t>, section 5, “COPS Officer Request,”</w:t>
      </w:r>
      <w:r w:rsidR="00736706" w:rsidRPr="00784315">
        <w:rPr>
          <w:bCs/>
        </w:rPr>
        <w:t xml:space="preserve"> of the COPS FY2010 Application Guide (CHP) (</w:t>
      </w:r>
      <w:hyperlink r:id="rId11" w:history="1">
        <w:r w:rsidR="0032675C" w:rsidRPr="0032675C">
          <w:rPr>
            <w:rStyle w:val="Hyperlink"/>
          </w:rPr>
          <w:t>http://www.cops.usdoj.gov/pdf/CHP/e05105273-CHP.pdf</w:t>
        </w:r>
      </w:hyperlink>
      <w:r w:rsidR="0032675C">
        <w:rPr>
          <w:rStyle w:val="CommentReference"/>
        </w:rPr>
        <w:t xml:space="preserve"> </w:t>
      </w:r>
      <w:r w:rsidR="0032675C" w:rsidRPr="00143C42">
        <w:rPr>
          <w:rStyle w:val="CommentReference"/>
          <w:sz w:val="24"/>
          <w:szCs w:val="24"/>
        </w:rPr>
        <w:t>)</w:t>
      </w:r>
      <w:r w:rsidR="00736706" w:rsidRPr="00784315">
        <w:t xml:space="preserve">; </w:t>
      </w:r>
      <w:r w:rsidR="00736706" w:rsidRPr="00784315">
        <w:rPr>
          <w:bCs/>
        </w:rPr>
        <w:t xml:space="preserve">page 22, section 5A, </w:t>
      </w:r>
      <w:r w:rsidR="00900A8E">
        <w:rPr>
          <w:bCs/>
        </w:rPr>
        <w:t>“</w:t>
      </w:r>
      <w:r w:rsidR="00736706" w:rsidRPr="00784315">
        <w:rPr>
          <w:bCs/>
        </w:rPr>
        <w:t>COPS Officer Request,</w:t>
      </w:r>
      <w:r w:rsidR="00900A8E">
        <w:rPr>
          <w:bCs/>
        </w:rPr>
        <w:t>”</w:t>
      </w:r>
      <w:r w:rsidR="00736706" w:rsidRPr="00784315">
        <w:rPr>
          <w:bCs/>
        </w:rPr>
        <w:t xml:space="preserve"> of the COPS FY2010 Application Guide (CHP) (</w:t>
      </w:r>
      <w:hyperlink r:id="rId12" w:history="1">
        <w:r w:rsidR="00AC23F0" w:rsidRPr="003B7632">
          <w:rPr>
            <w:rStyle w:val="Hyperlink"/>
          </w:rPr>
          <w:t>http://www.cops.usdoj.gov/pdf/cap/cap-appguide-chp.pdf</w:t>
        </w:r>
      </w:hyperlink>
      <w:r w:rsidR="00AC23F0">
        <w:t xml:space="preserve"> )</w:t>
      </w:r>
      <w:r w:rsidR="00736706" w:rsidRPr="00784315">
        <w:rPr>
          <w:bCs/>
        </w:rPr>
        <w:t xml:space="preserve">; page 3, </w:t>
      </w:r>
      <w:r w:rsidR="00900A8E">
        <w:rPr>
          <w:bCs/>
        </w:rPr>
        <w:t>“</w:t>
      </w:r>
      <w:r w:rsidR="00736706" w:rsidRPr="00784315">
        <w:rPr>
          <w:bCs/>
        </w:rPr>
        <w:t>Program Specific Information,</w:t>
      </w:r>
      <w:r w:rsidR="00900A8E">
        <w:rPr>
          <w:bCs/>
        </w:rPr>
        <w:t>”</w:t>
      </w:r>
      <w:r w:rsidR="00736706" w:rsidRPr="00784315">
        <w:rPr>
          <w:bCs/>
        </w:rPr>
        <w:t xml:space="preserve"> of the COPS FY2009 Application Guide (TRGP) (</w:t>
      </w:r>
      <w:hyperlink r:id="rId13" w:history="1">
        <w:r w:rsidR="00AC23F0" w:rsidRPr="003B7632">
          <w:rPr>
            <w:rStyle w:val="Hyperlink"/>
          </w:rPr>
          <w:t>http://www.cops.usdoj.gov/files/RIC/Publications/e0209183_TRGP-AppGuide.pdf</w:t>
        </w:r>
      </w:hyperlink>
      <w:r w:rsidR="00736706" w:rsidRPr="00784315">
        <w:t xml:space="preserve">); </w:t>
      </w:r>
      <w:r w:rsidR="00900A8E">
        <w:rPr>
          <w:bCs/>
        </w:rPr>
        <w:t>page 3, “Program Specific Information,”</w:t>
      </w:r>
      <w:r w:rsidR="00736706" w:rsidRPr="00784315">
        <w:rPr>
          <w:bCs/>
        </w:rPr>
        <w:t xml:space="preserve"> of the COPS FY2008 Application Guide (TRGP) </w:t>
      </w:r>
      <w:r w:rsidR="00736706" w:rsidRPr="00784315">
        <w:rPr>
          <w:b/>
          <w:bCs/>
        </w:rPr>
        <w:t>(</w:t>
      </w:r>
      <w:hyperlink r:id="rId14" w:history="1">
        <w:r w:rsidR="00AC23F0" w:rsidRPr="003B7632">
          <w:rPr>
            <w:rStyle w:val="Hyperlink"/>
            <w:sz w:val="23"/>
            <w:szCs w:val="23"/>
          </w:rPr>
          <w:t>http://www.cops.usdoj.gov/html/funding/applying/TRGPGuide_e030821127.pdf</w:t>
        </w:r>
      </w:hyperlink>
      <w:r w:rsidR="00736706" w:rsidRPr="00A338F6">
        <w:rPr>
          <w:sz w:val="23"/>
          <w:szCs w:val="23"/>
        </w:rPr>
        <w:t>)</w:t>
      </w:r>
      <w:r w:rsidR="00BE70A0" w:rsidRPr="00784315">
        <w:rPr>
          <w:b/>
        </w:rPr>
        <w:t>)</w:t>
      </w:r>
      <w:r w:rsidR="008367E9" w:rsidRPr="00784315">
        <w:rPr>
          <w:b/>
        </w:rPr>
        <w:t xml:space="preserve">. </w:t>
      </w:r>
    </w:p>
    <w:p w:rsidR="00997D2B" w:rsidRDefault="00586EFF" w:rsidP="000A1030">
      <w:pPr>
        <w:ind w:left="1440" w:hanging="720"/>
      </w:pPr>
      <w:r w:rsidRPr="004230CE">
        <w:t>2.</w:t>
      </w:r>
      <w:r w:rsidRPr="004230CE">
        <w:tab/>
      </w:r>
      <w:r w:rsidR="00997D2B">
        <w:t xml:space="preserve">For FY 2012 </w:t>
      </w:r>
      <w:r w:rsidR="000C78F1">
        <w:t xml:space="preserve">to </w:t>
      </w:r>
      <w:r w:rsidR="00280E7F">
        <w:t>FY 201</w:t>
      </w:r>
      <w:r w:rsidR="000C78F1">
        <w:t>4</w:t>
      </w:r>
      <w:r w:rsidR="00280E7F">
        <w:t xml:space="preserve"> </w:t>
      </w:r>
      <w:r w:rsidR="00997D2B">
        <w:t>CHP grantees, costs are limited to the approved entry-level salaries and fringe benefits of each newly hired and/or rehired full-time officer, with a maximum Federal share of $125,000 per officer position</w:t>
      </w:r>
      <w:r w:rsidR="00280E7F">
        <w:t xml:space="preserve"> (</w:t>
      </w:r>
      <w:r w:rsidR="00CF778C" w:rsidRPr="004230CE">
        <w:t xml:space="preserve">unless a </w:t>
      </w:r>
      <w:r w:rsidR="00CF778C">
        <w:t xml:space="preserve">local match </w:t>
      </w:r>
      <w:r w:rsidR="00CF778C" w:rsidRPr="004230CE">
        <w:t xml:space="preserve">waiver is </w:t>
      </w:r>
      <w:r w:rsidR="00CF778C">
        <w:t>approved by</w:t>
      </w:r>
      <w:r w:rsidR="000033C5">
        <w:t xml:space="preserve"> the COPS Office</w:t>
      </w:r>
      <w:r w:rsidR="00280E7F">
        <w:t>)</w:t>
      </w:r>
      <w:r w:rsidR="00064F92">
        <w:t>,</w:t>
      </w:r>
      <w:r w:rsidR="00997D2B">
        <w:t xml:space="preserve"> over the 3-year (36 month) grant period</w:t>
      </w:r>
      <w:r w:rsidR="00997D2B" w:rsidRPr="00997D2B">
        <w:t xml:space="preserve"> </w:t>
      </w:r>
      <w:r w:rsidR="00997D2B">
        <w:t>(see page 14, section 5A, “COPS Hiring Officer Program Request” of the COPS FY2012 Application Guide: COPS Hiring Program).</w:t>
      </w:r>
    </w:p>
    <w:p w:rsidR="00923C5C" w:rsidRDefault="00997D2B" w:rsidP="000A1030">
      <w:pPr>
        <w:ind w:left="1440" w:hanging="720"/>
      </w:pPr>
      <w:r>
        <w:t>3.</w:t>
      </w:r>
      <w:r>
        <w:tab/>
      </w:r>
      <w:r w:rsidR="000A1030">
        <w:t xml:space="preserve">UHP costs are limited to an amount no higher than </w:t>
      </w:r>
      <w:r w:rsidR="000A1030" w:rsidRPr="006E0E4E">
        <w:t xml:space="preserve">entry-level </w:t>
      </w:r>
      <w:r w:rsidR="00016DF1">
        <w:t xml:space="preserve">officer </w:t>
      </w:r>
      <w:r w:rsidR="000A1030" w:rsidRPr="006E0E4E">
        <w:t>salar</w:t>
      </w:r>
      <w:r w:rsidR="00016DF1">
        <w:t>y</w:t>
      </w:r>
      <w:r w:rsidR="000A1030" w:rsidRPr="006E0E4E">
        <w:t xml:space="preserve"> and fringe benefits</w:t>
      </w:r>
      <w:r w:rsidR="000A1030">
        <w:t xml:space="preserve"> (see Section I.</w:t>
      </w:r>
      <w:r w:rsidR="003D6B51">
        <w:t>2</w:t>
      </w:r>
      <w:r w:rsidR="00900A8E">
        <w:t>, “Allowable Costs,”</w:t>
      </w:r>
      <w:r w:rsidR="000A1030">
        <w:t xml:space="preserve"> of the UHP Grant Owner's Manual).</w:t>
      </w:r>
    </w:p>
    <w:p w:rsidR="00A05514" w:rsidRPr="004230CE" w:rsidRDefault="00A05514" w:rsidP="00AC524D">
      <w:pPr>
        <w:keepNext/>
        <w:keepLines/>
        <w:outlineLvl w:val="0"/>
      </w:pPr>
      <w:r w:rsidRPr="004230CE">
        <w:rPr>
          <w:b/>
          <w:bCs/>
        </w:rPr>
        <w:lastRenderedPageBreak/>
        <w:t>G.</w:t>
      </w:r>
      <w:r w:rsidRPr="004230CE">
        <w:rPr>
          <w:b/>
          <w:bCs/>
        </w:rPr>
        <w:tab/>
        <w:t>Matching, Level of Effort, Earmarking</w:t>
      </w:r>
    </w:p>
    <w:p w:rsidR="00A05514" w:rsidRPr="004230CE" w:rsidRDefault="00A05514" w:rsidP="00AC524D">
      <w:pPr>
        <w:keepNext/>
        <w:keepLines/>
        <w:ind w:firstLine="720"/>
        <w:outlineLvl w:val="0"/>
      </w:pPr>
      <w:r w:rsidRPr="004230CE">
        <w:rPr>
          <w:b/>
          <w:bCs/>
        </w:rPr>
        <w:t>1.</w:t>
      </w:r>
      <w:r w:rsidRPr="004230CE">
        <w:rPr>
          <w:b/>
          <w:bCs/>
        </w:rPr>
        <w:tab/>
        <w:t>Matching</w:t>
      </w:r>
    </w:p>
    <w:p w:rsidR="008367E9" w:rsidRPr="004230CE" w:rsidRDefault="002568D9" w:rsidP="00AC524D">
      <w:pPr>
        <w:keepNext/>
        <w:keepLines/>
        <w:ind w:left="2160" w:hanging="720"/>
      </w:pPr>
      <w:r w:rsidRPr="004230CE">
        <w:t>a.</w:t>
      </w:r>
      <w:r w:rsidRPr="004230CE">
        <w:tab/>
      </w:r>
      <w:r w:rsidR="008367E9" w:rsidRPr="004230CE">
        <w:t xml:space="preserve">There is no match requirement for </w:t>
      </w:r>
      <w:r w:rsidR="00FC6A46">
        <w:t>CHP</w:t>
      </w:r>
      <w:r w:rsidR="00997D2B">
        <w:t xml:space="preserve"> (FY</w:t>
      </w:r>
      <w:r w:rsidR="00A338F6">
        <w:t xml:space="preserve"> </w:t>
      </w:r>
      <w:r w:rsidR="00997D2B">
        <w:t>2010 and FY</w:t>
      </w:r>
      <w:r w:rsidR="00A338F6">
        <w:t xml:space="preserve"> </w:t>
      </w:r>
      <w:r w:rsidR="00997D2B">
        <w:t>2011 only)</w:t>
      </w:r>
      <w:r w:rsidR="00FC6A46">
        <w:t xml:space="preserve">, </w:t>
      </w:r>
      <w:r w:rsidR="008367E9" w:rsidRPr="00916631">
        <w:rPr>
          <w:b/>
        </w:rPr>
        <w:t>CHRP</w:t>
      </w:r>
      <w:r w:rsidR="008367E9" w:rsidRPr="004230CE">
        <w:t xml:space="preserve">, </w:t>
      </w:r>
      <w:r w:rsidR="008D2DCF">
        <w:t xml:space="preserve">CAMP, </w:t>
      </w:r>
      <w:r w:rsidR="008367E9" w:rsidRPr="004230CE">
        <w:t xml:space="preserve">CSPP, Tech, Meth, SSI, </w:t>
      </w:r>
      <w:r w:rsidR="00101BDD" w:rsidRPr="004230CE">
        <w:t>CPD,</w:t>
      </w:r>
      <w:r w:rsidR="008367E9" w:rsidRPr="004230CE">
        <w:t xml:space="preserve"> </w:t>
      </w:r>
      <w:r w:rsidR="00622625">
        <w:t>CRI-TA,</w:t>
      </w:r>
      <w:r w:rsidR="00917B92">
        <w:t xml:space="preserve"> </w:t>
      </w:r>
      <w:r w:rsidR="008367E9" w:rsidRPr="004230CE">
        <w:t>TRGP</w:t>
      </w:r>
      <w:r w:rsidR="00280E7F">
        <w:t>-Hiring</w:t>
      </w:r>
      <w:r w:rsidR="006D5858" w:rsidRPr="004230CE">
        <w:t xml:space="preserve">, </w:t>
      </w:r>
      <w:r w:rsidR="00280E7F">
        <w:t>TRGP-E/T, a</w:t>
      </w:r>
      <w:r w:rsidR="00B21177">
        <w:t>n</w:t>
      </w:r>
      <w:r w:rsidR="00280E7F">
        <w:t xml:space="preserve">d </w:t>
      </w:r>
      <w:r w:rsidR="005963E8">
        <w:t>Tribal Meth</w:t>
      </w:r>
      <w:r w:rsidR="008367E9" w:rsidRPr="004230CE">
        <w:t xml:space="preserve">.  </w:t>
      </w:r>
    </w:p>
    <w:p w:rsidR="008367E9" w:rsidRPr="004230CE" w:rsidRDefault="002568D9" w:rsidP="002568D9">
      <w:pPr>
        <w:ind w:left="2160" w:hanging="720"/>
      </w:pPr>
      <w:r w:rsidRPr="004230CE">
        <w:t>b.</w:t>
      </w:r>
      <w:r w:rsidRPr="004230CE">
        <w:tab/>
      </w:r>
      <w:r w:rsidR="008367E9" w:rsidRPr="004230CE">
        <w:t xml:space="preserve">UHP </w:t>
      </w:r>
      <w:r w:rsidR="00EA62A8">
        <w:t xml:space="preserve">and </w:t>
      </w:r>
      <w:r w:rsidR="00EA62A8" w:rsidRPr="006E0E4E">
        <w:t xml:space="preserve">Tech </w:t>
      </w:r>
      <w:r w:rsidR="0085135B" w:rsidRPr="004230CE">
        <w:t xml:space="preserve">grantees </w:t>
      </w:r>
      <w:r w:rsidR="00EA62A8" w:rsidRPr="006E0E4E">
        <w:t>(</w:t>
      </w:r>
      <w:r w:rsidR="00E23001">
        <w:t>FY</w:t>
      </w:r>
      <w:r w:rsidR="008678D1">
        <w:t xml:space="preserve"> 2007</w:t>
      </w:r>
      <w:r w:rsidR="00016DF1">
        <w:t xml:space="preserve"> Tech grantees only</w:t>
      </w:r>
      <w:r w:rsidR="00EA62A8" w:rsidRPr="006E0E4E">
        <w:t>)</w:t>
      </w:r>
      <w:r w:rsidR="00EA62A8">
        <w:t xml:space="preserve"> </w:t>
      </w:r>
      <w:r w:rsidR="00AA68F8">
        <w:t>must</w:t>
      </w:r>
      <w:r w:rsidR="008367E9" w:rsidRPr="004230CE">
        <w:t xml:space="preserve"> contribute at least 25 percent of allowable project </w:t>
      </w:r>
      <w:r w:rsidR="00BE70A0">
        <w:t>costs</w:t>
      </w:r>
      <w:r w:rsidR="008367E9" w:rsidRPr="004230CE">
        <w:t xml:space="preserve">, unless a </w:t>
      </w:r>
      <w:r w:rsidR="00016DF1">
        <w:t xml:space="preserve">local match </w:t>
      </w:r>
      <w:r w:rsidR="008367E9" w:rsidRPr="004230CE">
        <w:t xml:space="preserve">waiver is </w:t>
      </w:r>
      <w:r w:rsidR="00016DF1">
        <w:t>approved by</w:t>
      </w:r>
      <w:r w:rsidR="008367E9" w:rsidRPr="004230CE">
        <w:t xml:space="preserve"> the COPS Office (42 USC 3796dd(g)).  </w:t>
      </w:r>
    </w:p>
    <w:p w:rsidR="008367E9" w:rsidRDefault="003B464A" w:rsidP="002568D9">
      <w:pPr>
        <w:ind w:left="2160" w:hanging="720"/>
      </w:pPr>
      <w:r w:rsidRPr="004230CE">
        <w:t>c</w:t>
      </w:r>
      <w:r w:rsidR="002568D9" w:rsidRPr="004230CE">
        <w:t>.</w:t>
      </w:r>
      <w:r w:rsidR="002568D9" w:rsidRPr="004230CE">
        <w:tab/>
      </w:r>
      <w:r w:rsidR="008367E9" w:rsidRPr="004230CE">
        <w:t xml:space="preserve">SOS grantees </w:t>
      </w:r>
      <w:r w:rsidR="006C370C" w:rsidRPr="004230CE">
        <w:t>must</w:t>
      </w:r>
      <w:r w:rsidR="008367E9" w:rsidRPr="004230CE">
        <w:t xml:space="preserve"> contribute at least 50 percent of </w:t>
      </w:r>
      <w:r w:rsidR="006C370C" w:rsidRPr="004230CE">
        <w:t xml:space="preserve">allowable </w:t>
      </w:r>
      <w:r w:rsidR="008367E9" w:rsidRPr="004230CE">
        <w:t xml:space="preserve">project </w:t>
      </w:r>
      <w:r w:rsidR="006C370C" w:rsidRPr="004230CE">
        <w:t>costs</w:t>
      </w:r>
      <w:r w:rsidR="006E728F" w:rsidRPr="004230CE">
        <w:t xml:space="preserve"> (42 USC 3797a(d))</w:t>
      </w:r>
      <w:r w:rsidR="008367E9" w:rsidRPr="004230CE">
        <w:t xml:space="preserve">. </w:t>
      </w:r>
    </w:p>
    <w:p w:rsidR="00997D2B" w:rsidRDefault="00E90FC3" w:rsidP="002568D9">
      <w:pPr>
        <w:ind w:left="2160" w:hanging="720"/>
      </w:pPr>
      <w:r>
        <w:t>d.</w:t>
      </w:r>
      <w:r>
        <w:tab/>
        <w:t>FY</w:t>
      </w:r>
      <w:r w:rsidR="00A338F6">
        <w:t xml:space="preserve"> </w:t>
      </w:r>
      <w:r w:rsidR="00997D2B">
        <w:t>2012</w:t>
      </w:r>
      <w:r w:rsidR="00280E7F">
        <w:t xml:space="preserve"> </w:t>
      </w:r>
      <w:r w:rsidR="000C78F1">
        <w:t xml:space="preserve">to </w:t>
      </w:r>
      <w:r w:rsidR="00280E7F">
        <w:t>FY 201</w:t>
      </w:r>
      <w:r w:rsidR="000C78F1">
        <w:t>4</w:t>
      </w:r>
      <w:r w:rsidR="00965115">
        <w:t>,</w:t>
      </w:r>
      <w:r w:rsidR="00997D2B">
        <w:t xml:space="preserve"> CHP grantees must contribute a minimum of 25 percent of the allowable project costs </w:t>
      </w:r>
      <w:r w:rsidR="00997D2B" w:rsidRPr="006F2718">
        <w:t>(</w:t>
      </w:r>
      <w:r w:rsidR="00997D2B">
        <w:t>page 14, section 5A, “COPS Hiring Officer Program Request</w:t>
      </w:r>
      <w:r>
        <w:t>,</w:t>
      </w:r>
      <w:r w:rsidR="00997D2B">
        <w:t>”</w:t>
      </w:r>
      <w:r w:rsidR="00280E7F">
        <w:t xml:space="preserve"> and page 27, </w:t>
      </w:r>
      <w:r w:rsidR="00065DF4">
        <w:t>“</w:t>
      </w:r>
      <w:r w:rsidR="00280E7F">
        <w:t>Waiver of Local Match,</w:t>
      </w:r>
      <w:r w:rsidR="00065DF4">
        <w:t>”</w:t>
      </w:r>
      <w:r w:rsidR="00997D2B">
        <w:t xml:space="preserve"> of the COPS FY2012 Application Guide: COPS Hiring Program</w:t>
      </w:r>
      <w:r w:rsidR="00997D2B" w:rsidRPr="006F2718">
        <w:t>)</w:t>
      </w:r>
      <w:r w:rsidR="00280E7F">
        <w:t xml:space="preserve">, </w:t>
      </w:r>
      <w:r w:rsidR="00CF778C" w:rsidRPr="004230CE">
        <w:t xml:space="preserve">unless a </w:t>
      </w:r>
      <w:r w:rsidR="00CF778C">
        <w:t xml:space="preserve">local match </w:t>
      </w:r>
      <w:r w:rsidR="00CF778C" w:rsidRPr="004230CE">
        <w:t xml:space="preserve">waiver is </w:t>
      </w:r>
      <w:r w:rsidR="00CF778C">
        <w:t>approved by</w:t>
      </w:r>
      <w:r w:rsidR="00CF778C" w:rsidRPr="004230CE">
        <w:t xml:space="preserve"> the COPS Office</w:t>
      </w:r>
      <w:r w:rsidR="00997D2B">
        <w:t>.</w:t>
      </w:r>
    </w:p>
    <w:p w:rsidR="00A05514" w:rsidRPr="004230CE" w:rsidRDefault="00A05514" w:rsidP="006D5858">
      <w:pPr>
        <w:ind w:left="1440" w:hanging="720"/>
        <w:outlineLvl w:val="0"/>
      </w:pPr>
      <w:r w:rsidRPr="004230CE">
        <w:rPr>
          <w:b/>
          <w:bCs/>
        </w:rPr>
        <w:t>2</w:t>
      </w:r>
      <w:r w:rsidRPr="004230CE">
        <w:rPr>
          <w:b/>
          <w:bCs/>
        </w:rPr>
        <w:tab/>
        <w:t>Level of Effort</w:t>
      </w:r>
      <w:r w:rsidRPr="004230CE">
        <w:t xml:space="preserve"> </w:t>
      </w:r>
      <w:r w:rsidR="00FD52F1">
        <w:t>–</w:t>
      </w:r>
      <w:r w:rsidRPr="004230CE">
        <w:t xml:space="preserve"> Not Applicable</w:t>
      </w:r>
    </w:p>
    <w:p w:rsidR="00A05514" w:rsidRPr="004230CE" w:rsidRDefault="00A05514" w:rsidP="00257518">
      <w:pPr>
        <w:ind w:firstLine="720"/>
        <w:outlineLvl w:val="0"/>
      </w:pPr>
      <w:r w:rsidRPr="004230CE">
        <w:rPr>
          <w:b/>
          <w:bCs/>
        </w:rPr>
        <w:t>3.</w:t>
      </w:r>
      <w:r w:rsidRPr="004230CE">
        <w:rPr>
          <w:b/>
          <w:bCs/>
        </w:rPr>
        <w:tab/>
        <w:t xml:space="preserve">Earmarking </w:t>
      </w:r>
      <w:r w:rsidR="00FD52F1">
        <w:t>–</w:t>
      </w:r>
      <w:r w:rsidRPr="004230CE">
        <w:rPr>
          <w:b/>
          <w:bCs/>
        </w:rPr>
        <w:t xml:space="preserve"> </w:t>
      </w:r>
      <w:r w:rsidRPr="004230CE">
        <w:t>Not Applicable</w:t>
      </w:r>
    </w:p>
    <w:p w:rsidR="00A05514" w:rsidRPr="004230CE" w:rsidRDefault="00A05514">
      <w:r w:rsidRPr="004230CE">
        <w:rPr>
          <w:b/>
          <w:bCs/>
        </w:rPr>
        <w:t>L.</w:t>
      </w:r>
      <w:r w:rsidRPr="004230CE">
        <w:rPr>
          <w:b/>
          <w:bCs/>
        </w:rPr>
        <w:tab/>
        <w:t>Reporting</w:t>
      </w:r>
    </w:p>
    <w:p w:rsidR="00A05514" w:rsidRPr="004230CE" w:rsidRDefault="00A05514" w:rsidP="00257518">
      <w:pPr>
        <w:ind w:firstLine="720"/>
        <w:outlineLvl w:val="0"/>
      </w:pPr>
      <w:r w:rsidRPr="004230CE">
        <w:rPr>
          <w:b/>
          <w:bCs/>
        </w:rPr>
        <w:t>1.</w:t>
      </w:r>
      <w:r w:rsidRPr="004230CE">
        <w:rPr>
          <w:b/>
          <w:bCs/>
        </w:rPr>
        <w:tab/>
        <w:t>Financial Reporting</w:t>
      </w:r>
    </w:p>
    <w:p w:rsidR="00A05514" w:rsidRPr="004230CE" w:rsidRDefault="00A05514" w:rsidP="00DA042A">
      <w:pPr>
        <w:tabs>
          <w:tab w:val="left" w:pos="-1440"/>
        </w:tabs>
        <w:ind w:left="2160" w:hanging="720"/>
      </w:pPr>
      <w:r w:rsidRPr="004230CE">
        <w:t>a.</w:t>
      </w:r>
      <w:r w:rsidRPr="004230CE">
        <w:tab/>
        <w:t xml:space="preserve">SF-270, </w:t>
      </w:r>
      <w:r w:rsidRPr="004230CE">
        <w:rPr>
          <w:i/>
          <w:iCs/>
        </w:rPr>
        <w:t>Request for Advance or Reimbursement</w:t>
      </w:r>
      <w:r w:rsidRPr="004230CE">
        <w:t xml:space="preserve"> </w:t>
      </w:r>
      <w:r w:rsidR="00FD52F1">
        <w:t>–</w:t>
      </w:r>
      <w:r w:rsidRPr="004230CE">
        <w:t xml:space="preserve"> Not Applicable</w:t>
      </w:r>
    </w:p>
    <w:p w:rsidR="00A05514" w:rsidRPr="004230CE" w:rsidRDefault="00DA042A">
      <w:pPr>
        <w:tabs>
          <w:tab w:val="left" w:pos="-1440"/>
        </w:tabs>
        <w:ind w:left="2160" w:hanging="720"/>
      </w:pPr>
      <w:r>
        <w:t>b</w:t>
      </w:r>
      <w:r w:rsidR="00A05514" w:rsidRPr="004230CE">
        <w:t>.</w:t>
      </w:r>
      <w:r w:rsidR="00A05514" w:rsidRPr="004230CE">
        <w:tab/>
        <w:t xml:space="preserve">SF-271, </w:t>
      </w:r>
      <w:r w:rsidR="00A05514" w:rsidRPr="004230CE">
        <w:rPr>
          <w:i/>
          <w:iCs/>
        </w:rPr>
        <w:t>Outlay Report and Request for Reimbursement for Construction Programs</w:t>
      </w:r>
      <w:r w:rsidR="00A05514" w:rsidRPr="004230CE">
        <w:t xml:space="preserve"> </w:t>
      </w:r>
      <w:r w:rsidR="00FD52F1">
        <w:t>–</w:t>
      </w:r>
      <w:r w:rsidR="00A05514" w:rsidRPr="004230CE">
        <w:t xml:space="preserve"> Not Applicable</w:t>
      </w:r>
    </w:p>
    <w:p w:rsidR="00AF0121" w:rsidRPr="004230CE" w:rsidRDefault="00DA042A" w:rsidP="00AF01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c</w:t>
      </w:r>
      <w:r w:rsidR="00AF0121" w:rsidRPr="004230CE">
        <w:t>.</w:t>
      </w:r>
      <w:r w:rsidR="00AF0121" w:rsidRPr="004230CE">
        <w:tab/>
      </w:r>
      <w:r w:rsidR="00AF0121" w:rsidRPr="00BE70A0">
        <w:t>SF-425</w:t>
      </w:r>
      <w:r w:rsidR="00AF0121" w:rsidRPr="004230CE">
        <w:rPr>
          <w:i/>
        </w:rPr>
        <w:t>, Federal Financial Repor</w:t>
      </w:r>
      <w:r w:rsidR="00AF0121" w:rsidRPr="004230CE">
        <w:t xml:space="preserve">t </w:t>
      </w:r>
      <w:r w:rsidR="00FD52F1">
        <w:t>–</w:t>
      </w:r>
      <w:r w:rsidR="00AF0121" w:rsidRPr="004230CE">
        <w:t xml:space="preserve"> Applicable</w:t>
      </w:r>
    </w:p>
    <w:p w:rsidR="00A05514" w:rsidRPr="004230CE" w:rsidRDefault="00A05514" w:rsidP="00B07D8E">
      <w:pPr>
        <w:ind w:firstLine="720"/>
        <w:outlineLvl w:val="0"/>
      </w:pPr>
      <w:r w:rsidRPr="004230CE">
        <w:rPr>
          <w:b/>
          <w:bCs/>
        </w:rPr>
        <w:t>2.</w:t>
      </w:r>
      <w:r w:rsidRPr="004230CE">
        <w:rPr>
          <w:b/>
          <w:bCs/>
        </w:rPr>
        <w:tab/>
        <w:t>Performance Reporting</w:t>
      </w:r>
    </w:p>
    <w:p w:rsidR="001B5214" w:rsidRPr="004230CE" w:rsidRDefault="008E107F" w:rsidP="00B07D8E">
      <w:pPr>
        <w:tabs>
          <w:tab w:val="left" w:pos="-1440"/>
        </w:tabs>
        <w:ind w:left="1440"/>
      </w:pPr>
      <w:r w:rsidRPr="004230CE">
        <w:rPr>
          <w:i/>
          <w:iCs/>
        </w:rPr>
        <w:t xml:space="preserve">Department </w:t>
      </w:r>
      <w:r w:rsidR="007A5B9C">
        <w:rPr>
          <w:i/>
          <w:iCs/>
        </w:rPr>
        <w:t xml:space="preserve">Quarterly </w:t>
      </w:r>
      <w:r w:rsidRPr="004230CE">
        <w:rPr>
          <w:i/>
          <w:iCs/>
        </w:rPr>
        <w:t xml:space="preserve">Progress Report </w:t>
      </w:r>
      <w:r w:rsidR="001B5214" w:rsidRPr="004230CE">
        <w:rPr>
          <w:i/>
          <w:iCs/>
        </w:rPr>
        <w:t>(OMB No. 1103-</w:t>
      </w:r>
      <w:r w:rsidR="00143C42">
        <w:rPr>
          <w:i/>
          <w:iCs/>
        </w:rPr>
        <w:t>0102</w:t>
      </w:r>
      <w:r w:rsidR="001B5214" w:rsidRPr="004230CE">
        <w:rPr>
          <w:i/>
          <w:iCs/>
        </w:rPr>
        <w:t>)</w:t>
      </w:r>
      <w:r w:rsidR="001B5214" w:rsidRPr="004230CE">
        <w:t xml:space="preserve"> </w:t>
      </w:r>
      <w:r w:rsidR="00FD52F1">
        <w:t>–</w:t>
      </w:r>
      <w:r w:rsidR="001B5214" w:rsidRPr="004230CE">
        <w:t xml:space="preserve"> This report is required </w:t>
      </w:r>
      <w:r w:rsidR="007A5B9C">
        <w:t>quarterly</w:t>
      </w:r>
      <w:r w:rsidR="001B5214" w:rsidRPr="004230CE">
        <w:t xml:space="preserve"> during the life of the grant for all COPS grants. </w:t>
      </w:r>
    </w:p>
    <w:p w:rsidR="001B5214" w:rsidRPr="004230CE" w:rsidRDefault="001B5214" w:rsidP="00B07D8E">
      <w:pPr>
        <w:ind w:left="1440"/>
      </w:pPr>
      <w:r w:rsidRPr="004230CE">
        <w:rPr>
          <w:i/>
          <w:iCs/>
        </w:rPr>
        <w:t>Key Line Items</w:t>
      </w:r>
      <w:r w:rsidRPr="004230CE">
        <w:t xml:space="preserve"> </w:t>
      </w:r>
      <w:r w:rsidR="00FD52F1">
        <w:t>–</w:t>
      </w:r>
      <w:r w:rsidRPr="004230CE">
        <w:t xml:space="preserve"> The following questions contain critical information:</w:t>
      </w:r>
    </w:p>
    <w:p w:rsidR="001B5214" w:rsidRPr="004230CE" w:rsidRDefault="006D5858" w:rsidP="00B07D8E">
      <w:pPr>
        <w:tabs>
          <w:tab w:val="left" w:pos="-1440"/>
        </w:tabs>
        <w:ind w:left="2160" w:hanging="720"/>
      </w:pPr>
      <w:r w:rsidRPr="004230CE">
        <w:t>a</w:t>
      </w:r>
      <w:r w:rsidR="001B5214" w:rsidRPr="004230CE">
        <w:t>.</w:t>
      </w:r>
      <w:r w:rsidR="001B5214" w:rsidRPr="004230CE">
        <w:tab/>
        <w:t xml:space="preserve">Question 1 </w:t>
      </w:r>
      <w:r w:rsidR="00FD52F1">
        <w:t>–</w:t>
      </w:r>
      <w:r w:rsidR="001B5214" w:rsidRPr="004230CE">
        <w:t xml:space="preserve"> </w:t>
      </w:r>
      <w:r w:rsidR="001B5214" w:rsidRPr="004230CE">
        <w:rPr>
          <w:i/>
          <w:iCs/>
        </w:rPr>
        <w:t xml:space="preserve">How many </w:t>
      </w:r>
      <w:r w:rsidR="001B5214" w:rsidRPr="00F134AA">
        <w:rPr>
          <w:i/>
          <w:iCs/>
        </w:rPr>
        <w:t>active</w:t>
      </w:r>
      <w:r w:rsidR="001B5214" w:rsidRPr="004230CE">
        <w:rPr>
          <w:i/>
          <w:iCs/>
        </w:rPr>
        <w:t xml:space="preserve"> COPS grant position(s) were filled/hired?  Full-Time and Part-Time.</w:t>
      </w:r>
    </w:p>
    <w:p w:rsidR="001B5214" w:rsidRPr="004230CE" w:rsidRDefault="006D5858" w:rsidP="00B07D8E">
      <w:pPr>
        <w:tabs>
          <w:tab w:val="left" w:pos="-1440"/>
        </w:tabs>
        <w:ind w:left="2160" w:hanging="720"/>
        <w:rPr>
          <w:i/>
          <w:iCs/>
        </w:rPr>
      </w:pPr>
      <w:r w:rsidRPr="004230CE">
        <w:t>b</w:t>
      </w:r>
      <w:r w:rsidR="001B5214" w:rsidRPr="004230CE">
        <w:t>.</w:t>
      </w:r>
      <w:r w:rsidR="001B5214" w:rsidRPr="004230CE">
        <w:tab/>
        <w:t xml:space="preserve">Question 2 – </w:t>
      </w:r>
      <w:r w:rsidR="001B5214" w:rsidRPr="004230CE">
        <w:rPr>
          <w:i/>
        </w:rPr>
        <w:t>How many of the unfilled COPS grant position(s) do you intend to fill?</w:t>
      </w:r>
      <w:r w:rsidR="001B5214" w:rsidRPr="004230CE">
        <w:t xml:space="preserve">  </w:t>
      </w:r>
      <w:r w:rsidR="001B5214" w:rsidRPr="004230CE">
        <w:rPr>
          <w:i/>
        </w:rPr>
        <w:t>Full-Time and Part-Time</w:t>
      </w:r>
      <w:r w:rsidR="001B5214" w:rsidRPr="004230CE">
        <w:rPr>
          <w:i/>
          <w:iCs/>
        </w:rPr>
        <w:t>.</w:t>
      </w:r>
    </w:p>
    <w:p w:rsidR="00FC6A46" w:rsidRDefault="006D5858" w:rsidP="00B07D8E">
      <w:pPr>
        <w:ind w:left="2160" w:hanging="720"/>
        <w:outlineLvl w:val="0"/>
        <w:rPr>
          <w:i/>
        </w:rPr>
      </w:pPr>
      <w:r w:rsidRPr="004230CE">
        <w:rPr>
          <w:iCs/>
        </w:rPr>
        <w:lastRenderedPageBreak/>
        <w:t>c</w:t>
      </w:r>
      <w:r w:rsidR="001B5214" w:rsidRPr="004230CE">
        <w:rPr>
          <w:iCs/>
        </w:rPr>
        <w:t>.</w:t>
      </w:r>
      <w:r w:rsidR="001B5214" w:rsidRPr="004230CE">
        <w:rPr>
          <w:i/>
          <w:iCs/>
        </w:rPr>
        <w:tab/>
      </w:r>
      <w:r w:rsidR="001B5214" w:rsidRPr="004230CE">
        <w:t xml:space="preserve">Question 3 – </w:t>
      </w:r>
      <w:r w:rsidR="001B5214" w:rsidRPr="004230CE">
        <w:rPr>
          <w:i/>
        </w:rPr>
        <w:t xml:space="preserve">How many of the unfilled grant position(s) are </w:t>
      </w:r>
      <w:r w:rsidR="001B5214" w:rsidRPr="00F134AA">
        <w:rPr>
          <w:i/>
        </w:rPr>
        <w:t>NOT</w:t>
      </w:r>
      <w:r w:rsidR="001B5214" w:rsidRPr="004230CE">
        <w:rPr>
          <w:i/>
        </w:rPr>
        <w:t xml:space="preserve"> going to be filled/hired?  Full-Time and Part-Time</w:t>
      </w:r>
    </w:p>
    <w:p w:rsidR="00A05514" w:rsidRPr="004230CE" w:rsidRDefault="00A05514" w:rsidP="00B07D8E">
      <w:pPr>
        <w:ind w:left="1440" w:hanging="720"/>
        <w:outlineLvl w:val="0"/>
      </w:pPr>
      <w:r w:rsidRPr="004230CE">
        <w:rPr>
          <w:b/>
          <w:bCs/>
        </w:rPr>
        <w:t>3.</w:t>
      </w:r>
      <w:r w:rsidRPr="004230CE">
        <w:rPr>
          <w:b/>
          <w:bCs/>
        </w:rPr>
        <w:tab/>
        <w:t xml:space="preserve">Special Reporting </w:t>
      </w:r>
      <w:r w:rsidR="00FD52F1">
        <w:t>–</w:t>
      </w:r>
      <w:r w:rsidRPr="004230CE">
        <w:rPr>
          <w:b/>
          <w:bCs/>
        </w:rPr>
        <w:t xml:space="preserve"> </w:t>
      </w:r>
      <w:r w:rsidRPr="004230CE">
        <w:t>Not Applicable</w:t>
      </w:r>
    </w:p>
    <w:p w:rsidR="001F2BF1" w:rsidRPr="00276E09" w:rsidRDefault="001F2BF1" w:rsidP="00B07D8E">
      <w:pPr>
        <w:keepNext/>
        <w:keepLines/>
        <w:tabs>
          <w:tab w:val="left" w:pos="1440"/>
        </w:tabs>
        <w:ind w:left="720" w:right="720" w:hanging="720"/>
        <w:rPr>
          <w:b/>
        </w:rPr>
      </w:pPr>
      <w:r w:rsidRPr="00276E09">
        <w:rPr>
          <w:b/>
        </w:rPr>
        <w:t>IV.</w:t>
      </w:r>
      <w:r w:rsidRPr="00276E09">
        <w:rPr>
          <w:b/>
        </w:rPr>
        <w:tab/>
        <w:t>OTHER INFORMATION</w:t>
      </w:r>
    </w:p>
    <w:p w:rsidR="001F2BF1" w:rsidRDefault="001F2BF1" w:rsidP="00B07D8E">
      <w:pPr>
        <w:keepNext/>
        <w:keepLines/>
        <w:tabs>
          <w:tab w:val="left" w:pos="1440"/>
        </w:tabs>
        <w:ind w:right="720"/>
      </w:pPr>
      <w:r>
        <w:t xml:space="preserve">A limited number of recipients of </w:t>
      </w:r>
      <w:r w:rsidR="003D6B51">
        <w:t xml:space="preserve">FY </w:t>
      </w:r>
      <w:r>
        <w:t>2011</w:t>
      </w:r>
      <w:r w:rsidR="00997D2B">
        <w:t xml:space="preserve"> </w:t>
      </w:r>
      <w:r w:rsidR="007A5B9C">
        <w:t>through</w:t>
      </w:r>
      <w:r>
        <w:t xml:space="preserve"> </w:t>
      </w:r>
      <w:r w:rsidR="003D6B51">
        <w:t xml:space="preserve">FY </w:t>
      </w:r>
      <w:r w:rsidR="007A5B9C">
        <w:t>201</w:t>
      </w:r>
      <w:r w:rsidR="00C46593">
        <w:t>4</w:t>
      </w:r>
      <w:r w:rsidR="007A5B9C">
        <w:t xml:space="preserve"> </w:t>
      </w:r>
      <w:r>
        <w:t>funds were</w:t>
      </w:r>
      <w:r w:rsidRPr="0071378D">
        <w:t xml:space="preserve"> selected </w:t>
      </w:r>
      <w:r>
        <w:t>to address</w:t>
      </w:r>
      <w:r w:rsidRPr="0071378D">
        <w:t xml:space="preserve"> particular Department of Justice priority crime problem</w:t>
      </w:r>
      <w:r>
        <w:t>s</w:t>
      </w:r>
      <w:r w:rsidRPr="0071378D">
        <w:t xml:space="preserve">, based specifically on </w:t>
      </w:r>
      <w:r>
        <w:t>information in their</w:t>
      </w:r>
      <w:r w:rsidRPr="0071378D">
        <w:t xml:space="preserve"> </w:t>
      </w:r>
      <w:r>
        <w:t xml:space="preserve">CHP grant application’s </w:t>
      </w:r>
      <w:r w:rsidRPr="0071378D">
        <w:t>community policing plan</w:t>
      </w:r>
      <w:r>
        <w:t>.  Those recipients will have additional special condition</w:t>
      </w:r>
      <w:r w:rsidR="00016DF1">
        <w:t>(s)</w:t>
      </w:r>
      <w:r>
        <w:t xml:space="preserve"> in their grant agreement that the auditor will need to cover during the audit. </w:t>
      </w:r>
    </w:p>
    <w:p w:rsidR="000A7A8F" w:rsidRDefault="000A7A8F" w:rsidP="000A7A8F">
      <w:pPr>
        <w:tabs>
          <w:tab w:val="center" w:pos="4680"/>
        </w:tabs>
        <w:outlineLvl w:val="0"/>
        <w:sectPr w:rsidR="000A7A8F" w:rsidSect="004C73BC">
          <w:headerReference w:type="default" r:id="rId15"/>
          <w:footerReference w:type="default" r:id="rId16"/>
          <w:pgSz w:w="12240" w:h="15840" w:code="1"/>
          <w:pgMar w:top="1440" w:right="1440" w:bottom="1440" w:left="1440" w:header="720" w:footer="720" w:gutter="0"/>
          <w:pgNumType w:start="1"/>
          <w:cols w:space="720"/>
          <w:docGrid w:linePitch="360"/>
        </w:sectPr>
      </w:pPr>
    </w:p>
    <w:p w:rsidR="000A7A8F" w:rsidRPr="00F15792" w:rsidRDefault="000A7A8F" w:rsidP="00257518">
      <w:pPr>
        <w:tabs>
          <w:tab w:val="center" w:pos="4680"/>
        </w:tabs>
        <w:jc w:val="center"/>
        <w:outlineLvl w:val="0"/>
      </w:pPr>
      <w:r w:rsidRPr="00F15792">
        <w:lastRenderedPageBreak/>
        <w:fldChar w:fldCharType="begin"/>
      </w:r>
      <w:r w:rsidRPr="00F15792">
        <w:instrText xml:space="preserve"> SEQ CHAPTER \h \r 1</w:instrText>
      </w:r>
      <w:r w:rsidRPr="00F15792">
        <w:fldChar w:fldCharType="end"/>
      </w:r>
      <w:r w:rsidRPr="00F15792">
        <w:rPr>
          <w:b/>
        </w:rPr>
        <w:t>DEPARTMENT OF JUSTICE</w:t>
      </w:r>
    </w:p>
    <w:p w:rsidR="000A7A8F" w:rsidRPr="00150E0A" w:rsidRDefault="000A7A8F" w:rsidP="00E81FDA">
      <w:pPr>
        <w:tabs>
          <w:tab w:val="left" w:pos="1800"/>
        </w:tabs>
        <w:spacing w:line="0" w:lineRule="atLeast"/>
        <w:ind w:left="1800" w:hanging="1800"/>
        <w:rPr>
          <w:b/>
        </w:rPr>
      </w:pPr>
      <w:r w:rsidRPr="00150E0A">
        <w:rPr>
          <w:b/>
        </w:rPr>
        <w:t>CFDA 16.738</w:t>
      </w:r>
      <w:r w:rsidRPr="00150E0A">
        <w:rPr>
          <w:b/>
        </w:rPr>
        <w:tab/>
        <w:t xml:space="preserve">EDWARD BYRNE MEMORIAL JUSTICE ASSISTANCE GRANT PROGRAM </w:t>
      </w:r>
    </w:p>
    <w:p w:rsidR="000A7A8F" w:rsidRPr="00F15792" w:rsidRDefault="000A7A8F" w:rsidP="00E81FDA">
      <w:r w:rsidRPr="00F15792">
        <w:rPr>
          <w:b/>
        </w:rPr>
        <w:t>I.</w:t>
      </w:r>
      <w:r w:rsidRPr="00F15792">
        <w:rPr>
          <w:b/>
        </w:rPr>
        <w:tab/>
        <w:t>PROGRAM OBJECTIVES</w:t>
      </w:r>
      <w:r w:rsidRPr="00F15792">
        <w:t xml:space="preserve"> </w:t>
      </w:r>
    </w:p>
    <w:p w:rsidR="000A7A8F" w:rsidRPr="00F15792" w:rsidRDefault="000A7A8F" w:rsidP="00481435">
      <w:r w:rsidRPr="00F15792">
        <w:t>The Edward Byrne Memorial Justice Assistance Grant (JAG) Program (42 USC 3750</w:t>
      </w:r>
      <w:r w:rsidRPr="009D5F98">
        <w:t>)</w:t>
      </w:r>
      <w:r w:rsidRPr="00F15792">
        <w:t xml:space="preserve"> is the primary provider of </w:t>
      </w:r>
      <w:r>
        <w:t>F</w:t>
      </w:r>
      <w:r w:rsidRPr="00F15792">
        <w:t xml:space="preserve">ederal criminal justice funding to </w:t>
      </w:r>
      <w:r>
        <w:t>S</w:t>
      </w:r>
      <w:r w:rsidRPr="00F15792">
        <w:t>tate</w:t>
      </w:r>
      <w:r>
        <w:t>s</w:t>
      </w:r>
      <w:r w:rsidRPr="00F15792">
        <w:t xml:space="preserve"> and </w:t>
      </w:r>
      <w:r>
        <w:t>units of local government</w:t>
      </w:r>
      <w:r w:rsidRPr="00167141">
        <w:t xml:space="preserve">.  </w:t>
      </w:r>
      <w:r w:rsidRPr="00167141">
        <w:rPr>
          <w:bCs/>
        </w:rPr>
        <w:t>JAG funds support all components of the criminal justice system, from multi-jurisdictional</w:t>
      </w:r>
      <w:r w:rsidRPr="00F15792">
        <w:rPr>
          <w:bCs/>
        </w:rPr>
        <w:t xml:space="preserve"> drug and gang task forces to crime prevention and domestic violence programs, courts, corrections, treatment, and justice information</w:t>
      </w:r>
      <w:r>
        <w:rPr>
          <w:bCs/>
        </w:rPr>
        <w:t>-</w:t>
      </w:r>
      <w:r w:rsidRPr="00F15792">
        <w:rPr>
          <w:bCs/>
        </w:rPr>
        <w:t>sharing initiatives.</w:t>
      </w:r>
    </w:p>
    <w:p w:rsidR="000A7A8F" w:rsidRPr="00F15792" w:rsidRDefault="000A7A8F" w:rsidP="00481435">
      <w:r w:rsidRPr="00F15792">
        <w:rPr>
          <w:b/>
        </w:rPr>
        <w:t>II.</w:t>
      </w:r>
      <w:r w:rsidRPr="00F15792">
        <w:rPr>
          <w:b/>
        </w:rPr>
        <w:tab/>
        <w:t>PROGRAM PROCEDURES</w:t>
      </w:r>
    </w:p>
    <w:p w:rsidR="000A7A8F" w:rsidRPr="00F15792" w:rsidRDefault="000A7A8F" w:rsidP="0081201C">
      <w:r w:rsidRPr="00F15792">
        <w:rPr>
          <w:bCs/>
        </w:rPr>
        <w:t xml:space="preserve">JAG grants are awarded to </w:t>
      </w:r>
      <w:r>
        <w:rPr>
          <w:bCs/>
        </w:rPr>
        <w:t>S</w:t>
      </w:r>
      <w:r w:rsidRPr="00F15792">
        <w:rPr>
          <w:bCs/>
        </w:rPr>
        <w:t>tates</w:t>
      </w:r>
      <w:r>
        <w:rPr>
          <w:bCs/>
        </w:rPr>
        <w:t>,</w:t>
      </w:r>
      <w:r w:rsidRPr="00F15792">
        <w:rPr>
          <w:bCs/>
        </w:rPr>
        <w:t xml:space="preserve"> including the District of Columbia, the Commonwealth of Puerto Rico, the Northern Mariana Islands, the Virgin Islands, Guam, and American Samoa</w:t>
      </w:r>
      <w:r>
        <w:rPr>
          <w:bCs/>
        </w:rPr>
        <w:t>, as well as eligible units of local government (including tribes)</w:t>
      </w:r>
      <w:r w:rsidRPr="00F15792">
        <w:rPr>
          <w:bCs/>
        </w:rPr>
        <w:t>.</w:t>
      </w:r>
      <w:r w:rsidRPr="0081201C">
        <w:t xml:space="preserve"> </w:t>
      </w:r>
    </w:p>
    <w:p w:rsidR="000A7A8F" w:rsidRPr="00F15792" w:rsidRDefault="000A7A8F" w:rsidP="0081201C">
      <w:pPr>
        <w:widowControl w:val="0"/>
        <w:rPr>
          <w:bCs/>
        </w:rPr>
      </w:pPr>
      <w:r w:rsidRPr="00F15792">
        <w:t xml:space="preserve">The JAG </w:t>
      </w:r>
      <w:r>
        <w:t xml:space="preserve">funding </w:t>
      </w:r>
      <w:r w:rsidRPr="00F15792">
        <w:t>formula includes a State allocation consisting of a minimum base allocation with the remaining amount determined on population and violent crime statistics</w:t>
      </w:r>
      <w:r>
        <w:t>.</w:t>
      </w:r>
      <w:r w:rsidRPr="00F15792">
        <w:t xml:space="preserve"> </w:t>
      </w:r>
      <w:r>
        <w:t xml:space="preserve"> </w:t>
      </w:r>
      <w:r w:rsidRPr="00BE0FD8">
        <w:t>States also have a variable percentage of the allocation that is required to</w:t>
      </w:r>
      <w:r>
        <w:t xml:space="preserve"> be</w:t>
      </w:r>
      <w:r w:rsidRPr="00BE0FD8">
        <w:t xml:space="preserve"> “pass</w:t>
      </w:r>
      <w:r>
        <w:t>ed</w:t>
      </w:r>
      <w:r w:rsidRPr="00BE0FD8">
        <w:t>-through” to units of local government.</w:t>
      </w:r>
      <w:r>
        <w:t xml:space="preserve"> </w:t>
      </w:r>
      <w:r w:rsidRPr="00BE0FD8">
        <w:t xml:space="preserve"> This amount, a</w:t>
      </w:r>
      <w:r>
        <w:t>lso calculated by the Bureau of Justice Assistance (BJA)</w:t>
      </w:r>
      <w:r w:rsidRPr="00BE0FD8">
        <w:t xml:space="preserve">, </w:t>
      </w:r>
      <w:r>
        <w:t xml:space="preserve">Department of Justice (DOJ), </w:t>
      </w:r>
      <w:r w:rsidRPr="00BE0FD8">
        <w:t xml:space="preserve">is based on each </w:t>
      </w:r>
      <w:r>
        <w:t>S</w:t>
      </w:r>
      <w:r w:rsidRPr="00BE0FD8">
        <w:t xml:space="preserve">tate’s crime expenditures. </w:t>
      </w:r>
      <w:r>
        <w:t xml:space="preserve"> </w:t>
      </w:r>
      <w:r w:rsidRPr="00BE0FD8">
        <w:t xml:space="preserve">In addition, the formula calculates direct allocations for local governments within each </w:t>
      </w:r>
      <w:r>
        <w:t>S</w:t>
      </w:r>
      <w:r w:rsidRPr="00BE0FD8">
        <w:t xml:space="preserve">tate, based on their share of the total violent crime reported within the </w:t>
      </w:r>
      <w:r>
        <w:t>S</w:t>
      </w:r>
      <w:r w:rsidRPr="00BE0FD8">
        <w:t>tate.</w:t>
      </w:r>
      <w:r>
        <w:t xml:space="preserve"> </w:t>
      </w:r>
      <w:r w:rsidRPr="00BE0FD8">
        <w:t xml:space="preserve"> Local governments that are entitled to </w:t>
      </w:r>
      <w:r>
        <w:t xml:space="preserve">an award of </w:t>
      </w:r>
      <w:r w:rsidRPr="00BE0FD8">
        <w:t>at least $10,000 may apply directly to BJA for local JAG funds.</w:t>
      </w:r>
      <w:r>
        <w:rPr>
          <w:sz w:val="22"/>
          <w:szCs w:val="22"/>
        </w:rPr>
        <w:t xml:space="preserve">  </w:t>
      </w:r>
      <w:r>
        <w:rPr>
          <w:bCs/>
        </w:rPr>
        <w:t xml:space="preserve">The Bureau of Justice Statistics (BJS) Technical Report, which contains more information on the award calculation process, is available on the JAG web site at </w:t>
      </w:r>
      <w:hyperlink r:id="rId17" w:history="1">
        <w:r w:rsidRPr="009B7FAB">
          <w:rPr>
            <w:rStyle w:val="Hyperlink"/>
          </w:rPr>
          <w:t>https://www.bja.gov/Publications/JAGTechRpt.pdf</w:t>
        </w:r>
      </w:hyperlink>
      <w:r>
        <w:t>.</w:t>
      </w:r>
    </w:p>
    <w:p w:rsidR="000A7A8F" w:rsidRPr="00F15792" w:rsidRDefault="000A7A8F" w:rsidP="0081201C">
      <w:r w:rsidRPr="00F15792">
        <w:t>The S</w:t>
      </w:r>
      <w:r>
        <w:t>tate Administering Agency (S</w:t>
      </w:r>
      <w:r w:rsidRPr="00F15792">
        <w:t>AA</w:t>
      </w:r>
      <w:r>
        <w:t>)</w:t>
      </w:r>
      <w:r w:rsidRPr="0081201C">
        <w:t xml:space="preserve"> </w:t>
      </w:r>
      <w:r>
        <w:t xml:space="preserve">and units of local government </w:t>
      </w:r>
      <w:r w:rsidRPr="00F15792">
        <w:t xml:space="preserve">must make the grant application available for review to the governing body of the </w:t>
      </w:r>
      <w:r>
        <w:t>S</w:t>
      </w:r>
      <w:r w:rsidRPr="00F15792">
        <w:t xml:space="preserve">tate, or to an organization designated by that governing body, </w:t>
      </w:r>
      <w:r>
        <w:t xml:space="preserve">at least </w:t>
      </w:r>
      <w:r w:rsidRPr="00F15792">
        <w:t xml:space="preserve">30 days before the application is submitted to </w:t>
      </w:r>
      <w:r>
        <w:t>BJA</w:t>
      </w:r>
      <w:r w:rsidRPr="00F15792">
        <w:t>.</w:t>
      </w:r>
      <w:r>
        <w:t xml:space="preserve">  </w:t>
      </w:r>
      <w:r w:rsidRPr="00F15792">
        <w:t xml:space="preserve">Also, an SAA </w:t>
      </w:r>
      <w:r>
        <w:t>or local jurisdiction</w:t>
      </w:r>
      <w:r w:rsidRPr="00F15792">
        <w:t xml:space="preserve"> must provide an assurance that the application or any future amendment was made public and an opportunity to comment was provided to citizens and to neighborhood or community organizations to the extent applicable law or established procedure makes such an opportunity available.</w:t>
      </w:r>
      <w:r>
        <w:t xml:space="preserve"> </w:t>
      </w:r>
    </w:p>
    <w:p w:rsidR="000A7A8F" w:rsidRPr="00F15792" w:rsidRDefault="000A7A8F" w:rsidP="000A4C0F">
      <w:pPr>
        <w:rPr>
          <w:bCs/>
        </w:rPr>
      </w:pPr>
      <w:r w:rsidRPr="00F15792">
        <w:rPr>
          <w:bCs/>
        </w:rPr>
        <w:t>The SAA</w:t>
      </w:r>
      <w:r>
        <w:rPr>
          <w:bCs/>
        </w:rPr>
        <w:t xml:space="preserve"> and units of local government</w:t>
      </w:r>
      <w:r w:rsidRPr="00F15792">
        <w:rPr>
          <w:bCs/>
        </w:rPr>
        <w:t xml:space="preserve"> must establish a trust fund in which to deposit JAG funds</w:t>
      </w:r>
      <w:r>
        <w:rPr>
          <w:bCs/>
        </w:rPr>
        <w:t>; unless funds are being drawn-down on a reimbursement basis</w:t>
      </w:r>
      <w:r w:rsidRPr="00F15792">
        <w:rPr>
          <w:bCs/>
        </w:rPr>
        <w:t xml:space="preserve">. </w:t>
      </w:r>
      <w:r>
        <w:rPr>
          <w:bCs/>
        </w:rPr>
        <w:t xml:space="preserve"> </w:t>
      </w:r>
      <w:r w:rsidRPr="00F15792">
        <w:rPr>
          <w:bCs/>
        </w:rPr>
        <w:t xml:space="preserve">The trust fund </w:t>
      </w:r>
      <w:r>
        <w:rPr>
          <w:bCs/>
        </w:rPr>
        <w:t xml:space="preserve">is not required to </w:t>
      </w:r>
      <w:r w:rsidRPr="00F15792">
        <w:rPr>
          <w:bCs/>
        </w:rPr>
        <w:t>be an interest</w:t>
      </w:r>
      <w:r>
        <w:rPr>
          <w:bCs/>
        </w:rPr>
        <w:t>-</w:t>
      </w:r>
      <w:r w:rsidRPr="00F15792">
        <w:rPr>
          <w:bCs/>
        </w:rPr>
        <w:t xml:space="preserve">bearing account. </w:t>
      </w:r>
      <w:r>
        <w:rPr>
          <w:bCs/>
        </w:rPr>
        <w:t xml:space="preserve"> </w:t>
      </w:r>
      <w:r w:rsidRPr="00F15792">
        <w:rPr>
          <w:bCs/>
        </w:rPr>
        <w:t xml:space="preserve">The </w:t>
      </w:r>
      <w:r>
        <w:rPr>
          <w:bCs/>
        </w:rPr>
        <w:t>Office of Justice Programs (</w:t>
      </w:r>
      <w:r w:rsidRPr="00F15792">
        <w:rPr>
          <w:bCs/>
        </w:rPr>
        <w:t>OJP</w:t>
      </w:r>
      <w:r>
        <w:rPr>
          <w:bCs/>
        </w:rPr>
        <w:t>)</w:t>
      </w:r>
      <w:r w:rsidRPr="00F15792">
        <w:rPr>
          <w:bCs/>
        </w:rPr>
        <w:t xml:space="preserve"> Financial Guide, which contains information on allowable costs, methods of payment, audit requirements, accounting systems, and financial records, is available on the OJP web site at </w:t>
      </w:r>
      <w:hyperlink r:id="rId18" w:history="1">
        <w:r w:rsidRPr="00925E8B">
          <w:rPr>
            <w:rStyle w:val="Hyperlink"/>
            <w:bCs/>
          </w:rPr>
          <w:t>http://www.ojp.</w:t>
        </w:r>
        <w:r>
          <w:rPr>
            <w:rStyle w:val="Hyperlink"/>
            <w:bCs/>
          </w:rPr>
          <w:t>usdoj.</w:t>
        </w:r>
        <w:r w:rsidRPr="00925E8B">
          <w:rPr>
            <w:rStyle w:val="Hyperlink"/>
            <w:bCs/>
          </w:rPr>
          <w:t>gov/financialguide/</w:t>
        </w:r>
      </w:hyperlink>
      <w:r w:rsidRPr="00F15792">
        <w:rPr>
          <w:bCs/>
        </w:rPr>
        <w:t xml:space="preserve">. </w:t>
      </w:r>
      <w:r>
        <w:rPr>
          <w:bCs/>
        </w:rPr>
        <w:t xml:space="preserve"> </w:t>
      </w:r>
    </w:p>
    <w:p w:rsidR="000A7A8F" w:rsidRPr="00F15792" w:rsidRDefault="000A7A8F" w:rsidP="00E81FDA">
      <w:pPr>
        <w:keepNext/>
        <w:keepLines/>
        <w:outlineLvl w:val="0"/>
      </w:pPr>
      <w:r w:rsidRPr="00F15792">
        <w:rPr>
          <w:b/>
        </w:rPr>
        <w:lastRenderedPageBreak/>
        <w:t>Source of Governing Requirements</w:t>
      </w:r>
    </w:p>
    <w:p w:rsidR="000A7A8F" w:rsidRPr="00F15792" w:rsidRDefault="000A7A8F" w:rsidP="00E81FDA">
      <w:pPr>
        <w:keepNext/>
        <w:keepLines/>
      </w:pPr>
      <w:r>
        <w:t xml:space="preserve">Subpart 1, of </w:t>
      </w:r>
      <w:r w:rsidR="008B1B9C">
        <w:t>Part E of T</w:t>
      </w:r>
      <w:r w:rsidRPr="00F15792">
        <w:t>itle I of the Omnibus Crime Control and Safe Streets Act of 1968</w:t>
      </w:r>
      <w:r>
        <w:t>,</w:t>
      </w:r>
      <w:r w:rsidRPr="00F15792">
        <w:t xml:space="preserve"> as amended (42 USC 375</w:t>
      </w:r>
      <w:r>
        <w:t xml:space="preserve">0 through </w:t>
      </w:r>
      <w:r w:rsidRPr="00F15792">
        <w:t>375</w:t>
      </w:r>
      <w:r>
        <w:t>8</w:t>
      </w:r>
      <w:r w:rsidRPr="00F15792">
        <w:t xml:space="preserve">). </w:t>
      </w:r>
    </w:p>
    <w:p w:rsidR="000A7A8F" w:rsidRPr="00F15792" w:rsidRDefault="000A7A8F" w:rsidP="00257518">
      <w:pPr>
        <w:keepNext/>
        <w:keepLines/>
        <w:outlineLvl w:val="0"/>
      </w:pPr>
      <w:r w:rsidRPr="00F15792">
        <w:rPr>
          <w:b/>
        </w:rPr>
        <w:t>Availability of Other Program Information</w:t>
      </w:r>
    </w:p>
    <w:p w:rsidR="000A7A8F" w:rsidRPr="00F15792" w:rsidRDefault="000A7A8F" w:rsidP="00AB7A0A">
      <w:pPr>
        <w:keepNext/>
        <w:keepLines/>
      </w:pPr>
      <w:r w:rsidRPr="00F15792">
        <w:t>The BJA home page</w:t>
      </w:r>
      <w:r>
        <w:t xml:space="preserve"> at</w:t>
      </w:r>
      <w:r w:rsidRPr="00F15792">
        <w:t xml:space="preserve"> </w:t>
      </w:r>
      <w:hyperlink r:id="rId19" w:history="1">
        <w:r w:rsidRPr="00764005">
          <w:rPr>
            <w:rStyle w:val="Hyperlink"/>
          </w:rPr>
          <w:t>https://www.bja.gov/ProgramDetails.aspx?Program_ID=59</w:t>
        </w:r>
      </w:hyperlink>
      <w:r w:rsidRPr="00F15792">
        <w:t xml:space="preserve"> provides information on program </w:t>
      </w:r>
      <w:r>
        <w:t xml:space="preserve">statutes </w:t>
      </w:r>
      <w:r w:rsidRPr="00F15792">
        <w:t>and other general information about the program</w:t>
      </w:r>
      <w:r>
        <w:t>.</w:t>
      </w:r>
    </w:p>
    <w:p w:rsidR="000A7A8F" w:rsidRPr="00F15792" w:rsidRDefault="000A7A8F" w:rsidP="00257518">
      <w:pPr>
        <w:outlineLvl w:val="0"/>
      </w:pPr>
      <w:r w:rsidRPr="00F15792">
        <w:rPr>
          <w:b/>
        </w:rPr>
        <w:t>III.</w:t>
      </w:r>
      <w:r w:rsidRPr="00F15792">
        <w:rPr>
          <w:b/>
        </w:rPr>
        <w:tab/>
        <w:t>COMPLIANCE REQUIREMENTS</w:t>
      </w:r>
    </w:p>
    <w:p w:rsidR="000A7A8F" w:rsidRPr="00F15792" w:rsidRDefault="000A7A8F" w:rsidP="007D7527">
      <w:pPr>
        <w:rPr>
          <w:b/>
        </w:rPr>
      </w:pPr>
      <w:r w:rsidRPr="00F15792">
        <w:rPr>
          <w:b/>
        </w:rPr>
        <w:t>In developing the audit procedures to test compliance with the requirements for a Federal program, the auditor should first look to Part 2, Matrix of Compliance Requireme</w:t>
      </w:r>
      <w:r>
        <w:rPr>
          <w:b/>
        </w:rPr>
        <w:t>nts, to identify which of the 12</w:t>
      </w:r>
      <w:r w:rsidRPr="00F15792">
        <w:rPr>
          <w:b/>
        </w:rPr>
        <w:t xml:space="preserve"> types of compliance requirements described in Part 3 are applicable and then look to Parts 3 and 4 for the details of the requirements.</w:t>
      </w:r>
    </w:p>
    <w:p w:rsidR="000A7A8F" w:rsidRDefault="000A7A8F" w:rsidP="00D20BA4">
      <w:pPr>
        <w:ind w:left="720" w:hanging="720"/>
        <w:rPr>
          <w:b/>
        </w:rPr>
      </w:pPr>
      <w:r w:rsidRPr="00F15792">
        <w:rPr>
          <w:b/>
        </w:rPr>
        <w:t>A.</w:t>
      </w:r>
      <w:r>
        <w:rPr>
          <w:b/>
        </w:rPr>
        <w:tab/>
      </w:r>
      <w:r w:rsidRPr="00F15792">
        <w:rPr>
          <w:b/>
        </w:rPr>
        <w:t>Activities Allowed or Unallowed</w:t>
      </w:r>
      <w:r>
        <w:rPr>
          <w:b/>
        </w:rPr>
        <w:t xml:space="preserve"> </w:t>
      </w:r>
    </w:p>
    <w:p w:rsidR="000A7A8F" w:rsidRPr="00F15792" w:rsidRDefault="000A7A8F" w:rsidP="00DF7DBA">
      <w:pPr>
        <w:ind w:left="1440" w:hanging="720"/>
        <w:rPr>
          <w:rFonts w:cs="Arial"/>
          <w:szCs w:val="22"/>
        </w:rPr>
      </w:pPr>
      <w:r>
        <w:t>1.</w:t>
      </w:r>
      <w:r>
        <w:tab/>
      </w:r>
      <w:r w:rsidRPr="00F15792">
        <w:t xml:space="preserve">Use of funds </w:t>
      </w:r>
      <w:r>
        <w:t xml:space="preserve">is </w:t>
      </w:r>
      <w:r w:rsidRPr="00F15792">
        <w:t xml:space="preserve">restricted to the following broad </w:t>
      </w:r>
      <w:r>
        <w:t xml:space="preserve">program </w:t>
      </w:r>
      <w:r w:rsidRPr="00F15792">
        <w:t>areas:</w:t>
      </w:r>
      <w:r>
        <w:t xml:space="preserve"> (a) l</w:t>
      </w:r>
      <w:r w:rsidRPr="00F15792">
        <w:t>aw enforcement</w:t>
      </w:r>
      <w:r>
        <w:t>;</w:t>
      </w:r>
      <w:r w:rsidRPr="00F15792">
        <w:t xml:space="preserve"> </w:t>
      </w:r>
      <w:r>
        <w:t>(b) p</w:t>
      </w:r>
      <w:r w:rsidRPr="00F15792">
        <w:t>rosecution and court programs</w:t>
      </w:r>
      <w:r>
        <w:t>;</w:t>
      </w:r>
      <w:r w:rsidRPr="00F15792">
        <w:t xml:space="preserve"> </w:t>
      </w:r>
      <w:r>
        <w:t>(c) p</w:t>
      </w:r>
      <w:r w:rsidRPr="00F15792">
        <w:t>revention and education</w:t>
      </w:r>
      <w:r>
        <w:t>;</w:t>
      </w:r>
      <w:r w:rsidRPr="00F15792">
        <w:t xml:space="preserve"> </w:t>
      </w:r>
      <w:r>
        <w:t>(d) c</w:t>
      </w:r>
      <w:r w:rsidRPr="00F15792">
        <w:t>orrections and community corrections</w:t>
      </w:r>
      <w:r>
        <w:t>;</w:t>
      </w:r>
      <w:r w:rsidRPr="00F15792">
        <w:t xml:space="preserve"> </w:t>
      </w:r>
      <w:r>
        <w:t>(e) d</w:t>
      </w:r>
      <w:r w:rsidRPr="00F15792">
        <w:t>rug treatment</w:t>
      </w:r>
      <w:r>
        <w:t>;</w:t>
      </w:r>
      <w:r w:rsidRPr="00F15792">
        <w:t xml:space="preserve"> </w:t>
      </w:r>
      <w:r>
        <w:t>(f) p</w:t>
      </w:r>
      <w:r w:rsidRPr="00F15792">
        <w:t>lanning, evaluation, and technology improvement</w:t>
      </w:r>
      <w:r>
        <w:t>; and (f) c</w:t>
      </w:r>
      <w:r w:rsidRPr="00F15792">
        <w:rPr>
          <w:rFonts w:cs="Arial"/>
          <w:szCs w:val="22"/>
        </w:rPr>
        <w:t>rime victim and witness programs (other than compensation).</w:t>
      </w:r>
    </w:p>
    <w:p w:rsidR="000A7A8F" w:rsidRDefault="000A7A8F" w:rsidP="00F069AF">
      <w:pPr>
        <w:ind w:left="1440" w:hanging="720"/>
      </w:pPr>
      <w:r>
        <w:rPr>
          <w:rFonts w:cs="Arial"/>
          <w:szCs w:val="22"/>
        </w:rPr>
        <w:t>2.</w:t>
      </w:r>
      <w:r>
        <w:rPr>
          <w:rFonts w:cs="Arial"/>
          <w:szCs w:val="22"/>
        </w:rPr>
        <w:tab/>
      </w:r>
      <w:r w:rsidRPr="008E106A">
        <w:t xml:space="preserve">JAG funds cannot be used directly or indirectly for security enhancements or equipment </w:t>
      </w:r>
      <w:r>
        <w:t xml:space="preserve">used by </w:t>
      </w:r>
      <w:r w:rsidRPr="008E106A">
        <w:t>non</w:t>
      </w:r>
      <w:r>
        <w:t>-</w:t>
      </w:r>
      <w:r w:rsidRPr="008E106A">
        <w:t xml:space="preserve">governmental entities not engaged in criminal justice or public safety. </w:t>
      </w:r>
      <w:r>
        <w:t xml:space="preserve"> </w:t>
      </w:r>
    </w:p>
    <w:p w:rsidR="000A7A8F" w:rsidRPr="001302D0" w:rsidRDefault="000A7A8F" w:rsidP="00F069AF">
      <w:pPr>
        <w:ind w:left="1440" w:hanging="720"/>
      </w:pPr>
      <w:r>
        <w:t>3.</w:t>
      </w:r>
      <w:r>
        <w:tab/>
      </w:r>
      <w:r w:rsidRPr="008E106A">
        <w:t xml:space="preserve">Based on extraordinary and exigent circumstances making the use of funds essential, BJA may certify a </w:t>
      </w:r>
      <w:r>
        <w:t>S</w:t>
      </w:r>
      <w:r w:rsidRPr="008E106A">
        <w:t>tate</w:t>
      </w:r>
      <w:r>
        <w:t>’</w:t>
      </w:r>
      <w:r w:rsidRPr="008E106A">
        <w:t xml:space="preserve">s request to use funds for </w:t>
      </w:r>
      <w:r>
        <w:t>(a) v</w:t>
      </w:r>
      <w:r w:rsidRPr="008E106A">
        <w:t>ehicles</w:t>
      </w:r>
      <w:r>
        <w:t xml:space="preserve"> </w:t>
      </w:r>
      <w:r w:rsidRPr="00DC38BA">
        <w:t>(excluding police cruisers)</w:t>
      </w:r>
      <w:r w:rsidRPr="008E106A">
        <w:t>, vessels</w:t>
      </w:r>
      <w:r>
        <w:t xml:space="preserve"> </w:t>
      </w:r>
      <w:r w:rsidRPr="00DC38BA">
        <w:t>(excluding police boats)</w:t>
      </w:r>
      <w:r w:rsidRPr="008E106A">
        <w:t>, or aircraft</w:t>
      </w:r>
      <w:r>
        <w:t xml:space="preserve"> </w:t>
      </w:r>
      <w:r w:rsidRPr="00DC38BA">
        <w:t>(excluding police helicopters</w:t>
      </w:r>
      <w:r>
        <w:t>, but including Unmanned Aerial Systems</w:t>
      </w:r>
      <w:r w:rsidRPr="00DC38BA">
        <w:t>)</w:t>
      </w:r>
      <w:r>
        <w:t>; (b) l</w:t>
      </w:r>
      <w:r w:rsidRPr="008E106A">
        <w:t>uxury items</w:t>
      </w:r>
      <w:r>
        <w:t>; (c) r</w:t>
      </w:r>
      <w:r w:rsidRPr="008E106A">
        <w:t>eal estate</w:t>
      </w:r>
      <w:r>
        <w:t>; or (d) c</w:t>
      </w:r>
      <w:r w:rsidRPr="008E106A">
        <w:t xml:space="preserve">onstruction projects </w:t>
      </w:r>
      <w:r>
        <w:t>(</w:t>
      </w:r>
      <w:r w:rsidRPr="008E106A">
        <w:t>other than penal or correctional</w:t>
      </w:r>
      <w:r>
        <w:t xml:space="preserve"> </w:t>
      </w:r>
      <w:r w:rsidRPr="008E106A">
        <w:t>institutions</w:t>
      </w:r>
      <w:r>
        <w:t xml:space="preserve">) </w:t>
      </w:r>
      <w:r w:rsidRPr="001302D0">
        <w:t>(42 USC 3750 through 3759).</w:t>
      </w:r>
    </w:p>
    <w:p w:rsidR="000A7A8F" w:rsidRPr="00F15792" w:rsidRDefault="000A7A8F" w:rsidP="00257518">
      <w:pPr>
        <w:keepNext/>
        <w:keepLines/>
        <w:tabs>
          <w:tab w:val="left" w:pos="720"/>
        </w:tabs>
        <w:outlineLvl w:val="0"/>
      </w:pPr>
      <w:r w:rsidRPr="00F15792">
        <w:rPr>
          <w:b/>
        </w:rPr>
        <w:t>G.</w:t>
      </w:r>
      <w:r w:rsidRPr="00F15792">
        <w:rPr>
          <w:b/>
        </w:rPr>
        <w:tab/>
        <w:t>Matching, Level of Effort, Earmarking</w:t>
      </w:r>
    </w:p>
    <w:p w:rsidR="000A7A8F" w:rsidRPr="00F15792" w:rsidRDefault="000A7A8F" w:rsidP="00257518">
      <w:pPr>
        <w:keepNext/>
        <w:keepLines/>
        <w:ind w:left="1440" w:hanging="720"/>
        <w:outlineLvl w:val="0"/>
      </w:pPr>
      <w:r w:rsidRPr="00F15792">
        <w:rPr>
          <w:b/>
        </w:rPr>
        <w:t>1</w:t>
      </w:r>
      <w:r>
        <w:rPr>
          <w:b/>
        </w:rPr>
        <w:t>.</w:t>
      </w:r>
      <w:r w:rsidRPr="00F15792">
        <w:rPr>
          <w:b/>
        </w:rPr>
        <w:tab/>
        <w:t>Matching</w:t>
      </w:r>
    </w:p>
    <w:p w:rsidR="000A7A8F" w:rsidRPr="00F15792" w:rsidRDefault="000A7A8F" w:rsidP="007D7527">
      <w:pPr>
        <w:ind w:left="1440"/>
      </w:pPr>
      <w:r w:rsidRPr="00F15792">
        <w:t>There is no match</w:t>
      </w:r>
      <w:r>
        <w:t>ing</w:t>
      </w:r>
      <w:r w:rsidRPr="00F15792">
        <w:t xml:space="preserve"> require</w:t>
      </w:r>
      <w:r>
        <w:t>ment</w:t>
      </w:r>
      <w:r w:rsidRPr="00F15792">
        <w:t xml:space="preserve"> at the Federal level although States and units of local government may require match</w:t>
      </w:r>
      <w:r>
        <w:t>ing</w:t>
      </w:r>
      <w:r w:rsidRPr="00F15792">
        <w:t xml:space="preserve"> from subgrantees. </w:t>
      </w:r>
    </w:p>
    <w:p w:rsidR="000A7A8F" w:rsidRDefault="00045C96" w:rsidP="00257518">
      <w:pPr>
        <w:ind w:left="1440" w:hanging="720"/>
        <w:outlineLvl w:val="0"/>
      </w:pPr>
      <w:r>
        <w:rPr>
          <w:b/>
        </w:rPr>
        <w:t>2.</w:t>
      </w:r>
      <w:r w:rsidR="000A7A8F" w:rsidRPr="00F15792">
        <w:rPr>
          <w:b/>
        </w:rPr>
        <w:tab/>
        <w:t>Level of Effort</w:t>
      </w:r>
      <w:r w:rsidR="000A7A8F" w:rsidRPr="00F15792">
        <w:t xml:space="preserve"> </w:t>
      </w:r>
      <w:r w:rsidR="000A7A8F">
        <w:t>–</w:t>
      </w:r>
      <w:r w:rsidR="000A7A8F" w:rsidRPr="00F15792">
        <w:t xml:space="preserve"> Not Applicable</w:t>
      </w:r>
    </w:p>
    <w:p w:rsidR="000A7A8F" w:rsidRDefault="000A7A8F" w:rsidP="0059384B">
      <w:pPr>
        <w:ind w:left="1440" w:hanging="720"/>
        <w:outlineLvl w:val="0"/>
      </w:pPr>
      <w:bookmarkStart w:id="0" w:name="_GoBack"/>
      <w:bookmarkEnd w:id="0"/>
      <w:r w:rsidRPr="00F15792">
        <w:rPr>
          <w:b/>
        </w:rPr>
        <w:t>3.</w:t>
      </w:r>
      <w:r w:rsidRPr="00F15792">
        <w:rPr>
          <w:b/>
        </w:rPr>
        <w:tab/>
        <w:t xml:space="preserve">Earmarking – </w:t>
      </w:r>
      <w:r w:rsidRPr="00AB50E8">
        <w:t>A</w:t>
      </w:r>
      <w:r w:rsidRPr="00826A18">
        <w:t xml:space="preserve"> JAG grantee may use </w:t>
      </w:r>
      <w:r>
        <w:t>no more than</w:t>
      </w:r>
      <w:r w:rsidRPr="00826A18">
        <w:t xml:space="preserve"> 10 percent of the award, including interest, for costs associated with administering JAG funds</w:t>
      </w:r>
      <w:r>
        <w:t xml:space="preserve"> (42 USC 3751(e)</w:t>
      </w:r>
      <w:r w:rsidRPr="00826A18">
        <w:t>.</w:t>
      </w:r>
    </w:p>
    <w:p w:rsidR="000A7A8F" w:rsidRDefault="000A7A8F" w:rsidP="0059384B">
      <w:pPr>
        <w:tabs>
          <w:tab w:val="left" w:pos="720"/>
        </w:tabs>
        <w:rPr>
          <w:b/>
        </w:rPr>
      </w:pPr>
      <w:r>
        <w:rPr>
          <w:b/>
        </w:rPr>
        <w:lastRenderedPageBreak/>
        <w:t>L</w:t>
      </w:r>
      <w:r w:rsidRPr="00F15792">
        <w:rPr>
          <w:b/>
        </w:rPr>
        <w:t>.</w:t>
      </w:r>
      <w:r w:rsidRPr="00F15792">
        <w:rPr>
          <w:b/>
        </w:rPr>
        <w:tab/>
        <w:t>Reporting</w:t>
      </w:r>
    </w:p>
    <w:p w:rsidR="000A7A8F" w:rsidRPr="00F15792" w:rsidRDefault="000A7A8F" w:rsidP="00AB50E8">
      <w:pPr>
        <w:ind w:left="1440" w:hanging="720"/>
        <w:outlineLvl w:val="0"/>
      </w:pPr>
      <w:r w:rsidRPr="00F15792">
        <w:rPr>
          <w:b/>
        </w:rPr>
        <w:t>1.</w:t>
      </w:r>
      <w:r w:rsidRPr="00F15792">
        <w:rPr>
          <w:b/>
        </w:rPr>
        <w:tab/>
        <w:t>Financial Reporting</w:t>
      </w:r>
    </w:p>
    <w:p w:rsidR="000A7A8F" w:rsidRPr="00F15792" w:rsidRDefault="000A7A8F" w:rsidP="00AB50E8">
      <w:pPr>
        <w:ind w:left="2160" w:hanging="720"/>
      </w:pPr>
      <w:r w:rsidRPr="00F15792">
        <w:t>a.</w:t>
      </w:r>
      <w:r w:rsidRPr="00F15792">
        <w:tab/>
        <w:t xml:space="preserve">SF-270, </w:t>
      </w:r>
      <w:r w:rsidRPr="00F15792">
        <w:rPr>
          <w:i/>
        </w:rPr>
        <w:t>Request for Advance or Reimbursement</w:t>
      </w:r>
      <w:r w:rsidRPr="00F15792">
        <w:t xml:space="preserve"> </w:t>
      </w:r>
      <w:r>
        <w:t>–</w:t>
      </w:r>
      <w:r w:rsidRPr="00F15792">
        <w:t xml:space="preserve"> Not Applicable</w:t>
      </w:r>
    </w:p>
    <w:p w:rsidR="000A7A8F" w:rsidRPr="00F15792" w:rsidRDefault="000A7A8F" w:rsidP="00AB50E8">
      <w:pPr>
        <w:ind w:left="2160" w:hanging="720"/>
      </w:pPr>
      <w:r>
        <w:t>b</w:t>
      </w:r>
      <w:r w:rsidRPr="00F15792">
        <w:t>.</w:t>
      </w:r>
      <w:r w:rsidRPr="00F15792">
        <w:tab/>
        <w:t xml:space="preserve">SF-271, </w:t>
      </w:r>
      <w:r w:rsidRPr="00F15792">
        <w:rPr>
          <w:i/>
        </w:rPr>
        <w:t>Outlay Report and Request for Reimbursement for Construction Programs</w:t>
      </w:r>
      <w:r w:rsidRPr="00F15792">
        <w:t xml:space="preserve"> </w:t>
      </w:r>
      <w:r>
        <w:t>–</w:t>
      </w:r>
      <w:r w:rsidRPr="00F15792">
        <w:t xml:space="preserve"> Not Applicable</w:t>
      </w:r>
    </w:p>
    <w:p w:rsidR="000A7A8F" w:rsidRPr="00F15792" w:rsidRDefault="000A7A8F" w:rsidP="00AB50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720"/>
      </w:pPr>
      <w:r>
        <w:t>c.</w:t>
      </w:r>
      <w:r>
        <w:tab/>
      </w:r>
      <w:r w:rsidRPr="00876367">
        <w:t>SF-425</w:t>
      </w:r>
      <w:r>
        <w:rPr>
          <w:i/>
        </w:rPr>
        <w:t>, Federal Financial Repor</w:t>
      </w:r>
      <w:r w:rsidRPr="006A2E2B">
        <w:t xml:space="preserve">t </w:t>
      </w:r>
      <w:r>
        <w:t>–</w:t>
      </w:r>
      <w:r w:rsidRPr="006A2E2B">
        <w:t xml:space="preserve"> </w:t>
      </w:r>
      <w:r>
        <w:t>Applicable</w:t>
      </w:r>
    </w:p>
    <w:p w:rsidR="000A7A8F" w:rsidRPr="00F15792" w:rsidRDefault="000A7A8F" w:rsidP="00AB50E8">
      <w:pPr>
        <w:ind w:left="1440" w:hanging="720"/>
        <w:outlineLvl w:val="0"/>
      </w:pPr>
      <w:r w:rsidRPr="00F15792">
        <w:rPr>
          <w:b/>
        </w:rPr>
        <w:t>2.</w:t>
      </w:r>
      <w:r w:rsidRPr="00F15792">
        <w:rPr>
          <w:b/>
        </w:rPr>
        <w:tab/>
        <w:t>Performance Reporting</w:t>
      </w:r>
      <w:r w:rsidRPr="00F15792">
        <w:t xml:space="preserve"> </w:t>
      </w:r>
      <w:r>
        <w:t>–</w:t>
      </w:r>
      <w:r w:rsidRPr="00F15792">
        <w:t xml:space="preserve"> Not</w:t>
      </w:r>
      <w:r>
        <w:t xml:space="preserve"> </w:t>
      </w:r>
      <w:r w:rsidRPr="00F15792">
        <w:t>Applicable</w:t>
      </w:r>
    </w:p>
    <w:p w:rsidR="000A7A8F" w:rsidRDefault="000A7A8F" w:rsidP="00AB50E8">
      <w:pPr>
        <w:ind w:left="1440" w:hanging="720"/>
        <w:outlineLvl w:val="0"/>
      </w:pPr>
      <w:r w:rsidRPr="00F15792">
        <w:rPr>
          <w:b/>
        </w:rPr>
        <w:t>3.</w:t>
      </w:r>
      <w:r w:rsidRPr="00F15792">
        <w:rPr>
          <w:b/>
        </w:rPr>
        <w:tab/>
        <w:t>Special Reporting</w:t>
      </w:r>
      <w:r w:rsidRPr="00F15792">
        <w:t xml:space="preserve"> </w:t>
      </w:r>
      <w:r>
        <w:t>–</w:t>
      </w:r>
      <w:r w:rsidRPr="00F15792">
        <w:t xml:space="preserve"> Not Applicable</w:t>
      </w:r>
    </w:p>
    <w:p w:rsidR="000A7A8F" w:rsidRDefault="000A7A8F" w:rsidP="00AB50E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rPr>
      </w:pPr>
    </w:p>
    <w:p w:rsidR="00AC23F0" w:rsidRDefault="00AC23F0" w:rsidP="000A7A8F">
      <w:pPr>
        <w:tabs>
          <w:tab w:val="center" w:pos="4680"/>
        </w:tabs>
        <w:outlineLvl w:val="0"/>
      </w:pPr>
    </w:p>
    <w:p w:rsidR="000A7A8F" w:rsidRDefault="000A7A8F" w:rsidP="000A7A8F">
      <w:pPr>
        <w:tabs>
          <w:tab w:val="center" w:pos="4680"/>
        </w:tabs>
        <w:outlineLvl w:val="0"/>
      </w:pPr>
    </w:p>
    <w:p w:rsidR="000A7A8F" w:rsidRPr="004230CE" w:rsidRDefault="000A7A8F" w:rsidP="000A7A8F">
      <w:pPr>
        <w:tabs>
          <w:tab w:val="center" w:pos="4680"/>
        </w:tabs>
        <w:outlineLvl w:val="0"/>
      </w:pPr>
    </w:p>
    <w:sectPr w:rsidR="000A7A8F" w:rsidRPr="004230CE" w:rsidSect="004C73BC">
      <w:headerReference w:type="default"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262" w:rsidRDefault="007C0262">
      <w:r>
        <w:separator/>
      </w:r>
    </w:p>
  </w:endnote>
  <w:endnote w:type="continuationSeparator" w:id="0">
    <w:p w:rsidR="007C0262" w:rsidRDefault="007C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3D" w:rsidRDefault="00C47101">
    <w:pPr>
      <w:pBdr>
        <w:top w:val="single" w:sz="4" w:space="1" w:color="auto"/>
      </w:pBdr>
      <w:tabs>
        <w:tab w:val="center" w:pos="4680"/>
      </w:tabs>
      <w:rPr>
        <w:sz w:val="18"/>
      </w:rPr>
    </w:pPr>
    <w:r>
      <w:rPr>
        <w:sz w:val="18"/>
      </w:rPr>
      <w:t>Compliance Supplement</w:t>
    </w:r>
    <w:r>
      <w:rPr>
        <w:sz w:val="18"/>
      </w:rPr>
      <w:tab/>
      <w:t>4-16.7</w:t>
    </w:r>
    <w:r w:rsidR="00F21ED0">
      <w:rPr>
        <w:sz w:val="18"/>
      </w:rPr>
      <w:t>10</w:t>
    </w:r>
    <w:r>
      <w:rPr>
        <w:sz w:val="18"/>
      </w:rPr>
      <w:t>-</w:t>
    </w:r>
    <w:r w:rsidR="00A76693">
      <w:rPr>
        <w:sz w:val="18"/>
      </w:rPr>
      <w:fldChar w:fldCharType="begin"/>
    </w:r>
    <w:r>
      <w:rPr>
        <w:sz w:val="18"/>
      </w:rPr>
      <w:instrText xml:space="preserve">PAGE </w:instrText>
    </w:r>
    <w:r w:rsidR="00A76693">
      <w:rPr>
        <w:sz w:val="18"/>
      </w:rPr>
      <w:fldChar w:fldCharType="separate"/>
    </w:r>
    <w:r w:rsidR="00293599">
      <w:rPr>
        <w:noProof/>
        <w:sz w:val="18"/>
      </w:rPr>
      <w:t>6</w:t>
    </w:r>
    <w:r w:rsidR="00A76693">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8F" w:rsidRDefault="000A7A8F">
    <w:pPr>
      <w:pBdr>
        <w:top w:val="single" w:sz="4" w:space="1" w:color="auto"/>
      </w:pBdr>
      <w:tabs>
        <w:tab w:val="center" w:pos="4680"/>
      </w:tabs>
      <w:rPr>
        <w:sz w:val="18"/>
      </w:rPr>
    </w:pPr>
    <w:r>
      <w:rPr>
        <w:sz w:val="18"/>
      </w:rPr>
      <w:t>Compliance Supplement</w:t>
    </w:r>
    <w:r>
      <w:rPr>
        <w:sz w:val="18"/>
      </w:rPr>
      <w:tab/>
      <w:t>4-16.738-</w:t>
    </w:r>
    <w:r>
      <w:rPr>
        <w:sz w:val="18"/>
      </w:rPr>
      <w:fldChar w:fldCharType="begin"/>
    </w:r>
    <w:r>
      <w:rPr>
        <w:sz w:val="18"/>
      </w:rPr>
      <w:instrText xml:space="preserve">PAGE </w:instrText>
    </w:r>
    <w:r>
      <w:rPr>
        <w:sz w:val="18"/>
      </w:rPr>
      <w:fldChar w:fldCharType="separate"/>
    </w:r>
    <w:r w:rsidR="00293599">
      <w:rPr>
        <w:noProof/>
        <w:sz w:val="18"/>
      </w:rPr>
      <w:t>3</w:t>
    </w:r>
    <w:r>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262" w:rsidRDefault="007C0262">
      <w:r>
        <w:separator/>
      </w:r>
    </w:p>
  </w:footnote>
  <w:footnote w:type="continuationSeparator" w:id="0">
    <w:p w:rsidR="007C0262" w:rsidRDefault="007C0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3D" w:rsidRDefault="006F7A9A">
    <w:pPr>
      <w:pBdr>
        <w:bottom w:val="single" w:sz="4" w:space="1" w:color="auto"/>
      </w:pBdr>
      <w:tabs>
        <w:tab w:val="center" w:pos="4680"/>
        <w:tab w:val="right" w:pos="9360"/>
      </w:tabs>
      <w:rPr>
        <w:sz w:val="18"/>
      </w:rPr>
    </w:pPr>
    <w:r>
      <w:rPr>
        <w:sz w:val="18"/>
      </w:rPr>
      <w:t>June 2015</w:t>
    </w:r>
    <w:r w:rsidR="00C47101">
      <w:rPr>
        <w:sz w:val="18"/>
      </w:rPr>
      <w:tab/>
    </w:r>
    <w:r w:rsidR="00F21ED0">
      <w:rPr>
        <w:sz w:val="18"/>
      </w:rPr>
      <w:t>COPS</w:t>
    </w:r>
    <w:r w:rsidR="00C47101">
      <w:rPr>
        <w:sz w:val="18"/>
      </w:rPr>
      <w:tab/>
      <w:t>DOJ</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8F" w:rsidRDefault="006F7A9A">
    <w:pPr>
      <w:pBdr>
        <w:bottom w:val="single" w:sz="4" w:space="1" w:color="auto"/>
      </w:pBdr>
      <w:tabs>
        <w:tab w:val="center" w:pos="4680"/>
        <w:tab w:val="right" w:pos="9360"/>
      </w:tabs>
      <w:rPr>
        <w:sz w:val="18"/>
      </w:rPr>
    </w:pPr>
    <w:r>
      <w:rPr>
        <w:sz w:val="18"/>
      </w:rPr>
      <w:t>June 2015</w:t>
    </w:r>
    <w:r w:rsidR="000A7A8F">
      <w:rPr>
        <w:sz w:val="18"/>
      </w:rPr>
      <w:tab/>
      <w:t>JAG Program</w:t>
    </w:r>
    <w:r w:rsidR="000A7A8F">
      <w:rPr>
        <w:sz w:val="18"/>
      </w:rPr>
      <w:tab/>
      <w:t>DOJ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0"/>
    <w:lvl w:ilvl="0">
      <w:start w:val="1"/>
      <w:numFmt w:val="decimal"/>
      <w:pStyle w:val="Level1"/>
      <w:lvlText w:val="%1."/>
      <w:lvlJc w:val="left"/>
      <w:pPr>
        <w:tabs>
          <w:tab w:val="num" w:pos="720"/>
        </w:tabs>
        <w:ind w:left="720" w:hanging="720"/>
      </w:pPr>
      <w:rPr>
        <w:b/>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F35EDB"/>
    <w:multiLevelType w:val="singleLevel"/>
    <w:tmpl w:val="7EDC2D7C"/>
    <w:lvl w:ilvl="0">
      <w:start w:val="1"/>
      <w:numFmt w:val="bullet"/>
      <w:lvlText w:val=""/>
      <w:lvlJc w:val="left"/>
      <w:pPr>
        <w:tabs>
          <w:tab w:val="num" w:pos="720"/>
        </w:tabs>
        <w:ind w:left="720" w:hanging="360"/>
      </w:pPr>
      <w:rPr>
        <w:rFonts w:ascii="Wingdings 2" w:hAnsi="Wingdings 2" w:hint="default"/>
        <w:b w:val="0"/>
        <w:i w:val="0"/>
        <w:color w:val="auto"/>
        <w:sz w:val="19"/>
      </w:rPr>
    </w:lvl>
  </w:abstractNum>
  <w:abstractNum w:abstractNumId="2" w15:restartNumberingAfterBreak="0">
    <w:nsid w:val="05FD76DC"/>
    <w:multiLevelType w:val="hybridMultilevel"/>
    <w:tmpl w:val="41AE3A58"/>
    <w:lvl w:ilvl="0" w:tplc="E4DA405C">
      <w:start w:val="1"/>
      <w:numFmt w:val="lowerLetter"/>
      <w:lvlText w:val="%1."/>
      <w:lvlJc w:val="left"/>
      <w:pPr>
        <w:tabs>
          <w:tab w:val="num" w:pos="1800"/>
        </w:tabs>
        <w:ind w:left="1800" w:hanging="360"/>
      </w:pPr>
      <w:rPr>
        <w:rFonts w:hint="default"/>
      </w:rPr>
    </w:lvl>
    <w:lvl w:ilvl="1" w:tplc="A050A1F0">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2DB12DE"/>
    <w:multiLevelType w:val="hybridMultilevel"/>
    <w:tmpl w:val="BB00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86D14"/>
    <w:multiLevelType w:val="hybridMultilevel"/>
    <w:tmpl w:val="CF4893C2"/>
    <w:lvl w:ilvl="0" w:tplc="1920552C">
      <w:start w:val="6"/>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8091E19"/>
    <w:multiLevelType w:val="hybridMultilevel"/>
    <w:tmpl w:val="D4B6F0F4"/>
    <w:lvl w:ilvl="0" w:tplc="F0024276">
      <w:start w:val="1"/>
      <w:numFmt w:val="lowerLetter"/>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49CC8748">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8DB655F"/>
    <w:multiLevelType w:val="hybridMultilevel"/>
    <w:tmpl w:val="8356089A"/>
    <w:lvl w:ilvl="0" w:tplc="1A5A781E">
      <w:start w:val="1"/>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C647AFA"/>
    <w:multiLevelType w:val="hybridMultilevel"/>
    <w:tmpl w:val="E6FE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B061D"/>
    <w:multiLevelType w:val="hybridMultilevel"/>
    <w:tmpl w:val="C1D6DFFE"/>
    <w:lvl w:ilvl="0" w:tplc="EB5A9968">
      <w:start w:val="1"/>
      <w:numFmt w:val="lowerLetter"/>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0C42A5B"/>
    <w:multiLevelType w:val="hybridMultilevel"/>
    <w:tmpl w:val="AA34FF08"/>
    <w:lvl w:ilvl="0" w:tplc="657A5CEC">
      <w:start w:val="1"/>
      <w:numFmt w:val="lowerLetter"/>
      <w:lvlText w:val="%1."/>
      <w:lvlJc w:val="left"/>
      <w:pPr>
        <w:tabs>
          <w:tab w:val="num" w:pos="1080"/>
        </w:tabs>
        <w:ind w:left="1080" w:hanging="360"/>
      </w:pPr>
      <w:rPr>
        <w:rFonts w:hint="default"/>
      </w:rPr>
    </w:lvl>
    <w:lvl w:ilvl="1" w:tplc="67DA7DFC">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08935B4"/>
    <w:multiLevelType w:val="hybridMultilevel"/>
    <w:tmpl w:val="290ABC56"/>
    <w:lvl w:ilvl="0" w:tplc="0409000F">
      <w:start w:val="3"/>
      <w:numFmt w:val="decimal"/>
      <w:lvlText w:val="%1."/>
      <w:lvlJc w:val="left"/>
      <w:pPr>
        <w:tabs>
          <w:tab w:val="num" w:pos="720"/>
        </w:tabs>
        <w:ind w:left="720" w:hanging="360"/>
      </w:pPr>
      <w:rPr>
        <w:rFonts w:hint="default"/>
      </w:rPr>
    </w:lvl>
    <w:lvl w:ilvl="1" w:tplc="AA9A82E0">
      <w:start w:val="1"/>
      <w:numFmt w:val="lowerLetter"/>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74098E"/>
    <w:multiLevelType w:val="hybridMultilevel"/>
    <w:tmpl w:val="93441D4C"/>
    <w:lvl w:ilvl="0" w:tplc="A25C1D6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E6111AC"/>
    <w:multiLevelType w:val="hybridMultilevel"/>
    <w:tmpl w:val="40ECF96A"/>
    <w:lvl w:ilvl="0" w:tplc="CBF06C0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9"/>
  </w:num>
  <w:num w:numId="3">
    <w:abstractNumId w:val="5"/>
  </w:num>
  <w:num w:numId="4">
    <w:abstractNumId w:val="8"/>
  </w:num>
  <w:num w:numId="5">
    <w:abstractNumId w:val="11"/>
  </w:num>
  <w:num w:numId="6">
    <w:abstractNumId w:val="6"/>
  </w:num>
  <w:num w:numId="7">
    <w:abstractNumId w:val="12"/>
  </w:num>
  <w:num w:numId="8">
    <w:abstractNumId w:val="10"/>
  </w:num>
  <w:num w:numId="9">
    <w:abstractNumId w:val="4"/>
  </w:num>
  <w:num w:numId="10">
    <w:abstractNumId w:val="2"/>
  </w:num>
  <w:num w:numId="11">
    <w:abstractNumId w:val="1"/>
  </w:num>
  <w:num w:numId="12">
    <w:abstractNumId w:val="3"/>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61B9"/>
    <w:rsid w:val="000033C5"/>
    <w:rsid w:val="00016CC8"/>
    <w:rsid w:val="00016DF1"/>
    <w:rsid w:val="0002152A"/>
    <w:rsid w:val="00031F83"/>
    <w:rsid w:val="00036CD9"/>
    <w:rsid w:val="00045C96"/>
    <w:rsid w:val="000518FA"/>
    <w:rsid w:val="00064F92"/>
    <w:rsid w:val="00065DF4"/>
    <w:rsid w:val="0007385D"/>
    <w:rsid w:val="000822C0"/>
    <w:rsid w:val="00087BAE"/>
    <w:rsid w:val="00092AEA"/>
    <w:rsid w:val="000A1030"/>
    <w:rsid w:val="000A7A8F"/>
    <w:rsid w:val="000B10BD"/>
    <w:rsid w:val="000B5C0D"/>
    <w:rsid w:val="000C78F1"/>
    <w:rsid w:val="000D5495"/>
    <w:rsid w:val="000E3EF8"/>
    <w:rsid w:val="000E707E"/>
    <w:rsid w:val="00101BDD"/>
    <w:rsid w:val="00112409"/>
    <w:rsid w:val="00143C42"/>
    <w:rsid w:val="00144ED6"/>
    <w:rsid w:val="00153CB8"/>
    <w:rsid w:val="00160E38"/>
    <w:rsid w:val="0016673E"/>
    <w:rsid w:val="001870CB"/>
    <w:rsid w:val="001A2E2E"/>
    <w:rsid w:val="001B1586"/>
    <w:rsid w:val="001B1B02"/>
    <w:rsid w:val="001B5214"/>
    <w:rsid w:val="001C022D"/>
    <w:rsid w:val="001C36A3"/>
    <w:rsid w:val="001C438B"/>
    <w:rsid w:val="001C7275"/>
    <w:rsid w:val="001C7ACA"/>
    <w:rsid w:val="001F2BF1"/>
    <w:rsid w:val="001F7C81"/>
    <w:rsid w:val="00201B30"/>
    <w:rsid w:val="00214091"/>
    <w:rsid w:val="002154E4"/>
    <w:rsid w:val="00221176"/>
    <w:rsid w:val="00227FF3"/>
    <w:rsid w:val="00233683"/>
    <w:rsid w:val="00233839"/>
    <w:rsid w:val="00237D9A"/>
    <w:rsid w:val="002405B1"/>
    <w:rsid w:val="002479FE"/>
    <w:rsid w:val="002568D9"/>
    <w:rsid w:val="00257518"/>
    <w:rsid w:val="002724FD"/>
    <w:rsid w:val="00276E09"/>
    <w:rsid w:val="002807EA"/>
    <w:rsid w:val="00280E7F"/>
    <w:rsid w:val="0028125F"/>
    <w:rsid w:val="002824F3"/>
    <w:rsid w:val="00282729"/>
    <w:rsid w:val="00293599"/>
    <w:rsid w:val="0029666C"/>
    <w:rsid w:val="002A2008"/>
    <w:rsid w:val="002A316A"/>
    <w:rsid w:val="002B3D13"/>
    <w:rsid w:val="002C43FC"/>
    <w:rsid w:val="002C5847"/>
    <w:rsid w:val="002E4C7E"/>
    <w:rsid w:val="002F10A3"/>
    <w:rsid w:val="002F19F6"/>
    <w:rsid w:val="002F52DC"/>
    <w:rsid w:val="002F7BCA"/>
    <w:rsid w:val="00310A4A"/>
    <w:rsid w:val="003170B5"/>
    <w:rsid w:val="0032675C"/>
    <w:rsid w:val="0033023C"/>
    <w:rsid w:val="0033300C"/>
    <w:rsid w:val="00333AF1"/>
    <w:rsid w:val="003352F3"/>
    <w:rsid w:val="00363096"/>
    <w:rsid w:val="00366D89"/>
    <w:rsid w:val="00375DE2"/>
    <w:rsid w:val="0038085B"/>
    <w:rsid w:val="0038591B"/>
    <w:rsid w:val="00385FDA"/>
    <w:rsid w:val="00387E18"/>
    <w:rsid w:val="00391708"/>
    <w:rsid w:val="003A7DC6"/>
    <w:rsid w:val="003B464A"/>
    <w:rsid w:val="003B4AE0"/>
    <w:rsid w:val="003C1D4A"/>
    <w:rsid w:val="003D6B51"/>
    <w:rsid w:val="003D7052"/>
    <w:rsid w:val="003E218D"/>
    <w:rsid w:val="003F7535"/>
    <w:rsid w:val="004109AF"/>
    <w:rsid w:val="00414A9A"/>
    <w:rsid w:val="004230CE"/>
    <w:rsid w:val="00432CEC"/>
    <w:rsid w:val="00442626"/>
    <w:rsid w:val="00451F0B"/>
    <w:rsid w:val="00454F6F"/>
    <w:rsid w:val="0046051F"/>
    <w:rsid w:val="00461E85"/>
    <w:rsid w:val="00471901"/>
    <w:rsid w:val="00473FCC"/>
    <w:rsid w:val="00481338"/>
    <w:rsid w:val="00482B83"/>
    <w:rsid w:val="00482E86"/>
    <w:rsid w:val="00483285"/>
    <w:rsid w:val="00485B59"/>
    <w:rsid w:val="00485D39"/>
    <w:rsid w:val="00487F59"/>
    <w:rsid w:val="004A4364"/>
    <w:rsid w:val="004C6CB3"/>
    <w:rsid w:val="004C73BC"/>
    <w:rsid w:val="004D0300"/>
    <w:rsid w:val="004D2E51"/>
    <w:rsid w:val="004D6426"/>
    <w:rsid w:val="004E428E"/>
    <w:rsid w:val="004F23D0"/>
    <w:rsid w:val="004F5940"/>
    <w:rsid w:val="004F5DF1"/>
    <w:rsid w:val="005012C8"/>
    <w:rsid w:val="005057B1"/>
    <w:rsid w:val="00505939"/>
    <w:rsid w:val="00510199"/>
    <w:rsid w:val="005233D0"/>
    <w:rsid w:val="00524882"/>
    <w:rsid w:val="005260A6"/>
    <w:rsid w:val="00534FDC"/>
    <w:rsid w:val="00535AAC"/>
    <w:rsid w:val="0053744B"/>
    <w:rsid w:val="00537FA5"/>
    <w:rsid w:val="0054358C"/>
    <w:rsid w:val="005647E7"/>
    <w:rsid w:val="00586EFF"/>
    <w:rsid w:val="00594EE4"/>
    <w:rsid w:val="005963E8"/>
    <w:rsid w:val="005A1816"/>
    <w:rsid w:val="005A4D97"/>
    <w:rsid w:val="005B0EA4"/>
    <w:rsid w:val="005B29A3"/>
    <w:rsid w:val="005B46ED"/>
    <w:rsid w:val="005C069E"/>
    <w:rsid w:val="005D065E"/>
    <w:rsid w:val="005F5DD4"/>
    <w:rsid w:val="0061044E"/>
    <w:rsid w:val="00614E58"/>
    <w:rsid w:val="00622625"/>
    <w:rsid w:val="00624838"/>
    <w:rsid w:val="00640490"/>
    <w:rsid w:val="00641602"/>
    <w:rsid w:val="00674879"/>
    <w:rsid w:val="00675D18"/>
    <w:rsid w:val="00687D99"/>
    <w:rsid w:val="006922E3"/>
    <w:rsid w:val="006962A8"/>
    <w:rsid w:val="006A29A0"/>
    <w:rsid w:val="006A334A"/>
    <w:rsid w:val="006C1A5D"/>
    <w:rsid w:val="006C370C"/>
    <w:rsid w:val="006D5858"/>
    <w:rsid w:val="006D695C"/>
    <w:rsid w:val="006E040B"/>
    <w:rsid w:val="006E0E4E"/>
    <w:rsid w:val="006E4A5B"/>
    <w:rsid w:val="006E728F"/>
    <w:rsid w:val="006F5C1B"/>
    <w:rsid w:val="006F61B9"/>
    <w:rsid w:val="006F7A9A"/>
    <w:rsid w:val="006F7D60"/>
    <w:rsid w:val="007017E7"/>
    <w:rsid w:val="00702126"/>
    <w:rsid w:val="00702156"/>
    <w:rsid w:val="0070577A"/>
    <w:rsid w:val="00706136"/>
    <w:rsid w:val="007102DC"/>
    <w:rsid w:val="00710E5F"/>
    <w:rsid w:val="007358D7"/>
    <w:rsid w:val="00736706"/>
    <w:rsid w:val="007421C4"/>
    <w:rsid w:val="007464A8"/>
    <w:rsid w:val="007527D1"/>
    <w:rsid w:val="0075707A"/>
    <w:rsid w:val="00772791"/>
    <w:rsid w:val="00775300"/>
    <w:rsid w:val="00784315"/>
    <w:rsid w:val="00787B34"/>
    <w:rsid w:val="0079584D"/>
    <w:rsid w:val="00796185"/>
    <w:rsid w:val="007A0B49"/>
    <w:rsid w:val="007A32E7"/>
    <w:rsid w:val="007A5B9C"/>
    <w:rsid w:val="007A6087"/>
    <w:rsid w:val="007B107C"/>
    <w:rsid w:val="007B2D55"/>
    <w:rsid w:val="007B6E7C"/>
    <w:rsid w:val="007C0262"/>
    <w:rsid w:val="007C6B66"/>
    <w:rsid w:val="007D0BB0"/>
    <w:rsid w:val="007D35A3"/>
    <w:rsid w:val="007F3CA1"/>
    <w:rsid w:val="007F76D9"/>
    <w:rsid w:val="00802CD5"/>
    <w:rsid w:val="008100BF"/>
    <w:rsid w:val="008169F6"/>
    <w:rsid w:val="008206EF"/>
    <w:rsid w:val="0082218C"/>
    <w:rsid w:val="0082552B"/>
    <w:rsid w:val="0082701F"/>
    <w:rsid w:val="008327ED"/>
    <w:rsid w:val="008367E9"/>
    <w:rsid w:val="00837F4B"/>
    <w:rsid w:val="00840D55"/>
    <w:rsid w:val="00840F1B"/>
    <w:rsid w:val="00842246"/>
    <w:rsid w:val="0084388D"/>
    <w:rsid w:val="0085135B"/>
    <w:rsid w:val="008513E9"/>
    <w:rsid w:val="00853367"/>
    <w:rsid w:val="008626CC"/>
    <w:rsid w:val="00864B6E"/>
    <w:rsid w:val="008673D7"/>
    <w:rsid w:val="008678D1"/>
    <w:rsid w:val="00880162"/>
    <w:rsid w:val="008B0DC0"/>
    <w:rsid w:val="008B16B4"/>
    <w:rsid w:val="008B1B9C"/>
    <w:rsid w:val="008B7473"/>
    <w:rsid w:val="008C4406"/>
    <w:rsid w:val="008D0513"/>
    <w:rsid w:val="008D061C"/>
    <w:rsid w:val="008D0BAE"/>
    <w:rsid w:val="008D2DCF"/>
    <w:rsid w:val="008E107F"/>
    <w:rsid w:val="008E2287"/>
    <w:rsid w:val="008F0260"/>
    <w:rsid w:val="008F2B1F"/>
    <w:rsid w:val="00900A8E"/>
    <w:rsid w:val="00901A4D"/>
    <w:rsid w:val="0090449E"/>
    <w:rsid w:val="00912A32"/>
    <w:rsid w:val="00915DCF"/>
    <w:rsid w:val="00916631"/>
    <w:rsid w:val="00917B92"/>
    <w:rsid w:val="00923C5C"/>
    <w:rsid w:val="00946AA0"/>
    <w:rsid w:val="00957B2B"/>
    <w:rsid w:val="0096244B"/>
    <w:rsid w:val="0096503A"/>
    <w:rsid w:val="00965115"/>
    <w:rsid w:val="00974416"/>
    <w:rsid w:val="00977AAB"/>
    <w:rsid w:val="00982229"/>
    <w:rsid w:val="00997D2B"/>
    <w:rsid w:val="009B4796"/>
    <w:rsid w:val="009D713C"/>
    <w:rsid w:val="009E4DC5"/>
    <w:rsid w:val="009E4EAC"/>
    <w:rsid w:val="009F1900"/>
    <w:rsid w:val="009F4D9E"/>
    <w:rsid w:val="00A04401"/>
    <w:rsid w:val="00A04DD0"/>
    <w:rsid w:val="00A05514"/>
    <w:rsid w:val="00A07848"/>
    <w:rsid w:val="00A111A8"/>
    <w:rsid w:val="00A1463B"/>
    <w:rsid w:val="00A15FC4"/>
    <w:rsid w:val="00A173EF"/>
    <w:rsid w:val="00A242B4"/>
    <w:rsid w:val="00A25A3F"/>
    <w:rsid w:val="00A302EB"/>
    <w:rsid w:val="00A32B82"/>
    <w:rsid w:val="00A33120"/>
    <w:rsid w:val="00A338F6"/>
    <w:rsid w:val="00A41C15"/>
    <w:rsid w:val="00A446DE"/>
    <w:rsid w:val="00A45417"/>
    <w:rsid w:val="00A46751"/>
    <w:rsid w:val="00A50E50"/>
    <w:rsid w:val="00A54264"/>
    <w:rsid w:val="00A6499C"/>
    <w:rsid w:val="00A76693"/>
    <w:rsid w:val="00A82F65"/>
    <w:rsid w:val="00A85044"/>
    <w:rsid w:val="00A91165"/>
    <w:rsid w:val="00A91624"/>
    <w:rsid w:val="00A91F68"/>
    <w:rsid w:val="00AA4C1C"/>
    <w:rsid w:val="00AA68F8"/>
    <w:rsid w:val="00AB0E05"/>
    <w:rsid w:val="00AB3519"/>
    <w:rsid w:val="00AC23F0"/>
    <w:rsid w:val="00AC524D"/>
    <w:rsid w:val="00AC560D"/>
    <w:rsid w:val="00AD0984"/>
    <w:rsid w:val="00AE11A6"/>
    <w:rsid w:val="00AE7733"/>
    <w:rsid w:val="00AF0121"/>
    <w:rsid w:val="00B07D8E"/>
    <w:rsid w:val="00B21177"/>
    <w:rsid w:val="00B22424"/>
    <w:rsid w:val="00B23D06"/>
    <w:rsid w:val="00B304E5"/>
    <w:rsid w:val="00B35253"/>
    <w:rsid w:val="00B354B6"/>
    <w:rsid w:val="00B41B39"/>
    <w:rsid w:val="00B62447"/>
    <w:rsid w:val="00B700FA"/>
    <w:rsid w:val="00B719B4"/>
    <w:rsid w:val="00B771BC"/>
    <w:rsid w:val="00B77BE5"/>
    <w:rsid w:val="00B835DD"/>
    <w:rsid w:val="00B92234"/>
    <w:rsid w:val="00B9485D"/>
    <w:rsid w:val="00B969D5"/>
    <w:rsid w:val="00BB1844"/>
    <w:rsid w:val="00BC6EAA"/>
    <w:rsid w:val="00BE1775"/>
    <w:rsid w:val="00BE35E1"/>
    <w:rsid w:val="00BE3AFF"/>
    <w:rsid w:val="00BE40A7"/>
    <w:rsid w:val="00BE4385"/>
    <w:rsid w:val="00BE5973"/>
    <w:rsid w:val="00BE70A0"/>
    <w:rsid w:val="00BF46FB"/>
    <w:rsid w:val="00BF7DC9"/>
    <w:rsid w:val="00C05749"/>
    <w:rsid w:val="00C12070"/>
    <w:rsid w:val="00C12549"/>
    <w:rsid w:val="00C126E8"/>
    <w:rsid w:val="00C16392"/>
    <w:rsid w:val="00C20008"/>
    <w:rsid w:val="00C34DA5"/>
    <w:rsid w:val="00C46593"/>
    <w:rsid w:val="00C47101"/>
    <w:rsid w:val="00C53450"/>
    <w:rsid w:val="00C551D4"/>
    <w:rsid w:val="00C57F98"/>
    <w:rsid w:val="00C6525C"/>
    <w:rsid w:val="00C731DB"/>
    <w:rsid w:val="00C75459"/>
    <w:rsid w:val="00C76B57"/>
    <w:rsid w:val="00C7709B"/>
    <w:rsid w:val="00C778FF"/>
    <w:rsid w:val="00C80226"/>
    <w:rsid w:val="00C83597"/>
    <w:rsid w:val="00C87844"/>
    <w:rsid w:val="00C911B5"/>
    <w:rsid w:val="00CA272A"/>
    <w:rsid w:val="00CA45B7"/>
    <w:rsid w:val="00CA6882"/>
    <w:rsid w:val="00CB06F9"/>
    <w:rsid w:val="00CC2255"/>
    <w:rsid w:val="00CC74CF"/>
    <w:rsid w:val="00CD277B"/>
    <w:rsid w:val="00CD27EB"/>
    <w:rsid w:val="00CE4016"/>
    <w:rsid w:val="00CE4DDC"/>
    <w:rsid w:val="00CE6B2D"/>
    <w:rsid w:val="00CF03EC"/>
    <w:rsid w:val="00CF16C9"/>
    <w:rsid w:val="00CF1AEE"/>
    <w:rsid w:val="00CF74BC"/>
    <w:rsid w:val="00CF778C"/>
    <w:rsid w:val="00D01237"/>
    <w:rsid w:val="00D044CC"/>
    <w:rsid w:val="00D228AD"/>
    <w:rsid w:val="00D31C68"/>
    <w:rsid w:val="00D3476F"/>
    <w:rsid w:val="00D520F5"/>
    <w:rsid w:val="00D534CF"/>
    <w:rsid w:val="00D619CA"/>
    <w:rsid w:val="00D61D58"/>
    <w:rsid w:val="00D77ADA"/>
    <w:rsid w:val="00D82803"/>
    <w:rsid w:val="00D8674C"/>
    <w:rsid w:val="00DA042A"/>
    <w:rsid w:val="00DA49EF"/>
    <w:rsid w:val="00DA6883"/>
    <w:rsid w:val="00DB35FB"/>
    <w:rsid w:val="00DC02E1"/>
    <w:rsid w:val="00DD443E"/>
    <w:rsid w:val="00DF213E"/>
    <w:rsid w:val="00DF2F28"/>
    <w:rsid w:val="00DF3EBB"/>
    <w:rsid w:val="00E10520"/>
    <w:rsid w:val="00E17329"/>
    <w:rsid w:val="00E23001"/>
    <w:rsid w:val="00E2334B"/>
    <w:rsid w:val="00E27C0A"/>
    <w:rsid w:val="00E33234"/>
    <w:rsid w:val="00E41C62"/>
    <w:rsid w:val="00E666A7"/>
    <w:rsid w:val="00E73C78"/>
    <w:rsid w:val="00E74A40"/>
    <w:rsid w:val="00E764A4"/>
    <w:rsid w:val="00E770A3"/>
    <w:rsid w:val="00E817B7"/>
    <w:rsid w:val="00E85A15"/>
    <w:rsid w:val="00E87098"/>
    <w:rsid w:val="00E90FC3"/>
    <w:rsid w:val="00E91A34"/>
    <w:rsid w:val="00E937ED"/>
    <w:rsid w:val="00EA62A8"/>
    <w:rsid w:val="00EB1BE3"/>
    <w:rsid w:val="00EB36AE"/>
    <w:rsid w:val="00EB6796"/>
    <w:rsid w:val="00EC50DB"/>
    <w:rsid w:val="00EC5663"/>
    <w:rsid w:val="00ED0D9C"/>
    <w:rsid w:val="00ED3F2E"/>
    <w:rsid w:val="00ED7820"/>
    <w:rsid w:val="00EE78A5"/>
    <w:rsid w:val="00EF0D41"/>
    <w:rsid w:val="00F101E3"/>
    <w:rsid w:val="00F134AA"/>
    <w:rsid w:val="00F14CCD"/>
    <w:rsid w:val="00F2190B"/>
    <w:rsid w:val="00F21ED0"/>
    <w:rsid w:val="00F37DA8"/>
    <w:rsid w:val="00F40C2E"/>
    <w:rsid w:val="00F4775D"/>
    <w:rsid w:val="00F51073"/>
    <w:rsid w:val="00F5703F"/>
    <w:rsid w:val="00FA0D2D"/>
    <w:rsid w:val="00FB0BE5"/>
    <w:rsid w:val="00FB1E6A"/>
    <w:rsid w:val="00FC0C15"/>
    <w:rsid w:val="00FC6A46"/>
    <w:rsid w:val="00FD142A"/>
    <w:rsid w:val="00FD52F1"/>
    <w:rsid w:val="00FF0088"/>
    <w:rsid w:val="00FF2869"/>
    <w:rsid w:val="00F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8A20A6-9F7F-4037-AD9C-57C97130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796"/>
    <w:pPr>
      <w:spacing w:after="240"/>
    </w:pPr>
    <w:rPr>
      <w:sz w:val="24"/>
      <w:szCs w:val="24"/>
    </w:rPr>
  </w:style>
  <w:style w:type="paragraph" w:styleId="Heading1">
    <w:name w:val="heading 1"/>
    <w:basedOn w:val="Normal"/>
    <w:next w:val="Normal"/>
    <w:qFormat/>
    <w:rsid w:val="009B4796"/>
    <w:pPr>
      <w:keepNext/>
      <w:keepLines/>
      <w:tabs>
        <w:tab w:val="left" w:pos="1440"/>
        <w:tab w:val="right" w:leader="dot" w:pos="9360"/>
      </w:tabs>
      <w:autoSpaceDE w:val="0"/>
      <w:autoSpaceDN w:val="0"/>
      <w:adjustRightInd w:val="0"/>
      <w:ind w:firstLine="720"/>
      <w:outlineLvl w:val="0"/>
    </w:pPr>
  </w:style>
  <w:style w:type="paragraph" w:styleId="Heading2">
    <w:name w:val="heading 2"/>
    <w:basedOn w:val="Normal"/>
    <w:next w:val="Normal"/>
    <w:qFormat/>
    <w:rsid w:val="009B4796"/>
    <w:pPr>
      <w:keepNext/>
      <w:keepLines/>
      <w:tabs>
        <w:tab w:val="right" w:leader="dot" w:pos="9360"/>
      </w:tabs>
      <w:autoSpaceDE w:val="0"/>
      <w:autoSpaceDN w:val="0"/>
      <w:adjustRightInd w:val="0"/>
      <w:ind w:firstLine="2160"/>
      <w:outlineLvl w:val="1"/>
    </w:pPr>
  </w:style>
  <w:style w:type="paragraph" w:styleId="Heading3">
    <w:name w:val="heading 3"/>
    <w:basedOn w:val="Normal"/>
    <w:next w:val="Normal"/>
    <w:qFormat/>
    <w:rsid w:val="009B4796"/>
    <w:pPr>
      <w:keepNext/>
      <w:widowControl w:val="0"/>
      <w:autoSpaceDE w:val="0"/>
      <w:autoSpaceDN w:val="0"/>
      <w:adjustRightInd w:val="0"/>
      <w:spacing w:line="200" w:lineRule="exact"/>
      <w:jc w:val="center"/>
      <w:outlineLvl w:val="2"/>
    </w:pPr>
    <w:rPr>
      <w:sz w:val="20"/>
      <w:szCs w:val="20"/>
    </w:rPr>
  </w:style>
  <w:style w:type="paragraph" w:styleId="Heading4">
    <w:name w:val="heading 4"/>
    <w:basedOn w:val="Normal"/>
    <w:next w:val="Normal"/>
    <w:qFormat/>
    <w:rsid w:val="009B4796"/>
    <w:pPr>
      <w:keepNext/>
      <w:tabs>
        <w:tab w:val="center" w:pos="4680"/>
      </w:tabs>
      <w:autoSpaceDE w:val="0"/>
      <w:autoSpaceDN w:val="0"/>
      <w:adjustRightInd w:val="0"/>
      <w:jc w:val="center"/>
      <w:outlineLvl w:val="3"/>
    </w:pPr>
    <w:rPr>
      <w:b/>
      <w:bCs/>
    </w:rPr>
  </w:style>
  <w:style w:type="paragraph" w:styleId="Heading5">
    <w:name w:val="heading 5"/>
    <w:basedOn w:val="Normal"/>
    <w:next w:val="Normal"/>
    <w:qFormat/>
    <w:rsid w:val="009B4796"/>
    <w:pPr>
      <w:keepNext/>
      <w:outlineLvl w:val="4"/>
    </w:pPr>
    <w:rPr>
      <w:szCs w:val="20"/>
    </w:rPr>
  </w:style>
  <w:style w:type="paragraph" w:styleId="Heading6">
    <w:name w:val="heading 6"/>
    <w:basedOn w:val="Normal"/>
    <w:next w:val="Normal"/>
    <w:qFormat/>
    <w:rsid w:val="009B4796"/>
    <w:pPr>
      <w:keepNext/>
      <w:ind w:left="720"/>
      <w:outlineLvl w:val="5"/>
    </w:pPr>
    <w:rPr>
      <w:i/>
      <w:szCs w:val="20"/>
    </w:rPr>
  </w:style>
  <w:style w:type="paragraph" w:styleId="Heading7">
    <w:name w:val="heading 7"/>
    <w:basedOn w:val="Normal"/>
    <w:next w:val="Normal"/>
    <w:qFormat/>
    <w:rsid w:val="009B4796"/>
    <w:pPr>
      <w:keepNext/>
      <w:tabs>
        <w:tab w:val="left" w:pos="-1440"/>
      </w:tabs>
      <w:outlineLvl w:val="6"/>
    </w:pPr>
    <w:rPr>
      <w:i/>
      <w:iCs/>
      <w:szCs w:val="20"/>
    </w:rPr>
  </w:style>
  <w:style w:type="paragraph" w:styleId="Heading8">
    <w:name w:val="heading 8"/>
    <w:basedOn w:val="Normal"/>
    <w:next w:val="Normal"/>
    <w:qFormat/>
    <w:rsid w:val="009B4796"/>
    <w:pPr>
      <w:keepNext/>
      <w:keepLines/>
      <w:pBdr>
        <w:top w:val="single" w:sz="6" w:space="0" w:color="FFFFFF"/>
        <w:left w:val="single" w:sz="6" w:space="0" w:color="FFFFFF"/>
        <w:bottom w:val="single" w:sz="6" w:space="0" w:color="FFFFFF"/>
        <w:right w:val="single" w:sz="6" w:space="0" w:color="FFFFFF"/>
      </w:pBdr>
      <w:autoSpaceDE w:val="0"/>
      <w:autoSpaceDN w:val="0"/>
      <w:adjustRightInd w:val="0"/>
      <w:outlineLvl w:val="7"/>
    </w:pPr>
    <w:rPr>
      <w:b/>
      <w:bCs/>
    </w:rPr>
  </w:style>
  <w:style w:type="paragraph" w:styleId="Heading9">
    <w:name w:val="heading 9"/>
    <w:basedOn w:val="Normal"/>
    <w:next w:val="Normal"/>
    <w:qFormat/>
    <w:rsid w:val="009B4796"/>
    <w:pPr>
      <w:keepNext/>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4796"/>
    <w:rPr>
      <w:color w:val="0000FF"/>
      <w:u w:val="single"/>
    </w:rPr>
  </w:style>
  <w:style w:type="paragraph" w:styleId="BalloonText">
    <w:name w:val="Balloon Text"/>
    <w:basedOn w:val="Normal"/>
    <w:semiHidden/>
    <w:rsid w:val="009B4796"/>
    <w:pPr>
      <w:widowControl w:val="0"/>
      <w:autoSpaceDE w:val="0"/>
      <w:autoSpaceDN w:val="0"/>
      <w:adjustRightInd w:val="0"/>
    </w:pPr>
    <w:rPr>
      <w:rFonts w:ascii="Tahoma" w:hAnsi="Tahoma" w:cs="Tahoma"/>
      <w:sz w:val="16"/>
      <w:szCs w:val="16"/>
    </w:rPr>
  </w:style>
  <w:style w:type="character" w:customStyle="1" w:styleId="TEST2">
    <w:name w:val="TEST2"/>
    <w:rsid w:val="009B4796"/>
    <w:rPr>
      <w:b/>
      <w:bCs/>
      <w:sz w:val="30"/>
      <w:szCs w:val="30"/>
    </w:rPr>
  </w:style>
  <w:style w:type="character" w:customStyle="1" w:styleId="CS-2">
    <w:name w:val="CS-2"/>
    <w:rsid w:val="009B4796"/>
    <w:rPr>
      <w:b/>
      <w:bCs/>
    </w:rPr>
  </w:style>
  <w:style w:type="paragraph" w:customStyle="1" w:styleId="Level1">
    <w:name w:val="Level 1"/>
    <w:basedOn w:val="Normal"/>
    <w:rsid w:val="009B4796"/>
    <w:pPr>
      <w:widowControl w:val="0"/>
      <w:numPr>
        <w:numId w:val="1"/>
      </w:numPr>
      <w:autoSpaceDE w:val="0"/>
      <w:autoSpaceDN w:val="0"/>
      <w:adjustRightInd w:val="0"/>
      <w:ind w:left="720" w:hanging="720"/>
      <w:outlineLvl w:val="0"/>
    </w:pPr>
  </w:style>
  <w:style w:type="paragraph" w:customStyle="1" w:styleId="Bullet1">
    <w:name w:val="Bullet 1"/>
    <w:basedOn w:val="Normal"/>
    <w:rsid w:val="009B4796"/>
    <w:pPr>
      <w:tabs>
        <w:tab w:val="num" w:pos="720"/>
      </w:tabs>
      <w:ind w:left="720" w:hanging="360"/>
    </w:pPr>
    <w:rPr>
      <w:szCs w:val="20"/>
    </w:rPr>
  </w:style>
  <w:style w:type="paragraph" w:styleId="BodyTextIndent">
    <w:name w:val="Body Text Indent"/>
    <w:basedOn w:val="Normal"/>
    <w:rsid w:val="009B4796"/>
    <w:pPr>
      <w:tabs>
        <w:tab w:val="right" w:leader="dot" w:pos="9360"/>
      </w:tabs>
      <w:autoSpaceDE w:val="0"/>
      <w:autoSpaceDN w:val="0"/>
      <w:adjustRightInd w:val="0"/>
      <w:ind w:left="2340" w:firstLine="720"/>
    </w:pPr>
  </w:style>
  <w:style w:type="paragraph" w:styleId="BodyTextIndent3">
    <w:name w:val="Body Text Indent 3"/>
    <w:basedOn w:val="Normal"/>
    <w:rsid w:val="009B4796"/>
    <w:pPr>
      <w:tabs>
        <w:tab w:val="left" w:pos="8460"/>
      </w:tabs>
      <w:autoSpaceDE w:val="0"/>
      <w:autoSpaceDN w:val="0"/>
      <w:adjustRightInd w:val="0"/>
      <w:ind w:left="2340" w:hanging="900"/>
    </w:pPr>
  </w:style>
  <w:style w:type="paragraph" w:styleId="BodyTextIndent2">
    <w:name w:val="Body Text Indent 2"/>
    <w:basedOn w:val="Normal"/>
    <w:rsid w:val="009B4796"/>
    <w:pPr>
      <w:autoSpaceDE w:val="0"/>
      <w:autoSpaceDN w:val="0"/>
      <w:adjustRightInd w:val="0"/>
      <w:ind w:left="2160" w:hanging="720"/>
    </w:pPr>
  </w:style>
  <w:style w:type="paragraph" w:styleId="Header">
    <w:name w:val="header"/>
    <w:basedOn w:val="Normal"/>
    <w:rsid w:val="009B4796"/>
    <w:pPr>
      <w:widowControl w:val="0"/>
      <w:tabs>
        <w:tab w:val="center" w:pos="4320"/>
        <w:tab w:val="right" w:pos="8640"/>
      </w:tabs>
      <w:autoSpaceDE w:val="0"/>
      <w:autoSpaceDN w:val="0"/>
      <w:adjustRightInd w:val="0"/>
    </w:pPr>
  </w:style>
  <w:style w:type="paragraph" w:styleId="BodyText">
    <w:name w:val="Body Text"/>
    <w:basedOn w:val="Normal"/>
    <w:rsid w:val="009B4796"/>
  </w:style>
  <w:style w:type="paragraph" w:styleId="ListBullet3">
    <w:name w:val="List Bullet 3"/>
    <w:basedOn w:val="Normal"/>
    <w:autoRedefine/>
    <w:rsid w:val="009B4796"/>
    <w:pPr>
      <w:widowControl w:val="0"/>
      <w:tabs>
        <w:tab w:val="num" w:pos="1080"/>
      </w:tabs>
      <w:autoSpaceDE w:val="0"/>
      <w:autoSpaceDN w:val="0"/>
      <w:adjustRightInd w:val="0"/>
      <w:ind w:left="1080" w:hanging="360"/>
    </w:pPr>
  </w:style>
  <w:style w:type="paragraph" w:styleId="ListBullet2">
    <w:name w:val="List Bullet 2"/>
    <w:basedOn w:val="Normal"/>
    <w:autoRedefine/>
    <w:rsid w:val="009B4796"/>
    <w:pPr>
      <w:keepNext/>
      <w:keepLines/>
      <w:autoSpaceDE w:val="0"/>
      <w:autoSpaceDN w:val="0"/>
      <w:adjustRightInd w:val="0"/>
      <w:ind w:left="3600" w:hanging="720"/>
    </w:pPr>
  </w:style>
  <w:style w:type="character" w:styleId="Strong">
    <w:name w:val="Strong"/>
    <w:basedOn w:val="DefaultParagraphFont"/>
    <w:qFormat/>
    <w:rsid w:val="009B4796"/>
    <w:rPr>
      <w:b/>
      <w:bCs/>
    </w:rPr>
  </w:style>
  <w:style w:type="paragraph" w:styleId="Title">
    <w:name w:val="Title"/>
    <w:basedOn w:val="Normal"/>
    <w:qFormat/>
    <w:rsid w:val="009B4796"/>
    <w:pPr>
      <w:autoSpaceDE w:val="0"/>
      <w:autoSpaceDN w:val="0"/>
      <w:adjustRightInd w:val="0"/>
      <w:jc w:val="center"/>
    </w:pPr>
    <w:rPr>
      <w:b/>
      <w:bCs/>
    </w:rPr>
  </w:style>
  <w:style w:type="paragraph" w:customStyle="1" w:styleId="QuickA">
    <w:name w:val="Quick A."/>
    <w:basedOn w:val="Normal"/>
    <w:rsid w:val="009B4796"/>
    <w:pPr>
      <w:widowControl w:val="0"/>
    </w:pPr>
    <w:rPr>
      <w:szCs w:val="20"/>
    </w:rPr>
  </w:style>
  <w:style w:type="character" w:styleId="PageNumber">
    <w:name w:val="page number"/>
    <w:basedOn w:val="DefaultParagraphFont"/>
    <w:rsid w:val="009B4796"/>
  </w:style>
  <w:style w:type="paragraph" w:styleId="Footer">
    <w:name w:val="footer"/>
    <w:basedOn w:val="Normal"/>
    <w:rsid w:val="009B4796"/>
    <w:pPr>
      <w:tabs>
        <w:tab w:val="center" w:pos="4320"/>
        <w:tab w:val="right" w:pos="8640"/>
      </w:tabs>
    </w:pPr>
  </w:style>
  <w:style w:type="paragraph" w:customStyle="1" w:styleId="BodyTextIn">
    <w:name w:val="Body Text In"/>
    <w:basedOn w:val="Normal"/>
    <w:rsid w:val="009B479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ind w:left="720"/>
    </w:pPr>
    <w:rPr>
      <w:rFonts w:ascii="Arial" w:hAnsi="Arial" w:cs="Arial"/>
    </w:rPr>
  </w:style>
  <w:style w:type="paragraph" w:customStyle="1" w:styleId="Outline0011">
    <w:name w:val="Outline001_1"/>
    <w:basedOn w:val="Normal"/>
    <w:rsid w:val="009B4796"/>
    <w:pPr>
      <w:widowControl w:val="0"/>
      <w:tabs>
        <w:tab w:val="left" w:pos="0"/>
        <w:tab w:val="left" w:pos="360"/>
        <w:tab w:val="left" w:pos="1080"/>
        <w:tab w:val="left" w:pos="1800"/>
        <w:tab w:val="left" w:pos="2520"/>
        <w:tab w:val="left" w:pos="3240"/>
        <w:tab w:val="left" w:pos="3960"/>
        <w:tab w:val="left" w:pos="4680"/>
        <w:tab w:val="left" w:pos="5400"/>
        <w:tab w:val="left" w:pos="6120"/>
      </w:tabs>
      <w:autoSpaceDE w:val="0"/>
      <w:autoSpaceDN w:val="0"/>
      <w:adjustRightInd w:val="0"/>
      <w:ind w:left="1800" w:hanging="360"/>
    </w:pPr>
    <w:rPr>
      <w:rFonts w:ascii="Wingdings" w:hAnsi="Wingdings"/>
      <w:sz w:val="20"/>
      <w:szCs w:val="20"/>
    </w:rPr>
  </w:style>
  <w:style w:type="paragraph" w:styleId="ListBullet">
    <w:name w:val="List Bullet"/>
    <w:basedOn w:val="Normal"/>
    <w:autoRedefine/>
    <w:rsid w:val="009B4796"/>
    <w:pPr>
      <w:tabs>
        <w:tab w:val="num" w:pos="1080"/>
      </w:tabs>
      <w:autoSpaceDE w:val="0"/>
      <w:autoSpaceDN w:val="0"/>
      <w:adjustRightInd w:val="0"/>
      <w:ind w:left="1080" w:hanging="360"/>
    </w:pPr>
  </w:style>
  <w:style w:type="paragraph" w:styleId="ListBullet4">
    <w:name w:val="List Bullet 4"/>
    <w:basedOn w:val="Normal"/>
    <w:autoRedefine/>
    <w:rsid w:val="009B4796"/>
    <w:pPr>
      <w:tabs>
        <w:tab w:val="num" w:pos="1080"/>
      </w:tabs>
      <w:autoSpaceDE w:val="0"/>
      <w:autoSpaceDN w:val="0"/>
      <w:adjustRightInd w:val="0"/>
      <w:ind w:left="1080" w:hanging="360"/>
    </w:pPr>
  </w:style>
  <w:style w:type="paragraph" w:styleId="ListBullet5">
    <w:name w:val="List Bullet 5"/>
    <w:basedOn w:val="Normal"/>
    <w:autoRedefine/>
    <w:rsid w:val="009B4796"/>
    <w:pPr>
      <w:tabs>
        <w:tab w:val="num" w:pos="1080"/>
      </w:tabs>
      <w:autoSpaceDE w:val="0"/>
      <w:autoSpaceDN w:val="0"/>
      <w:adjustRightInd w:val="0"/>
      <w:ind w:left="1080" w:hanging="360"/>
    </w:pPr>
  </w:style>
  <w:style w:type="paragraph" w:styleId="ListNumber">
    <w:name w:val="List Number"/>
    <w:basedOn w:val="Normal"/>
    <w:rsid w:val="009B4796"/>
    <w:pPr>
      <w:tabs>
        <w:tab w:val="num" w:pos="1440"/>
      </w:tabs>
      <w:autoSpaceDE w:val="0"/>
      <w:autoSpaceDN w:val="0"/>
      <w:adjustRightInd w:val="0"/>
      <w:ind w:left="1440" w:hanging="720"/>
    </w:pPr>
  </w:style>
  <w:style w:type="paragraph" w:styleId="ListNumber2">
    <w:name w:val="List Number 2"/>
    <w:basedOn w:val="Normal"/>
    <w:rsid w:val="009B4796"/>
    <w:pPr>
      <w:tabs>
        <w:tab w:val="num" w:pos="1080"/>
      </w:tabs>
      <w:autoSpaceDE w:val="0"/>
      <w:autoSpaceDN w:val="0"/>
      <w:adjustRightInd w:val="0"/>
      <w:ind w:left="1080" w:hanging="360"/>
    </w:pPr>
  </w:style>
  <w:style w:type="paragraph" w:styleId="ListNumber3">
    <w:name w:val="List Number 3"/>
    <w:basedOn w:val="Normal"/>
    <w:rsid w:val="009B4796"/>
    <w:pPr>
      <w:tabs>
        <w:tab w:val="num" w:pos="720"/>
      </w:tabs>
      <w:autoSpaceDE w:val="0"/>
      <w:autoSpaceDN w:val="0"/>
      <w:adjustRightInd w:val="0"/>
      <w:ind w:left="720" w:hanging="360"/>
    </w:pPr>
  </w:style>
  <w:style w:type="paragraph" w:styleId="ListNumber4">
    <w:name w:val="List Number 4"/>
    <w:basedOn w:val="Normal"/>
    <w:rsid w:val="009B4796"/>
    <w:pPr>
      <w:tabs>
        <w:tab w:val="num" w:pos="1800"/>
      </w:tabs>
      <w:autoSpaceDE w:val="0"/>
      <w:autoSpaceDN w:val="0"/>
      <w:adjustRightInd w:val="0"/>
      <w:ind w:left="1800" w:hanging="360"/>
    </w:pPr>
  </w:style>
  <w:style w:type="paragraph" w:styleId="ListNumber5">
    <w:name w:val="List Number 5"/>
    <w:basedOn w:val="Normal"/>
    <w:rsid w:val="009B4796"/>
    <w:pPr>
      <w:tabs>
        <w:tab w:val="num" w:pos="1800"/>
      </w:tabs>
      <w:autoSpaceDE w:val="0"/>
      <w:autoSpaceDN w:val="0"/>
      <w:adjustRightInd w:val="0"/>
      <w:ind w:left="1800" w:hanging="360"/>
    </w:pPr>
  </w:style>
  <w:style w:type="paragraph" w:styleId="NormalWeb">
    <w:name w:val="Normal (Web)"/>
    <w:basedOn w:val="Normal"/>
    <w:rsid w:val="009B4796"/>
    <w:pPr>
      <w:spacing w:before="100" w:beforeAutospacing="1" w:after="100" w:afterAutospacing="1"/>
    </w:pPr>
    <w:rPr>
      <w:color w:val="000000"/>
    </w:rPr>
  </w:style>
  <w:style w:type="paragraph" w:styleId="BodyText2">
    <w:name w:val="Body Text 2"/>
    <w:basedOn w:val="Normal"/>
    <w:rsid w:val="009B4796"/>
    <w:pPr>
      <w:autoSpaceDE w:val="0"/>
      <w:autoSpaceDN w:val="0"/>
      <w:adjustRightInd w:val="0"/>
    </w:pPr>
    <w:rPr>
      <w:b/>
      <w:bCs/>
      <w:u w:val="single"/>
    </w:rPr>
  </w:style>
  <w:style w:type="paragraph" w:styleId="Date">
    <w:name w:val="Date"/>
    <w:basedOn w:val="Normal"/>
    <w:next w:val="Normal"/>
    <w:rsid w:val="009B4796"/>
    <w:pPr>
      <w:autoSpaceDE w:val="0"/>
      <w:autoSpaceDN w:val="0"/>
      <w:adjustRightInd w:val="0"/>
    </w:pPr>
  </w:style>
  <w:style w:type="paragraph" w:styleId="CommentText">
    <w:name w:val="annotation text"/>
    <w:basedOn w:val="Normal"/>
    <w:semiHidden/>
    <w:rsid w:val="009B4796"/>
    <w:pPr>
      <w:autoSpaceDE w:val="0"/>
      <w:autoSpaceDN w:val="0"/>
      <w:adjustRightInd w:val="0"/>
    </w:pPr>
    <w:rPr>
      <w:sz w:val="20"/>
      <w:szCs w:val="20"/>
    </w:rPr>
  </w:style>
  <w:style w:type="paragraph" w:customStyle="1" w:styleId="Quick">
    <w:name w:val="Quick ­"/>
    <w:basedOn w:val="Normal"/>
    <w:rsid w:val="009B4796"/>
    <w:pPr>
      <w:widowControl w:val="0"/>
      <w:autoSpaceDE w:val="0"/>
      <w:autoSpaceDN w:val="0"/>
      <w:adjustRightInd w:val="0"/>
      <w:spacing w:after="0"/>
      <w:ind w:left="2160" w:hanging="720"/>
    </w:pPr>
    <w:rPr>
      <w:rFonts w:ascii="Courier" w:hAnsi="Courier"/>
    </w:rPr>
  </w:style>
  <w:style w:type="character" w:styleId="FootnoteReference">
    <w:name w:val="footnote reference"/>
    <w:semiHidden/>
    <w:rsid w:val="009B4796"/>
  </w:style>
  <w:style w:type="paragraph" w:customStyle="1" w:styleId="Style">
    <w:name w:val="Style"/>
    <w:basedOn w:val="Normal"/>
    <w:rsid w:val="009B4796"/>
    <w:pPr>
      <w:tabs>
        <w:tab w:val="left" w:pos="-1440"/>
        <w:tab w:val="left" w:pos="1080"/>
      </w:tabs>
      <w:autoSpaceDE w:val="0"/>
      <w:autoSpaceDN w:val="0"/>
      <w:adjustRightInd w:val="0"/>
      <w:spacing w:after="0"/>
      <w:ind w:left="1080" w:hanging="360"/>
    </w:pPr>
  </w:style>
  <w:style w:type="paragraph" w:customStyle="1" w:styleId="Quick0">
    <w:name w:val="Quick ·"/>
    <w:basedOn w:val="Normal"/>
    <w:rsid w:val="009B4796"/>
    <w:pPr>
      <w:widowControl w:val="0"/>
      <w:autoSpaceDE w:val="0"/>
      <w:autoSpaceDN w:val="0"/>
      <w:adjustRightInd w:val="0"/>
      <w:spacing w:after="0"/>
      <w:ind w:left="1440" w:hanging="720"/>
    </w:pPr>
    <w:rPr>
      <w:rFonts w:ascii="Courier" w:hAnsi="Courier"/>
    </w:rPr>
  </w:style>
  <w:style w:type="paragraph" w:styleId="TOC2">
    <w:name w:val="toc 2"/>
    <w:basedOn w:val="Normal"/>
    <w:next w:val="Normal"/>
    <w:autoRedefine/>
    <w:semiHidden/>
    <w:rsid w:val="009B4796"/>
    <w:pPr>
      <w:widowControl w:val="0"/>
      <w:autoSpaceDE w:val="0"/>
      <w:autoSpaceDN w:val="0"/>
      <w:adjustRightInd w:val="0"/>
      <w:spacing w:after="0"/>
      <w:ind w:left="1440" w:hanging="720"/>
    </w:pPr>
  </w:style>
  <w:style w:type="character" w:customStyle="1" w:styleId="Title2">
    <w:name w:val="Title2"/>
    <w:rsid w:val="009B4796"/>
    <w:rPr>
      <w:rFonts w:ascii="Times New Roman" w:hAnsi="Times New Roman" w:cs="Times New Roman"/>
      <w:b/>
      <w:bCs/>
      <w:sz w:val="28"/>
      <w:szCs w:val="28"/>
    </w:rPr>
  </w:style>
  <w:style w:type="paragraph" w:styleId="FootnoteText">
    <w:name w:val="footnote text"/>
    <w:basedOn w:val="Normal"/>
    <w:semiHidden/>
    <w:rsid w:val="009B4796"/>
    <w:pPr>
      <w:widowControl w:val="0"/>
      <w:autoSpaceDE w:val="0"/>
      <w:autoSpaceDN w:val="0"/>
      <w:adjustRightInd w:val="0"/>
      <w:spacing w:after="0"/>
    </w:pPr>
    <w:rPr>
      <w:sz w:val="20"/>
      <w:szCs w:val="20"/>
    </w:rPr>
  </w:style>
  <w:style w:type="paragraph" w:styleId="NormalIndent">
    <w:name w:val="Normal Indent"/>
    <w:basedOn w:val="Normal"/>
    <w:rsid w:val="009B4796"/>
    <w:pPr>
      <w:ind w:left="720"/>
    </w:pPr>
  </w:style>
  <w:style w:type="paragraph" w:styleId="BodyText3">
    <w:name w:val="Body Text 3"/>
    <w:basedOn w:val="Normal"/>
    <w:rsid w:val="009B4796"/>
    <w:pPr>
      <w:spacing w:after="120"/>
    </w:pPr>
    <w:rPr>
      <w:sz w:val="16"/>
      <w:szCs w:val="16"/>
    </w:rPr>
  </w:style>
  <w:style w:type="paragraph" w:styleId="BodyTextFirstIndent">
    <w:name w:val="Body Text First Indent"/>
    <w:basedOn w:val="BodyText"/>
    <w:rsid w:val="009B4796"/>
    <w:pPr>
      <w:spacing w:after="120"/>
      <w:ind w:firstLine="210"/>
    </w:pPr>
  </w:style>
  <w:style w:type="paragraph" w:styleId="DocumentMap">
    <w:name w:val="Document Map"/>
    <w:basedOn w:val="Normal"/>
    <w:semiHidden/>
    <w:rsid w:val="00257518"/>
    <w:pPr>
      <w:shd w:val="clear" w:color="auto" w:fill="000080"/>
    </w:pPr>
    <w:rPr>
      <w:rFonts w:ascii="Tahoma" w:hAnsi="Tahoma" w:cs="Tahoma"/>
      <w:sz w:val="20"/>
      <w:szCs w:val="20"/>
    </w:rPr>
  </w:style>
  <w:style w:type="character" w:styleId="FollowedHyperlink">
    <w:name w:val="FollowedHyperlink"/>
    <w:basedOn w:val="DefaultParagraphFont"/>
    <w:rsid w:val="00674879"/>
    <w:rPr>
      <w:color w:val="800080"/>
      <w:u w:val="single"/>
    </w:rPr>
  </w:style>
  <w:style w:type="character" w:styleId="CommentReference">
    <w:name w:val="annotation reference"/>
    <w:basedOn w:val="DefaultParagraphFont"/>
    <w:semiHidden/>
    <w:rsid w:val="001B5214"/>
    <w:rPr>
      <w:sz w:val="16"/>
      <w:szCs w:val="16"/>
    </w:rPr>
  </w:style>
  <w:style w:type="paragraph" w:styleId="CommentSubject">
    <w:name w:val="annotation subject"/>
    <w:basedOn w:val="CommentText"/>
    <w:next w:val="CommentText"/>
    <w:semiHidden/>
    <w:rsid w:val="00641602"/>
    <w:pPr>
      <w:autoSpaceDE/>
      <w:autoSpaceDN/>
      <w:adjustRightInd/>
    </w:pPr>
    <w:rPr>
      <w:b/>
      <w:bCs/>
    </w:rPr>
  </w:style>
  <w:style w:type="paragraph" w:styleId="ListParagraph">
    <w:name w:val="List Paragraph"/>
    <w:basedOn w:val="Normal"/>
    <w:uiPriority w:val="34"/>
    <w:qFormat/>
    <w:rsid w:val="00280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65761">
      <w:bodyDiv w:val="1"/>
      <w:marLeft w:val="0"/>
      <w:marRight w:val="0"/>
      <w:marTop w:val="0"/>
      <w:marBottom w:val="0"/>
      <w:divBdr>
        <w:top w:val="none" w:sz="0" w:space="0" w:color="auto"/>
        <w:left w:val="none" w:sz="0" w:space="0" w:color="auto"/>
        <w:bottom w:val="none" w:sz="0" w:space="0" w:color="auto"/>
        <w:right w:val="none" w:sz="0" w:space="0" w:color="auto"/>
      </w:divBdr>
    </w:div>
    <w:div w:id="647830796">
      <w:bodyDiv w:val="1"/>
      <w:marLeft w:val="0"/>
      <w:marRight w:val="0"/>
      <w:marTop w:val="0"/>
      <w:marBottom w:val="0"/>
      <w:divBdr>
        <w:top w:val="none" w:sz="0" w:space="0" w:color="auto"/>
        <w:left w:val="none" w:sz="0" w:space="0" w:color="auto"/>
        <w:bottom w:val="none" w:sz="0" w:space="0" w:color="auto"/>
        <w:right w:val="none" w:sz="0" w:space="0" w:color="auto"/>
      </w:divBdr>
    </w:div>
    <w:div w:id="1232228937">
      <w:bodyDiv w:val="1"/>
      <w:marLeft w:val="0"/>
      <w:marRight w:val="0"/>
      <w:marTop w:val="0"/>
      <w:marBottom w:val="0"/>
      <w:divBdr>
        <w:top w:val="none" w:sz="0" w:space="0" w:color="auto"/>
        <w:left w:val="none" w:sz="0" w:space="0" w:color="auto"/>
        <w:bottom w:val="none" w:sz="0" w:space="0" w:color="auto"/>
        <w:right w:val="none" w:sz="0" w:space="0" w:color="auto"/>
      </w:divBdr>
    </w:div>
    <w:div w:id="1631977744">
      <w:bodyDiv w:val="1"/>
      <w:marLeft w:val="0"/>
      <w:marRight w:val="0"/>
      <w:marTop w:val="0"/>
      <w:marBottom w:val="0"/>
      <w:divBdr>
        <w:top w:val="none" w:sz="0" w:space="0" w:color="auto"/>
        <w:left w:val="none" w:sz="0" w:space="0" w:color="auto"/>
        <w:bottom w:val="none" w:sz="0" w:space="0" w:color="auto"/>
        <w:right w:val="none" w:sz="0" w:space="0" w:color="auto"/>
      </w:divBdr>
    </w:div>
    <w:div w:id="183332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s.usdoj.gov/" TargetMode="External"/><Relationship Id="rId13" Type="http://schemas.openxmlformats.org/officeDocument/2006/relationships/hyperlink" Target="http://www.cops.usdoj.gov/files/RIC/Publications/e0209183_TRGP-AppGuide.pdf%20" TargetMode="External"/><Relationship Id="rId18" Type="http://schemas.openxmlformats.org/officeDocument/2006/relationships/hyperlink" Target="http://www.ojp.usdoj.gov/financialgui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cops.usdoj.gov/pdf/cap/cap-appguide-chp.pdf" TargetMode="External"/><Relationship Id="rId17" Type="http://schemas.openxmlformats.org/officeDocument/2006/relationships/hyperlink" Target="https://www.bja.gov/Publications/JAGTechRpt.pdf"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ps.usdoj.gov/pdf/CHP/e05105273-CHP.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cops.usdoj.gov/pdf/e03094188-CHRP-v-2.pdf" TargetMode="External"/><Relationship Id="rId19" Type="http://schemas.openxmlformats.org/officeDocument/2006/relationships/hyperlink" Target="https://www.bja.gov/ProgramDetails.aspx?Program_ID=59" TargetMode="External"/><Relationship Id="rId4" Type="http://schemas.openxmlformats.org/officeDocument/2006/relationships/settings" Target="settings.xml"/><Relationship Id="rId9" Type="http://schemas.openxmlformats.org/officeDocument/2006/relationships/hyperlink" Target="http://www.cops.usdoj.gov/pdf/2012AwardDocs/CHP/2012_CHP_Application_Guide.pdf" TargetMode="External"/><Relationship Id="rId14" Type="http://schemas.openxmlformats.org/officeDocument/2006/relationships/hyperlink" Target="http://www.cops.usdoj.gov/html/funding/applying/TRGPGuide_e030821127.pdf%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4060D-A5CD-4A49-905F-C266D033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OMB CIRCULAR A-133</vt:lpstr>
    </vt:vector>
  </TitlesOfParts>
  <Company>Logistics Management Institute</Company>
  <LinksUpToDate>false</LinksUpToDate>
  <CharactersWithSpaces>17710</CharactersWithSpaces>
  <SharedDoc>false</SharedDoc>
  <HLinks>
    <vt:vector size="6" baseType="variant">
      <vt:variant>
        <vt:i4>6553638</vt:i4>
      </vt:variant>
      <vt:variant>
        <vt:i4>0</vt:i4>
      </vt:variant>
      <vt:variant>
        <vt:i4>0</vt:i4>
      </vt:variant>
      <vt:variant>
        <vt:i4>5</vt:i4>
      </vt:variant>
      <vt:variant>
        <vt:lpwstr>http://www.cops.usdoj.gov/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CIRCULAR A-133</dc:title>
  <dc:creator>Joyce M. Ward</dc:creator>
  <cp:lastModifiedBy>Ellen Angus</cp:lastModifiedBy>
  <cp:revision>8</cp:revision>
  <cp:lastPrinted>2015-07-02T13:15:00Z</cp:lastPrinted>
  <dcterms:created xsi:type="dcterms:W3CDTF">2015-04-10T14:16:00Z</dcterms:created>
  <dcterms:modified xsi:type="dcterms:W3CDTF">2015-07-02T13:15:00Z</dcterms:modified>
</cp:coreProperties>
</file>