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4C6EF" w14:textId="77777777" w:rsidR="0043750C" w:rsidRPr="00BE5898" w:rsidRDefault="0043750C" w:rsidP="004A722A">
      <w:pPr>
        <w:widowControl w:val="0"/>
        <w:autoSpaceDE w:val="0"/>
        <w:autoSpaceDN w:val="0"/>
        <w:spacing w:after="0" w:line="240" w:lineRule="auto"/>
        <w:rPr>
          <w:rFonts w:asciiTheme="minorHAnsi" w:hAnsiTheme="minorHAnsi" w:cstheme="minorHAnsi"/>
          <w:sz w:val="24"/>
          <w:szCs w:val="24"/>
        </w:rPr>
      </w:pPr>
      <w:bookmarkStart w:id="0" w:name="_GoBack"/>
    </w:p>
    <w:p w14:paraId="77F083C1" w14:textId="79D8A0B2" w:rsidR="0043750C" w:rsidRPr="00BE5898" w:rsidRDefault="00F93CD1" w:rsidP="008B18C7">
      <w:pPr>
        <w:widowControl w:val="0"/>
        <w:autoSpaceDE w:val="0"/>
        <w:autoSpaceDN w:val="0"/>
        <w:spacing w:after="0" w:line="240" w:lineRule="auto"/>
        <w:jc w:val="center"/>
        <w:rPr>
          <w:rFonts w:asciiTheme="minorHAnsi" w:hAnsiTheme="minorHAnsi" w:cstheme="minorHAnsi"/>
          <w:b/>
          <w:sz w:val="24"/>
          <w:szCs w:val="24"/>
        </w:rPr>
      </w:pPr>
      <w:r w:rsidRPr="00BE5898">
        <w:rPr>
          <w:rFonts w:asciiTheme="minorHAnsi" w:hAnsiTheme="minorHAnsi" w:cstheme="minorHAnsi"/>
          <w:b/>
          <w:sz w:val="24"/>
          <w:szCs w:val="24"/>
        </w:rPr>
        <w:t xml:space="preserve">ATTACHMENT 1, </w:t>
      </w:r>
      <w:r w:rsidR="0043750C" w:rsidRPr="00BE5898">
        <w:rPr>
          <w:rFonts w:asciiTheme="minorHAnsi" w:hAnsiTheme="minorHAnsi" w:cstheme="minorHAnsi"/>
          <w:b/>
          <w:sz w:val="24"/>
          <w:szCs w:val="24"/>
        </w:rPr>
        <w:t>RATE PERIOD TERMS</w:t>
      </w:r>
    </w:p>
    <w:p w14:paraId="60FB8783" w14:textId="77777777" w:rsidR="0043750C" w:rsidRPr="00BE5898" w:rsidRDefault="0043750C" w:rsidP="004A722A">
      <w:pPr>
        <w:widowControl w:val="0"/>
        <w:autoSpaceDE w:val="0"/>
        <w:autoSpaceDN w:val="0"/>
        <w:spacing w:after="0" w:line="240" w:lineRule="auto"/>
        <w:rPr>
          <w:rFonts w:asciiTheme="minorHAnsi" w:hAnsiTheme="minorHAnsi" w:cstheme="minorHAnsi"/>
          <w:sz w:val="24"/>
          <w:szCs w:val="24"/>
        </w:rPr>
      </w:pPr>
    </w:p>
    <w:p w14:paraId="2C8A84EF" w14:textId="5F261B1C" w:rsidR="00695F4E" w:rsidRPr="00905C9F" w:rsidRDefault="0043750C" w:rsidP="00CB0D89">
      <w:pPr>
        <w:widowControl w:val="0"/>
        <w:autoSpaceDE w:val="0"/>
        <w:autoSpaceDN w:val="0"/>
        <w:spacing w:after="0" w:line="240" w:lineRule="auto"/>
        <w:ind w:left="720" w:hanging="720"/>
        <w:rPr>
          <w:rFonts w:asciiTheme="minorHAnsi" w:hAnsiTheme="minorHAnsi" w:cstheme="minorHAnsi"/>
          <w:sz w:val="24"/>
          <w:szCs w:val="24"/>
        </w:rPr>
      </w:pPr>
      <w:r w:rsidRPr="00905C9F">
        <w:rPr>
          <w:rFonts w:asciiTheme="minorHAnsi" w:hAnsiTheme="minorHAnsi" w:cstheme="minorHAnsi"/>
          <w:sz w:val="24"/>
          <w:szCs w:val="24"/>
        </w:rPr>
        <w:t>1.</w:t>
      </w:r>
      <w:r w:rsidRPr="00905C9F">
        <w:rPr>
          <w:rFonts w:asciiTheme="minorHAnsi" w:hAnsiTheme="minorHAnsi" w:cstheme="minorHAnsi"/>
          <w:sz w:val="24"/>
          <w:szCs w:val="24"/>
        </w:rPr>
        <w:tab/>
      </w:r>
      <w:r w:rsidR="00914380" w:rsidRPr="00905C9F">
        <w:rPr>
          <w:rFonts w:asciiTheme="minorHAnsi" w:hAnsiTheme="minorHAnsi" w:cstheme="minorHAnsi"/>
          <w:b/>
          <w:sz w:val="24"/>
          <w:szCs w:val="24"/>
        </w:rPr>
        <w:t xml:space="preserve">Term.  </w:t>
      </w:r>
      <w:r w:rsidR="00695F4E" w:rsidRPr="00905C9F">
        <w:rPr>
          <w:rFonts w:asciiTheme="minorHAnsi" w:hAnsiTheme="minorHAnsi" w:cstheme="minorHAnsi"/>
          <w:sz w:val="24"/>
          <w:szCs w:val="24"/>
        </w:rPr>
        <w:t xml:space="preserve">The terms and conditions in this Attachment </w:t>
      </w:r>
      <w:r w:rsidR="00C435A8" w:rsidRPr="00905C9F">
        <w:rPr>
          <w:rFonts w:asciiTheme="minorHAnsi" w:hAnsiTheme="minorHAnsi" w:cstheme="minorHAnsi"/>
          <w:sz w:val="24"/>
          <w:szCs w:val="24"/>
        </w:rPr>
        <w:t xml:space="preserve">1 </w:t>
      </w:r>
      <w:r w:rsidR="00914380" w:rsidRPr="00905C9F">
        <w:rPr>
          <w:rFonts w:asciiTheme="minorHAnsi" w:hAnsiTheme="minorHAnsi" w:cstheme="minorHAnsi"/>
          <w:sz w:val="24"/>
          <w:szCs w:val="24"/>
        </w:rPr>
        <w:t xml:space="preserve">will </w:t>
      </w:r>
      <w:r w:rsidR="00695F4E" w:rsidRPr="00905C9F">
        <w:rPr>
          <w:rFonts w:asciiTheme="minorHAnsi" w:hAnsiTheme="minorHAnsi" w:cstheme="minorHAnsi"/>
          <w:sz w:val="24"/>
          <w:szCs w:val="24"/>
        </w:rPr>
        <w:t xml:space="preserve">apply to and </w:t>
      </w:r>
      <w:r w:rsidR="00362034" w:rsidRPr="00905C9F">
        <w:rPr>
          <w:rFonts w:asciiTheme="minorHAnsi" w:hAnsiTheme="minorHAnsi" w:cstheme="minorHAnsi"/>
          <w:sz w:val="24"/>
          <w:szCs w:val="24"/>
        </w:rPr>
        <w:t xml:space="preserve">will </w:t>
      </w:r>
      <w:r w:rsidR="00695F4E" w:rsidRPr="00905C9F">
        <w:rPr>
          <w:rFonts w:asciiTheme="minorHAnsi" w:hAnsiTheme="minorHAnsi" w:cstheme="minorHAnsi"/>
          <w:sz w:val="24"/>
          <w:szCs w:val="24"/>
        </w:rPr>
        <w:t>be binding on B</w:t>
      </w:r>
      <w:r w:rsidR="0045247C" w:rsidRPr="00905C9F">
        <w:rPr>
          <w:rFonts w:asciiTheme="minorHAnsi" w:hAnsiTheme="minorHAnsi" w:cstheme="minorHAnsi"/>
          <w:sz w:val="24"/>
          <w:szCs w:val="24"/>
        </w:rPr>
        <w:t>onneville</w:t>
      </w:r>
      <w:r w:rsidR="00695F4E" w:rsidRPr="00905C9F">
        <w:rPr>
          <w:rFonts w:asciiTheme="minorHAnsi" w:hAnsiTheme="minorHAnsi" w:cstheme="minorHAnsi"/>
          <w:sz w:val="24"/>
          <w:szCs w:val="24"/>
        </w:rPr>
        <w:t xml:space="preserve"> and the Assenting Parties during the F</w:t>
      </w:r>
      <w:r w:rsidR="00486722">
        <w:rPr>
          <w:rFonts w:asciiTheme="minorHAnsi" w:hAnsiTheme="minorHAnsi" w:cstheme="minorHAnsi"/>
          <w:sz w:val="24"/>
          <w:szCs w:val="24"/>
        </w:rPr>
        <w:t>iscal Year (FY)</w:t>
      </w:r>
      <w:r w:rsidR="00695F4E" w:rsidRPr="00905C9F">
        <w:rPr>
          <w:rFonts w:asciiTheme="minorHAnsi" w:hAnsiTheme="minorHAnsi" w:cstheme="minorHAnsi"/>
          <w:sz w:val="24"/>
          <w:szCs w:val="24"/>
        </w:rPr>
        <w:t xml:space="preserve"> </w:t>
      </w:r>
      <w:r w:rsidR="0070552E" w:rsidRPr="00905C9F">
        <w:rPr>
          <w:rFonts w:asciiTheme="minorHAnsi" w:hAnsiTheme="minorHAnsi" w:cstheme="minorHAnsi"/>
          <w:sz w:val="24"/>
          <w:szCs w:val="24"/>
        </w:rPr>
        <w:t>201</w:t>
      </w:r>
      <w:r w:rsidR="0070552E">
        <w:rPr>
          <w:rFonts w:asciiTheme="minorHAnsi" w:hAnsiTheme="minorHAnsi" w:cstheme="minorHAnsi"/>
          <w:sz w:val="24"/>
          <w:szCs w:val="24"/>
        </w:rPr>
        <w:t>8</w:t>
      </w:r>
      <w:r w:rsidR="00695F4E" w:rsidRPr="00905C9F">
        <w:rPr>
          <w:rFonts w:asciiTheme="minorHAnsi" w:hAnsiTheme="minorHAnsi" w:cstheme="minorHAnsi"/>
          <w:sz w:val="24"/>
          <w:szCs w:val="24"/>
        </w:rPr>
        <w:t>-</w:t>
      </w:r>
      <w:r w:rsidR="0070552E">
        <w:rPr>
          <w:rFonts w:asciiTheme="minorHAnsi" w:hAnsiTheme="minorHAnsi" w:cstheme="minorHAnsi"/>
          <w:sz w:val="24"/>
          <w:szCs w:val="24"/>
        </w:rPr>
        <w:t>20</w:t>
      </w:r>
      <w:r w:rsidR="0070552E" w:rsidRPr="00905C9F">
        <w:rPr>
          <w:rFonts w:asciiTheme="minorHAnsi" w:hAnsiTheme="minorHAnsi" w:cstheme="minorHAnsi"/>
          <w:sz w:val="24"/>
          <w:szCs w:val="24"/>
        </w:rPr>
        <w:t>1</w:t>
      </w:r>
      <w:r w:rsidR="0070552E">
        <w:rPr>
          <w:rFonts w:asciiTheme="minorHAnsi" w:hAnsiTheme="minorHAnsi" w:cstheme="minorHAnsi"/>
          <w:sz w:val="24"/>
          <w:szCs w:val="24"/>
        </w:rPr>
        <w:t>9</w:t>
      </w:r>
      <w:r w:rsidR="0070552E" w:rsidRPr="00905C9F">
        <w:rPr>
          <w:rFonts w:asciiTheme="minorHAnsi" w:hAnsiTheme="minorHAnsi" w:cstheme="minorHAnsi"/>
          <w:sz w:val="24"/>
          <w:szCs w:val="24"/>
        </w:rPr>
        <w:t xml:space="preserve"> </w:t>
      </w:r>
      <w:r w:rsidR="00B4362B" w:rsidRPr="00905C9F">
        <w:rPr>
          <w:rFonts w:asciiTheme="minorHAnsi" w:hAnsiTheme="minorHAnsi" w:cstheme="minorHAnsi"/>
          <w:sz w:val="24"/>
          <w:szCs w:val="24"/>
        </w:rPr>
        <w:t>R</w:t>
      </w:r>
      <w:r w:rsidR="00695F4E" w:rsidRPr="00905C9F">
        <w:rPr>
          <w:rFonts w:asciiTheme="minorHAnsi" w:hAnsiTheme="minorHAnsi" w:cstheme="minorHAnsi"/>
          <w:sz w:val="24"/>
          <w:szCs w:val="24"/>
        </w:rPr>
        <w:t xml:space="preserve">ate </w:t>
      </w:r>
      <w:r w:rsidR="00B4362B" w:rsidRPr="00905C9F">
        <w:rPr>
          <w:rFonts w:asciiTheme="minorHAnsi" w:hAnsiTheme="minorHAnsi" w:cstheme="minorHAnsi"/>
          <w:sz w:val="24"/>
          <w:szCs w:val="24"/>
        </w:rPr>
        <w:t>P</w:t>
      </w:r>
      <w:r w:rsidR="00695F4E" w:rsidRPr="00905C9F">
        <w:rPr>
          <w:rFonts w:asciiTheme="minorHAnsi" w:hAnsiTheme="minorHAnsi" w:cstheme="minorHAnsi"/>
          <w:sz w:val="24"/>
          <w:szCs w:val="24"/>
        </w:rPr>
        <w:t>eriod</w:t>
      </w:r>
      <w:r w:rsidR="00B4362B" w:rsidRPr="00905C9F">
        <w:rPr>
          <w:rFonts w:asciiTheme="minorHAnsi" w:hAnsiTheme="minorHAnsi" w:cstheme="minorHAnsi"/>
          <w:sz w:val="24"/>
          <w:szCs w:val="24"/>
        </w:rPr>
        <w:t xml:space="preserve"> (“Rate Period”)</w:t>
      </w:r>
      <w:r w:rsidR="005B3B49" w:rsidRPr="00905C9F">
        <w:rPr>
          <w:rFonts w:asciiTheme="minorHAnsi" w:hAnsiTheme="minorHAnsi" w:cstheme="minorHAnsi"/>
          <w:sz w:val="24"/>
          <w:szCs w:val="24"/>
        </w:rPr>
        <w:t>, but</w:t>
      </w:r>
      <w:r w:rsidR="00695F4E" w:rsidRPr="00905C9F">
        <w:rPr>
          <w:rFonts w:asciiTheme="minorHAnsi" w:hAnsiTheme="minorHAnsi" w:cstheme="minorHAnsi"/>
          <w:sz w:val="24"/>
          <w:szCs w:val="24"/>
        </w:rPr>
        <w:t xml:space="preserve"> </w:t>
      </w:r>
      <w:r w:rsidR="00914380" w:rsidRPr="00905C9F">
        <w:rPr>
          <w:rFonts w:asciiTheme="minorHAnsi" w:hAnsiTheme="minorHAnsi" w:cstheme="minorHAnsi"/>
          <w:sz w:val="24"/>
          <w:szCs w:val="24"/>
        </w:rPr>
        <w:t xml:space="preserve">must </w:t>
      </w:r>
      <w:r w:rsidR="00C92735" w:rsidRPr="00905C9F">
        <w:rPr>
          <w:rFonts w:asciiTheme="minorHAnsi" w:hAnsiTheme="minorHAnsi" w:cstheme="minorHAnsi"/>
          <w:sz w:val="24"/>
          <w:szCs w:val="24"/>
        </w:rPr>
        <w:t xml:space="preserve">expire and </w:t>
      </w:r>
      <w:r w:rsidR="00695F4E" w:rsidRPr="00905C9F">
        <w:rPr>
          <w:rFonts w:asciiTheme="minorHAnsi" w:hAnsiTheme="minorHAnsi" w:cstheme="minorHAnsi"/>
          <w:sz w:val="24"/>
          <w:szCs w:val="24"/>
        </w:rPr>
        <w:t>not survive</w:t>
      </w:r>
      <w:r w:rsidR="005B3B49" w:rsidRPr="00905C9F">
        <w:rPr>
          <w:rFonts w:asciiTheme="minorHAnsi" w:hAnsiTheme="minorHAnsi" w:cstheme="minorHAnsi"/>
          <w:sz w:val="24"/>
          <w:szCs w:val="24"/>
        </w:rPr>
        <w:t xml:space="preserve"> </w:t>
      </w:r>
      <w:r w:rsidR="00C92735" w:rsidRPr="00905C9F">
        <w:rPr>
          <w:rFonts w:asciiTheme="minorHAnsi" w:hAnsiTheme="minorHAnsi" w:cstheme="minorHAnsi"/>
          <w:sz w:val="24"/>
          <w:szCs w:val="24"/>
        </w:rPr>
        <w:t xml:space="preserve">in any form </w:t>
      </w:r>
      <w:r w:rsidR="005B3B49" w:rsidRPr="00905C9F">
        <w:rPr>
          <w:rFonts w:asciiTheme="minorHAnsi" w:hAnsiTheme="minorHAnsi" w:cstheme="minorHAnsi"/>
          <w:sz w:val="24"/>
          <w:szCs w:val="24"/>
        </w:rPr>
        <w:t>after</w:t>
      </w:r>
      <w:r w:rsidR="00695F4E" w:rsidRPr="00905C9F">
        <w:rPr>
          <w:rFonts w:asciiTheme="minorHAnsi" w:hAnsiTheme="minorHAnsi" w:cstheme="minorHAnsi"/>
          <w:sz w:val="24"/>
          <w:szCs w:val="24"/>
        </w:rPr>
        <w:t xml:space="preserve"> </w:t>
      </w:r>
      <w:r w:rsidR="0045247C" w:rsidRPr="00905C9F">
        <w:rPr>
          <w:rFonts w:asciiTheme="minorHAnsi" w:hAnsiTheme="minorHAnsi" w:cstheme="minorHAnsi"/>
          <w:sz w:val="24"/>
          <w:szCs w:val="24"/>
        </w:rPr>
        <w:t xml:space="preserve">September 30, </w:t>
      </w:r>
      <w:r w:rsidR="0070552E" w:rsidRPr="00905C9F">
        <w:rPr>
          <w:rFonts w:asciiTheme="minorHAnsi" w:hAnsiTheme="minorHAnsi" w:cstheme="minorHAnsi"/>
          <w:sz w:val="24"/>
          <w:szCs w:val="24"/>
        </w:rPr>
        <w:t>201</w:t>
      </w:r>
      <w:r w:rsidR="0070552E">
        <w:rPr>
          <w:rFonts w:asciiTheme="minorHAnsi" w:hAnsiTheme="minorHAnsi" w:cstheme="minorHAnsi"/>
          <w:sz w:val="24"/>
          <w:szCs w:val="24"/>
        </w:rPr>
        <w:t>9</w:t>
      </w:r>
      <w:r w:rsidR="00695F4E" w:rsidRPr="00905C9F">
        <w:rPr>
          <w:rFonts w:asciiTheme="minorHAnsi" w:hAnsiTheme="minorHAnsi" w:cstheme="minorHAnsi"/>
          <w:sz w:val="24"/>
          <w:szCs w:val="24"/>
        </w:rPr>
        <w:t>.</w:t>
      </w:r>
    </w:p>
    <w:p w14:paraId="591A7E38" w14:textId="77777777" w:rsidR="00695F4E" w:rsidRPr="00905C9F" w:rsidRDefault="00695F4E" w:rsidP="00CB0D89">
      <w:pPr>
        <w:widowControl w:val="0"/>
        <w:autoSpaceDE w:val="0"/>
        <w:autoSpaceDN w:val="0"/>
        <w:spacing w:after="0" w:line="240" w:lineRule="auto"/>
        <w:ind w:left="720" w:hanging="720"/>
        <w:rPr>
          <w:rFonts w:asciiTheme="minorHAnsi" w:hAnsiTheme="minorHAnsi" w:cstheme="minorHAnsi"/>
          <w:sz w:val="24"/>
          <w:szCs w:val="24"/>
        </w:rPr>
      </w:pPr>
    </w:p>
    <w:p w14:paraId="209B87B2" w14:textId="1AC7B55A" w:rsidR="00226624" w:rsidRPr="00142084" w:rsidRDefault="00695F4E" w:rsidP="00142084">
      <w:pPr>
        <w:autoSpaceDE w:val="0"/>
        <w:autoSpaceDN w:val="0"/>
        <w:ind w:left="720" w:hanging="720"/>
        <w:rPr>
          <w:sz w:val="24"/>
          <w:szCs w:val="24"/>
        </w:rPr>
      </w:pPr>
      <w:r w:rsidRPr="00905C9F">
        <w:rPr>
          <w:rFonts w:asciiTheme="minorHAnsi" w:hAnsiTheme="minorHAnsi" w:cstheme="minorHAnsi"/>
          <w:sz w:val="24"/>
          <w:szCs w:val="24"/>
        </w:rPr>
        <w:t>2.</w:t>
      </w:r>
      <w:r w:rsidRPr="00905C9F">
        <w:rPr>
          <w:rFonts w:asciiTheme="minorHAnsi" w:hAnsiTheme="minorHAnsi" w:cstheme="minorHAnsi"/>
          <w:sz w:val="24"/>
          <w:szCs w:val="24"/>
        </w:rPr>
        <w:tab/>
      </w:r>
      <w:r w:rsidR="00405683" w:rsidRPr="00905C9F">
        <w:rPr>
          <w:rFonts w:asciiTheme="minorHAnsi" w:hAnsiTheme="minorHAnsi" w:cstheme="minorHAnsi"/>
          <w:b/>
          <w:sz w:val="24"/>
          <w:szCs w:val="24"/>
        </w:rPr>
        <w:t xml:space="preserve">Imbalance </w:t>
      </w:r>
      <w:r w:rsidR="00914380" w:rsidRPr="00905C9F">
        <w:rPr>
          <w:rFonts w:asciiTheme="minorHAnsi" w:hAnsiTheme="minorHAnsi" w:cstheme="minorHAnsi"/>
          <w:b/>
          <w:sz w:val="24"/>
          <w:szCs w:val="24"/>
        </w:rPr>
        <w:t xml:space="preserve">Service.  </w:t>
      </w:r>
      <w:r w:rsidR="00AF4425" w:rsidRPr="00905C9F">
        <w:rPr>
          <w:rFonts w:asciiTheme="minorHAnsi" w:hAnsiTheme="minorHAnsi" w:cstheme="minorHAnsi"/>
          <w:sz w:val="24"/>
          <w:szCs w:val="24"/>
        </w:rPr>
        <w:t>B</w:t>
      </w:r>
      <w:r w:rsidR="00F46447" w:rsidRPr="00905C9F">
        <w:rPr>
          <w:rFonts w:asciiTheme="minorHAnsi" w:hAnsiTheme="minorHAnsi" w:cstheme="minorHAnsi"/>
          <w:sz w:val="24"/>
          <w:szCs w:val="24"/>
        </w:rPr>
        <w:t xml:space="preserve">onneville </w:t>
      </w:r>
      <w:r w:rsidR="00AF4425" w:rsidRPr="00905C9F">
        <w:rPr>
          <w:rFonts w:asciiTheme="minorHAnsi" w:hAnsiTheme="minorHAnsi" w:cstheme="minorHAnsi"/>
          <w:sz w:val="24"/>
          <w:szCs w:val="24"/>
        </w:rPr>
        <w:t xml:space="preserve">shall </w:t>
      </w:r>
      <w:r w:rsidR="001D043B" w:rsidRPr="00905C9F">
        <w:rPr>
          <w:rFonts w:asciiTheme="minorHAnsi" w:hAnsiTheme="minorHAnsi" w:cstheme="minorHAnsi"/>
          <w:sz w:val="24"/>
          <w:szCs w:val="24"/>
        </w:rPr>
        <w:t>attempt t</w:t>
      </w:r>
      <w:r w:rsidR="00C80567" w:rsidRPr="00905C9F">
        <w:rPr>
          <w:rFonts w:asciiTheme="minorHAnsi" w:hAnsiTheme="minorHAnsi" w:cstheme="minorHAnsi"/>
          <w:sz w:val="24"/>
          <w:szCs w:val="24"/>
        </w:rPr>
        <w:t xml:space="preserve">o </w:t>
      </w:r>
      <w:r w:rsidR="00F27EAF" w:rsidRPr="00905C9F">
        <w:rPr>
          <w:rFonts w:asciiTheme="minorHAnsi" w:hAnsiTheme="minorHAnsi" w:cstheme="minorHAnsi"/>
          <w:sz w:val="24"/>
          <w:szCs w:val="24"/>
        </w:rPr>
        <w:t>provide</w:t>
      </w:r>
      <w:r w:rsidR="007D4E9C" w:rsidRPr="00905C9F">
        <w:rPr>
          <w:rFonts w:asciiTheme="minorHAnsi" w:hAnsiTheme="minorHAnsi" w:cstheme="minorHAnsi"/>
          <w:sz w:val="24"/>
          <w:szCs w:val="24"/>
        </w:rPr>
        <w:t xml:space="preserve"> </w:t>
      </w:r>
      <w:r w:rsidR="00F27EAF" w:rsidRPr="00905C9F">
        <w:rPr>
          <w:rFonts w:asciiTheme="minorHAnsi" w:hAnsiTheme="minorHAnsi" w:cstheme="minorHAnsi"/>
          <w:sz w:val="24"/>
          <w:szCs w:val="24"/>
        </w:rPr>
        <w:t>a</w:t>
      </w:r>
      <w:r w:rsidR="00000C44" w:rsidRPr="00905C9F">
        <w:rPr>
          <w:rFonts w:asciiTheme="minorHAnsi" w:hAnsiTheme="minorHAnsi" w:cstheme="minorHAnsi"/>
          <w:sz w:val="24"/>
          <w:szCs w:val="24"/>
        </w:rPr>
        <w:t>n imbalance</w:t>
      </w:r>
      <w:r w:rsidR="00F27EAF" w:rsidRPr="00905C9F">
        <w:rPr>
          <w:rFonts w:asciiTheme="minorHAnsi" w:hAnsiTheme="minorHAnsi" w:cstheme="minorHAnsi"/>
          <w:sz w:val="24"/>
          <w:szCs w:val="24"/>
        </w:rPr>
        <w:t xml:space="preserve"> service</w:t>
      </w:r>
      <w:r w:rsidR="0034677D" w:rsidRPr="00905C9F">
        <w:rPr>
          <w:rFonts w:asciiTheme="minorHAnsi" w:hAnsiTheme="minorHAnsi" w:cstheme="minorHAnsi"/>
          <w:sz w:val="24"/>
          <w:szCs w:val="24"/>
        </w:rPr>
        <w:t xml:space="preserve"> </w:t>
      </w:r>
      <w:r w:rsidR="000F493A" w:rsidRPr="00905C9F">
        <w:rPr>
          <w:rFonts w:asciiTheme="minorHAnsi" w:hAnsiTheme="minorHAnsi" w:cstheme="minorHAnsi"/>
          <w:sz w:val="24"/>
          <w:szCs w:val="24"/>
        </w:rPr>
        <w:t xml:space="preserve">based on </w:t>
      </w:r>
      <w:r w:rsidR="007D4E9C" w:rsidRPr="00905C9F">
        <w:rPr>
          <w:rFonts w:asciiTheme="minorHAnsi" w:hAnsiTheme="minorHAnsi" w:cstheme="minorHAnsi"/>
          <w:sz w:val="24"/>
          <w:szCs w:val="24"/>
        </w:rPr>
        <w:t>the incremental (</w:t>
      </w:r>
      <w:proofErr w:type="spellStart"/>
      <w:r w:rsidR="007D4E9C" w:rsidRPr="00905C9F">
        <w:rPr>
          <w:rFonts w:asciiTheme="minorHAnsi" w:hAnsiTheme="minorHAnsi" w:cstheme="minorHAnsi"/>
          <w:i/>
          <w:sz w:val="24"/>
          <w:szCs w:val="24"/>
        </w:rPr>
        <w:t>inc</w:t>
      </w:r>
      <w:proofErr w:type="spellEnd"/>
      <w:r w:rsidR="007D4E9C" w:rsidRPr="00905C9F">
        <w:rPr>
          <w:rFonts w:asciiTheme="minorHAnsi" w:hAnsiTheme="minorHAnsi" w:cstheme="minorHAnsi"/>
          <w:sz w:val="24"/>
          <w:szCs w:val="24"/>
        </w:rPr>
        <w:t xml:space="preserve">) and </w:t>
      </w:r>
      <w:proofErr w:type="spellStart"/>
      <w:r w:rsidR="007D4E9C" w:rsidRPr="00905C9F">
        <w:rPr>
          <w:rFonts w:asciiTheme="minorHAnsi" w:hAnsiTheme="minorHAnsi" w:cstheme="minorHAnsi"/>
          <w:sz w:val="24"/>
          <w:szCs w:val="24"/>
        </w:rPr>
        <w:t>decremental</w:t>
      </w:r>
      <w:proofErr w:type="spellEnd"/>
      <w:r w:rsidR="007D4E9C" w:rsidRPr="00905C9F">
        <w:rPr>
          <w:rFonts w:asciiTheme="minorHAnsi" w:hAnsiTheme="minorHAnsi" w:cstheme="minorHAnsi"/>
          <w:sz w:val="24"/>
          <w:szCs w:val="24"/>
        </w:rPr>
        <w:t xml:space="preserve"> (</w:t>
      </w:r>
      <w:proofErr w:type="spellStart"/>
      <w:r w:rsidR="007D4E9C" w:rsidRPr="00905C9F">
        <w:rPr>
          <w:rFonts w:asciiTheme="minorHAnsi" w:hAnsiTheme="minorHAnsi" w:cstheme="minorHAnsi"/>
          <w:i/>
          <w:sz w:val="24"/>
          <w:szCs w:val="24"/>
        </w:rPr>
        <w:t>dec</w:t>
      </w:r>
      <w:proofErr w:type="spellEnd"/>
      <w:r w:rsidR="007D4E9C" w:rsidRPr="00905C9F">
        <w:rPr>
          <w:rFonts w:asciiTheme="minorHAnsi" w:hAnsiTheme="minorHAnsi" w:cstheme="minorHAnsi"/>
          <w:sz w:val="24"/>
          <w:szCs w:val="24"/>
        </w:rPr>
        <w:t xml:space="preserve">) reserve quantities </w:t>
      </w:r>
      <w:r w:rsidR="00495604">
        <w:rPr>
          <w:rFonts w:asciiTheme="minorHAnsi" w:hAnsiTheme="minorHAnsi" w:cstheme="minorHAnsi"/>
          <w:sz w:val="24"/>
          <w:szCs w:val="24"/>
        </w:rPr>
        <w:t xml:space="preserve">needed to support </w:t>
      </w:r>
      <w:r w:rsidR="00BE3CBC">
        <w:rPr>
          <w:rFonts w:asciiTheme="minorHAnsi" w:hAnsiTheme="minorHAnsi" w:cstheme="minorHAnsi"/>
          <w:sz w:val="24"/>
          <w:szCs w:val="24"/>
        </w:rPr>
        <w:t>Bonneville’s</w:t>
      </w:r>
      <w:r w:rsidR="00142084">
        <w:rPr>
          <w:rFonts w:asciiTheme="minorHAnsi" w:hAnsiTheme="minorHAnsi" w:cstheme="minorHAnsi"/>
          <w:sz w:val="24"/>
          <w:szCs w:val="24"/>
        </w:rPr>
        <w:t xml:space="preserve"> 99.7% planning standard.</w:t>
      </w:r>
      <w:r w:rsidR="00142084">
        <w:rPr>
          <w:sz w:val="24"/>
          <w:szCs w:val="24"/>
        </w:rPr>
        <w:t xml:space="preserve">  This is estimated to be less than 1</w:t>
      </w:r>
      <w:r w:rsidR="006E0D29">
        <w:rPr>
          <w:sz w:val="24"/>
          <w:szCs w:val="24"/>
        </w:rPr>
        <w:t>10</w:t>
      </w:r>
      <w:r w:rsidR="00142084">
        <w:rPr>
          <w:sz w:val="24"/>
          <w:szCs w:val="24"/>
        </w:rPr>
        <w:t xml:space="preserve"> curtailment events in a year.</w:t>
      </w:r>
    </w:p>
    <w:p w14:paraId="09B17D20" w14:textId="31494D73" w:rsidR="00237296" w:rsidRPr="00905C9F" w:rsidRDefault="002A1117" w:rsidP="00237296">
      <w:pPr>
        <w:spacing w:after="0" w:line="240" w:lineRule="auto"/>
        <w:ind w:left="720" w:hanging="720"/>
        <w:rPr>
          <w:rFonts w:asciiTheme="minorHAnsi" w:hAnsiTheme="minorHAnsi" w:cstheme="minorHAnsi"/>
          <w:sz w:val="24"/>
          <w:szCs w:val="24"/>
        </w:rPr>
      </w:pPr>
      <w:r w:rsidRPr="00905C9F">
        <w:rPr>
          <w:rFonts w:asciiTheme="minorHAnsi" w:hAnsiTheme="minorHAnsi" w:cstheme="minorHAnsi"/>
          <w:sz w:val="24"/>
          <w:szCs w:val="24"/>
        </w:rPr>
        <w:t>3</w:t>
      </w:r>
      <w:r w:rsidR="00226624" w:rsidRPr="00905C9F">
        <w:rPr>
          <w:rFonts w:asciiTheme="minorHAnsi" w:hAnsiTheme="minorHAnsi" w:cstheme="minorHAnsi"/>
          <w:sz w:val="24"/>
          <w:szCs w:val="24"/>
        </w:rPr>
        <w:t>.</w:t>
      </w:r>
      <w:r w:rsidR="00226624" w:rsidRPr="00905C9F">
        <w:rPr>
          <w:rFonts w:asciiTheme="minorHAnsi" w:hAnsiTheme="minorHAnsi" w:cstheme="minorHAnsi"/>
          <w:sz w:val="24"/>
          <w:szCs w:val="24"/>
        </w:rPr>
        <w:tab/>
      </w:r>
      <w:r w:rsidR="00405683" w:rsidRPr="00905C9F">
        <w:rPr>
          <w:rFonts w:asciiTheme="minorHAnsi" w:hAnsiTheme="minorHAnsi" w:cstheme="minorHAnsi"/>
          <w:b/>
          <w:i/>
          <w:sz w:val="24"/>
          <w:szCs w:val="24"/>
        </w:rPr>
        <w:t>Dec</w:t>
      </w:r>
      <w:r w:rsidR="00405683" w:rsidRPr="00905C9F">
        <w:rPr>
          <w:rFonts w:asciiTheme="minorHAnsi" w:hAnsiTheme="minorHAnsi" w:cstheme="minorHAnsi"/>
          <w:b/>
          <w:sz w:val="24"/>
          <w:szCs w:val="24"/>
        </w:rPr>
        <w:t xml:space="preserve"> Reserve.</w:t>
      </w:r>
      <w:r w:rsidR="00405683" w:rsidRPr="00905C9F">
        <w:rPr>
          <w:rFonts w:asciiTheme="minorHAnsi" w:hAnsiTheme="minorHAnsi" w:cstheme="minorHAnsi"/>
          <w:sz w:val="24"/>
          <w:szCs w:val="24"/>
        </w:rPr>
        <w:t xml:space="preserve">  </w:t>
      </w:r>
      <w:r w:rsidR="00160A8F" w:rsidRPr="00905C9F">
        <w:rPr>
          <w:rFonts w:asciiTheme="minorHAnsi" w:hAnsiTheme="minorHAnsi" w:cstheme="minorHAnsi"/>
          <w:sz w:val="24"/>
          <w:szCs w:val="24"/>
        </w:rPr>
        <w:t xml:space="preserve">Bonneville will </w:t>
      </w:r>
      <w:r w:rsidR="00405683" w:rsidRPr="00905C9F">
        <w:rPr>
          <w:rFonts w:asciiTheme="minorHAnsi" w:hAnsiTheme="minorHAnsi" w:cstheme="minorHAnsi"/>
          <w:sz w:val="24"/>
          <w:szCs w:val="24"/>
        </w:rPr>
        <w:t>use reasonable efforts to</w:t>
      </w:r>
      <w:r w:rsidR="00160A8F" w:rsidRPr="00905C9F">
        <w:rPr>
          <w:rFonts w:asciiTheme="minorHAnsi" w:hAnsiTheme="minorHAnsi" w:cstheme="minorHAnsi"/>
          <w:sz w:val="24"/>
          <w:szCs w:val="24"/>
        </w:rPr>
        <w:t xml:space="preserve"> provide </w:t>
      </w:r>
      <w:r w:rsidR="003301A4" w:rsidRPr="00905C9F">
        <w:rPr>
          <w:rFonts w:asciiTheme="minorHAnsi" w:hAnsiTheme="minorHAnsi" w:cstheme="minorHAnsi"/>
          <w:i/>
          <w:sz w:val="24"/>
          <w:szCs w:val="24"/>
        </w:rPr>
        <w:t xml:space="preserve">dec </w:t>
      </w:r>
      <w:r w:rsidR="00DD72A9" w:rsidRPr="00905C9F">
        <w:rPr>
          <w:rFonts w:asciiTheme="minorHAnsi" w:hAnsiTheme="minorHAnsi" w:cstheme="minorHAnsi"/>
          <w:sz w:val="24"/>
          <w:szCs w:val="24"/>
        </w:rPr>
        <w:t>balancing reserve capacity</w:t>
      </w:r>
      <w:r w:rsidR="00226624" w:rsidRPr="00905C9F">
        <w:rPr>
          <w:rFonts w:asciiTheme="minorHAnsi" w:hAnsiTheme="minorHAnsi" w:cstheme="minorHAnsi"/>
          <w:sz w:val="24"/>
          <w:szCs w:val="24"/>
        </w:rPr>
        <w:t xml:space="preserve"> </w:t>
      </w:r>
      <w:r w:rsidR="000B0FFA">
        <w:rPr>
          <w:rFonts w:asciiTheme="minorHAnsi" w:hAnsiTheme="minorHAnsi" w:cstheme="minorHAnsi"/>
          <w:sz w:val="24"/>
          <w:szCs w:val="24"/>
        </w:rPr>
        <w:t xml:space="preserve">consistent with </w:t>
      </w:r>
      <w:r w:rsidR="00742386">
        <w:rPr>
          <w:rFonts w:asciiTheme="minorHAnsi" w:hAnsiTheme="minorHAnsi" w:cstheme="minorHAnsi"/>
          <w:sz w:val="24"/>
          <w:szCs w:val="24"/>
        </w:rPr>
        <w:t xml:space="preserve">Bonneville’s </w:t>
      </w:r>
      <w:r w:rsidR="000B0FFA">
        <w:rPr>
          <w:rFonts w:asciiTheme="minorHAnsi" w:hAnsiTheme="minorHAnsi" w:cstheme="minorHAnsi"/>
          <w:sz w:val="24"/>
          <w:szCs w:val="24"/>
        </w:rPr>
        <w:t xml:space="preserve">99.7% planning standard </w:t>
      </w:r>
      <w:r w:rsidR="00DD72A9" w:rsidRPr="00905C9F">
        <w:rPr>
          <w:rFonts w:asciiTheme="minorHAnsi" w:hAnsiTheme="minorHAnsi" w:cstheme="minorHAnsi"/>
          <w:sz w:val="24"/>
          <w:szCs w:val="24"/>
        </w:rPr>
        <w:t xml:space="preserve">from the </w:t>
      </w:r>
      <w:r w:rsidR="009F04D6" w:rsidRPr="00905C9F">
        <w:rPr>
          <w:rFonts w:asciiTheme="minorHAnsi" w:hAnsiTheme="minorHAnsi" w:cstheme="minorHAnsi"/>
          <w:sz w:val="24"/>
          <w:szCs w:val="24"/>
        </w:rPr>
        <w:t xml:space="preserve">Federal Columbia River Power System (“FCRPS”) </w:t>
      </w:r>
      <w:r w:rsidR="00DD72A9" w:rsidRPr="00905C9F">
        <w:rPr>
          <w:rFonts w:asciiTheme="minorHAnsi" w:hAnsiTheme="minorHAnsi" w:cstheme="minorHAnsi"/>
          <w:sz w:val="24"/>
          <w:szCs w:val="24"/>
        </w:rPr>
        <w:t>during all hours of the Rate Period</w:t>
      </w:r>
      <w:r w:rsidR="00226624" w:rsidRPr="00905C9F">
        <w:rPr>
          <w:rFonts w:asciiTheme="minorHAnsi" w:hAnsiTheme="minorHAnsi" w:cstheme="minorHAnsi"/>
          <w:sz w:val="24"/>
          <w:szCs w:val="24"/>
        </w:rPr>
        <w:t xml:space="preserve">.  Bonneville and the Assenting Parties acknowledge that </w:t>
      </w:r>
      <w:r w:rsidR="00250595" w:rsidRPr="00905C9F">
        <w:rPr>
          <w:rFonts w:asciiTheme="minorHAnsi" w:hAnsiTheme="minorHAnsi" w:cstheme="minorHAnsi"/>
          <w:sz w:val="24"/>
          <w:szCs w:val="24"/>
        </w:rPr>
        <w:t xml:space="preserve">operational constraints and </w:t>
      </w:r>
      <w:r w:rsidR="00CF26B1" w:rsidRPr="00905C9F">
        <w:rPr>
          <w:rFonts w:asciiTheme="minorHAnsi" w:hAnsiTheme="minorHAnsi" w:cstheme="minorHAnsi"/>
          <w:sz w:val="24"/>
          <w:szCs w:val="24"/>
        </w:rPr>
        <w:t xml:space="preserve">significant energy imbalance accumulations </w:t>
      </w:r>
      <w:r w:rsidR="00250595" w:rsidRPr="00905C9F">
        <w:rPr>
          <w:rFonts w:asciiTheme="minorHAnsi" w:hAnsiTheme="minorHAnsi" w:cstheme="minorHAnsi"/>
          <w:sz w:val="24"/>
          <w:szCs w:val="24"/>
        </w:rPr>
        <w:t>during operational</w:t>
      </w:r>
      <w:r w:rsidR="00996097">
        <w:rPr>
          <w:rFonts w:asciiTheme="minorHAnsi" w:hAnsiTheme="minorHAnsi" w:cstheme="minorHAnsi"/>
          <w:sz w:val="24"/>
          <w:szCs w:val="24"/>
        </w:rPr>
        <w:t>ly</w:t>
      </w:r>
      <w:r w:rsidR="00226624" w:rsidRPr="00905C9F">
        <w:rPr>
          <w:rFonts w:asciiTheme="minorHAnsi" w:hAnsiTheme="minorHAnsi" w:cstheme="minorHAnsi"/>
          <w:sz w:val="24"/>
          <w:szCs w:val="24"/>
        </w:rPr>
        <w:t xml:space="preserve"> </w:t>
      </w:r>
      <w:r w:rsidR="00250595" w:rsidRPr="00905C9F">
        <w:rPr>
          <w:rFonts w:asciiTheme="minorHAnsi" w:hAnsiTheme="minorHAnsi" w:cstheme="minorHAnsi"/>
          <w:sz w:val="24"/>
          <w:szCs w:val="24"/>
        </w:rPr>
        <w:t xml:space="preserve">constrained periods of the year </w:t>
      </w:r>
      <w:r w:rsidR="00226624" w:rsidRPr="00905C9F">
        <w:rPr>
          <w:rFonts w:asciiTheme="minorHAnsi" w:hAnsiTheme="minorHAnsi" w:cstheme="minorHAnsi"/>
          <w:sz w:val="24"/>
          <w:szCs w:val="24"/>
        </w:rPr>
        <w:t xml:space="preserve">may limit Bonneville’s ability to provide </w:t>
      </w:r>
      <w:r w:rsidRPr="00905C9F">
        <w:rPr>
          <w:rFonts w:asciiTheme="minorHAnsi" w:hAnsiTheme="minorHAnsi" w:cstheme="minorHAnsi"/>
          <w:i/>
          <w:sz w:val="24"/>
          <w:szCs w:val="24"/>
        </w:rPr>
        <w:t xml:space="preserve">dec </w:t>
      </w:r>
      <w:r w:rsidR="00226624" w:rsidRPr="00905C9F">
        <w:rPr>
          <w:rFonts w:asciiTheme="minorHAnsi" w:hAnsiTheme="minorHAnsi" w:cstheme="minorHAnsi"/>
          <w:sz w:val="24"/>
          <w:szCs w:val="24"/>
        </w:rPr>
        <w:t>balancing reserve capacity from the FCRPS at times during the Rate Period.</w:t>
      </w:r>
      <w:r w:rsidR="0038175D" w:rsidRPr="00905C9F">
        <w:rPr>
          <w:rFonts w:asciiTheme="minorHAnsi" w:hAnsiTheme="minorHAnsi" w:cstheme="minorHAnsi"/>
          <w:sz w:val="24"/>
          <w:szCs w:val="24"/>
        </w:rPr>
        <w:t xml:space="preserve">  </w:t>
      </w:r>
      <w:r w:rsidR="00237296" w:rsidRPr="00905C9F">
        <w:rPr>
          <w:rFonts w:asciiTheme="minorHAnsi" w:hAnsiTheme="minorHAnsi" w:cstheme="minorHAnsi"/>
          <w:sz w:val="24"/>
          <w:szCs w:val="24"/>
        </w:rPr>
        <w:t xml:space="preserve">Bonneville shall not make any </w:t>
      </w:r>
      <w:r w:rsidR="00237296" w:rsidRPr="00905C9F">
        <w:rPr>
          <w:rFonts w:asciiTheme="minorHAnsi" w:hAnsiTheme="minorHAnsi" w:cstheme="minorHAnsi"/>
          <w:i/>
          <w:sz w:val="24"/>
          <w:szCs w:val="24"/>
        </w:rPr>
        <w:t xml:space="preserve">dec </w:t>
      </w:r>
      <w:r w:rsidR="00237296" w:rsidRPr="00905C9F">
        <w:rPr>
          <w:rFonts w:asciiTheme="minorHAnsi" w:hAnsiTheme="minorHAnsi" w:cstheme="minorHAnsi"/>
          <w:sz w:val="24"/>
          <w:szCs w:val="24"/>
        </w:rPr>
        <w:t xml:space="preserve">balancing reserve capacity acquisitions unless Bonneville determines </w:t>
      </w:r>
      <w:r w:rsidR="00237296" w:rsidRPr="00905C9F">
        <w:rPr>
          <w:rFonts w:asciiTheme="minorHAnsi" w:hAnsiTheme="minorHAnsi" w:cstheme="minorHAnsi"/>
          <w:i/>
          <w:sz w:val="24"/>
          <w:szCs w:val="24"/>
        </w:rPr>
        <w:t xml:space="preserve">dec </w:t>
      </w:r>
      <w:r w:rsidR="00237296" w:rsidRPr="00905C9F">
        <w:rPr>
          <w:rFonts w:asciiTheme="minorHAnsi" w:hAnsiTheme="minorHAnsi" w:cstheme="minorHAnsi"/>
          <w:sz w:val="24"/>
          <w:szCs w:val="24"/>
        </w:rPr>
        <w:t>balancing reserve capacity acquisitions are necessary to maintain system reliability.</w:t>
      </w:r>
    </w:p>
    <w:p w14:paraId="7919F6B5" w14:textId="77777777" w:rsidR="0043750C" w:rsidRPr="00905C9F" w:rsidRDefault="0043750C" w:rsidP="004A722A">
      <w:pPr>
        <w:widowControl w:val="0"/>
        <w:autoSpaceDE w:val="0"/>
        <w:autoSpaceDN w:val="0"/>
        <w:spacing w:after="0" w:line="240" w:lineRule="auto"/>
        <w:rPr>
          <w:rFonts w:asciiTheme="minorHAnsi" w:hAnsiTheme="minorHAnsi" w:cstheme="minorHAnsi"/>
          <w:sz w:val="24"/>
          <w:szCs w:val="24"/>
        </w:rPr>
      </w:pPr>
    </w:p>
    <w:p w14:paraId="60F12040" w14:textId="3000BA3B" w:rsidR="00C634B7" w:rsidRDefault="00583124" w:rsidP="009E7C72">
      <w:pPr>
        <w:widowControl w:val="0"/>
        <w:autoSpaceDE w:val="0"/>
        <w:autoSpaceDN w:val="0"/>
        <w:spacing w:after="0" w:line="240" w:lineRule="auto"/>
        <w:ind w:left="720" w:hanging="720"/>
        <w:rPr>
          <w:rFonts w:asciiTheme="minorHAnsi" w:hAnsiTheme="minorHAnsi" w:cstheme="minorHAnsi"/>
          <w:sz w:val="24"/>
          <w:szCs w:val="24"/>
        </w:rPr>
      </w:pPr>
      <w:r w:rsidRPr="00905C9F">
        <w:rPr>
          <w:rFonts w:asciiTheme="minorHAnsi" w:hAnsiTheme="minorHAnsi" w:cstheme="minorHAnsi"/>
          <w:sz w:val="24"/>
          <w:szCs w:val="24"/>
        </w:rPr>
        <w:t>4</w:t>
      </w:r>
      <w:r w:rsidR="0043750C" w:rsidRPr="00905C9F">
        <w:rPr>
          <w:rFonts w:asciiTheme="minorHAnsi" w:hAnsiTheme="minorHAnsi" w:cstheme="minorHAnsi"/>
          <w:sz w:val="24"/>
          <w:szCs w:val="24"/>
        </w:rPr>
        <w:t>.</w:t>
      </w:r>
      <w:r w:rsidR="0043750C" w:rsidRPr="00905C9F">
        <w:rPr>
          <w:rFonts w:asciiTheme="minorHAnsi" w:hAnsiTheme="minorHAnsi" w:cstheme="minorHAnsi"/>
          <w:sz w:val="24"/>
          <w:szCs w:val="24"/>
        </w:rPr>
        <w:tab/>
      </w:r>
      <w:r w:rsidR="00B35D55" w:rsidRPr="00905C9F">
        <w:rPr>
          <w:rFonts w:asciiTheme="minorHAnsi" w:hAnsiTheme="minorHAnsi" w:cstheme="minorHAnsi"/>
          <w:b/>
          <w:i/>
          <w:sz w:val="24"/>
          <w:szCs w:val="24"/>
        </w:rPr>
        <w:t xml:space="preserve">Inc </w:t>
      </w:r>
      <w:r w:rsidR="00B35D55" w:rsidRPr="00905C9F">
        <w:rPr>
          <w:rFonts w:asciiTheme="minorHAnsi" w:hAnsiTheme="minorHAnsi" w:cstheme="minorHAnsi"/>
          <w:b/>
          <w:sz w:val="24"/>
          <w:szCs w:val="24"/>
        </w:rPr>
        <w:t xml:space="preserve">Reserve.  </w:t>
      </w:r>
      <w:r w:rsidR="0043750C" w:rsidRPr="00905C9F">
        <w:rPr>
          <w:rFonts w:asciiTheme="minorHAnsi" w:hAnsiTheme="minorHAnsi" w:cstheme="minorHAnsi"/>
          <w:sz w:val="24"/>
          <w:szCs w:val="24"/>
        </w:rPr>
        <w:t xml:space="preserve">Bonneville will </w:t>
      </w:r>
      <w:r w:rsidR="00B35D55" w:rsidRPr="00905C9F">
        <w:rPr>
          <w:rFonts w:asciiTheme="minorHAnsi" w:hAnsiTheme="minorHAnsi" w:cstheme="minorHAnsi"/>
          <w:sz w:val="24"/>
          <w:szCs w:val="24"/>
        </w:rPr>
        <w:t>use reasonable efforts</w:t>
      </w:r>
      <w:r w:rsidR="00EB4A44" w:rsidRPr="00905C9F">
        <w:rPr>
          <w:rFonts w:asciiTheme="minorHAnsi" w:hAnsiTheme="minorHAnsi" w:cstheme="minorHAnsi"/>
          <w:sz w:val="24"/>
          <w:szCs w:val="24"/>
        </w:rPr>
        <w:t xml:space="preserve"> </w:t>
      </w:r>
      <w:r w:rsidR="0043750C" w:rsidRPr="00905C9F">
        <w:rPr>
          <w:rFonts w:asciiTheme="minorHAnsi" w:hAnsiTheme="minorHAnsi" w:cstheme="minorHAnsi"/>
          <w:sz w:val="24"/>
          <w:szCs w:val="24"/>
        </w:rPr>
        <w:t xml:space="preserve">to </w:t>
      </w:r>
      <w:r w:rsidR="004C7AB1" w:rsidRPr="00905C9F">
        <w:rPr>
          <w:rFonts w:asciiTheme="minorHAnsi" w:hAnsiTheme="minorHAnsi" w:cstheme="minorHAnsi"/>
          <w:sz w:val="24"/>
          <w:szCs w:val="24"/>
        </w:rPr>
        <w:t xml:space="preserve">provide </w:t>
      </w:r>
      <w:r w:rsidR="00EC79D6">
        <w:rPr>
          <w:rFonts w:asciiTheme="minorHAnsi" w:hAnsiTheme="minorHAnsi" w:cstheme="minorHAnsi"/>
          <w:i/>
          <w:sz w:val="24"/>
          <w:szCs w:val="24"/>
        </w:rPr>
        <w:t>inc</w:t>
      </w:r>
      <w:r w:rsidR="00EC79D6" w:rsidRPr="00905C9F">
        <w:rPr>
          <w:rFonts w:asciiTheme="minorHAnsi" w:hAnsiTheme="minorHAnsi" w:cstheme="minorHAnsi"/>
          <w:i/>
          <w:sz w:val="24"/>
          <w:szCs w:val="24"/>
        </w:rPr>
        <w:t xml:space="preserve"> </w:t>
      </w:r>
      <w:r w:rsidR="00EC79D6" w:rsidRPr="00905C9F">
        <w:rPr>
          <w:rFonts w:asciiTheme="minorHAnsi" w:hAnsiTheme="minorHAnsi" w:cstheme="minorHAnsi"/>
          <w:sz w:val="24"/>
          <w:szCs w:val="24"/>
        </w:rPr>
        <w:t xml:space="preserve">balancing reserve capacity </w:t>
      </w:r>
      <w:r w:rsidR="00EC79D6">
        <w:rPr>
          <w:rFonts w:asciiTheme="minorHAnsi" w:hAnsiTheme="minorHAnsi" w:cstheme="minorHAnsi"/>
          <w:sz w:val="24"/>
          <w:szCs w:val="24"/>
        </w:rPr>
        <w:t xml:space="preserve">consistent with </w:t>
      </w:r>
      <w:r w:rsidR="00742386">
        <w:rPr>
          <w:rFonts w:asciiTheme="minorHAnsi" w:hAnsiTheme="minorHAnsi" w:cstheme="minorHAnsi"/>
          <w:sz w:val="24"/>
          <w:szCs w:val="24"/>
        </w:rPr>
        <w:t>Bonneville’s</w:t>
      </w:r>
      <w:r w:rsidR="00EC79D6">
        <w:rPr>
          <w:rFonts w:asciiTheme="minorHAnsi" w:hAnsiTheme="minorHAnsi" w:cstheme="minorHAnsi"/>
          <w:sz w:val="24"/>
          <w:szCs w:val="24"/>
        </w:rPr>
        <w:t xml:space="preserve"> 99.7% planning standard</w:t>
      </w:r>
      <w:r w:rsidR="00FB5481">
        <w:rPr>
          <w:rFonts w:asciiTheme="minorHAnsi" w:hAnsiTheme="minorHAnsi" w:cstheme="minorHAnsi"/>
          <w:sz w:val="24"/>
          <w:szCs w:val="24"/>
        </w:rPr>
        <w:t>,</w:t>
      </w:r>
      <w:r w:rsidR="00EC79D6">
        <w:rPr>
          <w:rFonts w:asciiTheme="minorHAnsi" w:hAnsiTheme="minorHAnsi" w:cstheme="minorHAnsi"/>
          <w:sz w:val="24"/>
          <w:szCs w:val="24"/>
        </w:rPr>
        <w:t xml:space="preserve"> </w:t>
      </w:r>
      <w:r w:rsidR="00FB5481">
        <w:rPr>
          <w:rFonts w:asciiTheme="minorHAnsi" w:hAnsiTheme="minorHAnsi" w:cstheme="minorHAnsi"/>
          <w:sz w:val="24"/>
          <w:szCs w:val="24"/>
        </w:rPr>
        <w:t>as described in section 2 of this Attachment 1,</w:t>
      </w:r>
      <w:r w:rsidR="00FB5481" w:rsidRPr="00905C9F">
        <w:rPr>
          <w:rFonts w:asciiTheme="minorHAnsi" w:hAnsiTheme="minorHAnsi" w:cstheme="minorHAnsi"/>
          <w:sz w:val="24"/>
          <w:szCs w:val="24"/>
        </w:rPr>
        <w:t xml:space="preserve"> </w:t>
      </w:r>
      <w:r w:rsidR="00EC79D6" w:rsidRPr="00905C9F">
        <w:rPr>
          <w:rFonts w:asciiTheme="minorHAnsi" w:hAnsiTheme="minorHAnsi" w:cstheme="minorHAnsi"/>
          <w:sz w:val="24"/>
          <w:szCs w:val="24"/>
        </w:rPr>
        <w:t>from the Federal Columbia River Power System (“FCRPS”)</w:t>
      </w:r>
      <w:r w:rsidR="008C75FD" w:rsidRPr="008C75FD">
        <w:rPr>
          <w:rFonts w:asciiTheme="minorHAnsi" w:hAnsiTheme="minorHAnsi" w:cstheme="minorHAnsi"/>
          <w:sz w:val="24"/>
          <w:szCs w:val="24"/>
        </w:rPr>
        <w:t xml:space="preserve"> </w:t>
      </w:r>
      <w:r w:rsidR="008C75FD" w:rsidRPr="00905C9F">
        <w:rPr>
          <w:rFonts w:asciiTheme="minorHAnsi" w:hAnsiTheme="minorHAnsi" w:cstheme="minorHAnsi"/>
          <w:sz w:val="24"/>
          <w:szCs w:val="24"/>
        </w:rPr>
        <w:t>during all hours of the Rate Period</w:t>
      </w:r>
      <w:r w:rsidR="00693841">
        <w:rPr>
          <w:rFonts w:asciiTheme="minorHAnsi" w:hAnsiTheme="minorHAnsi" w:cstheme="minorHAnsi"/>
          <w:sz w:val="24"/>
          <w:szCs w:val="24"/>
        </w:rPr>
        <w:t>.</w:t>
      </w:r>
      <w:r w:rsidR="00FB5481">
        <w:rPr>
          <w:rFonts w:asciiTheme="minorHAnsi" w:hAnsiTheme="minorHAnsi" w:cstheme="minorHAnsi"/>
          <w:sz w:val="24"/>
          <w:szCs w:val="24"/>
        </w:rPr>
        <w:t xml:space="preserve"> </w:t>
      </w:r>
      <w:r w:rsidR="00693841">
        <w:rPr>
          <w:rFonts w:asciiTheme="minorHAnsi" w:hAnsiTheme="minorHAnsi" w:cstheme="minorHAnsi"/>
          <w:sz w:val="24"/>
          <w:szCs w:val="24"/>
        </w:rPr>
        <w:t xml:space="preserve"> </w:t>
      </w:r>
      <w:r w:rsidR="00DC29D9">
        <w:rPr>
          <w:rFonts w:asciiTheme="minorHAnsi" w:hAnsiTheme="minorHAnsi" w:cstheme="minorHAnsi"/>
          <w:sz w:val="24"/>
          <w:szCs w:val="24"/>
        </w:rPr>
        <w:t xml:space="preserve">Bonneville is not obligated to provide more than the </w:t>
      </w:r>
      <w:r w:rsidR="00DC29D9">
        <w:rPr>
          <w:rFonts w:asciiTheme="minorHAnsi" w:hAnsiTheme="minorHAnsi" w:cstheme="minorHAnsi"/>
          <w:i/>
          <w:sz w:val="24"/>
          <w:szCs w:val="24"/>
        </w:rPr>
        <w:t xml:space="preserve">inc </w:t>
      </w:r>
      <w:r w:rsidR="00DC29D9" w:rsidRPr="001C289F">
        <w:rPr>
          <w:rFonts w:asciiTheme="minorHAnsi" w:hAnsiTheme="minorHAnsi" w:cstheme="minorHAnsi"/>
          <w:sz w:val="24"/>
          <w:szCs w:val="24"/>
        </w:rPr>
        <w:t>balancin</w:t>
      </w:r>
      <w:r w:rsidR="00DC29D9">
        <w:rPr>
          <w:rFonts w:asciiTheme="minorHAnsi" w:hAnsiTheme="minorHAnsi" w:cstheme="minorHAnsi"/>
          <w:sz w:val="24"/>
          <w:szCs w:val="24"/>
        </w:rPr>
        <w:t xml:space="preserve">g reserve capacity </w:t>
      </w:r>
      <w:r w:rsidR="007D1F75">
        <w:rPr>
          <w:rFonts w:asciiTheme="minorHAnsi" w:hAnsiTheme="minorHAnsi" w:cstheme="minorHAnsi"/>
          <w:sz w:val="24"/>
          <w:szCs w:val="24"/>
        </w:rPr>
        <w:t xml:space="preserve">amount </w:t>
      </w:r>
      <w:r w:rsidR="00DC29D9">
        <w:rPr>
          <w:rFonts w:asciiTheme="minorHAnsi" w:hAnsiTheme="minorHAnsi" w:cstheme="minorHAnsi"/>
          <w:sz w:val="24"/>
          <w:szCs w:val="24"/>
        </w:rPr>
        <w:t xml:space="preserve">as calculated with Bonneville’s 99.7% planning standard.  </w:t>
      </w:r>
      <w:r w:rsidR="00693841">
        <w:rPr>
          <w:rFonts w:asciiTheme="minorHAnsi" w:hAnsiTheme="minorHAnsi" w:cstheme="minorHAnsi"/>
          <w:sz w:val="24"/>
          <w:szCs w:val="24"/>
        </w:rPr>
        <w:t xml:space="preserve">To the extent Bonneville cannot meet the </w:t>
      </w:r>
      <w:r w:rsidR="0067457B">
        <w:rPr>
          <w:rFonts w:asciiTheme="minorHAnsi" w:hAnsiTheme="minorHAnsi" w:cstheme="minorHAnsi"/>
          <w:sz w:val="24"/>
          <w:szCs w:val="24"/>
        </w:rPr>
        <w:t xml:space="preserve">capacity amount consistent with the </w:t>
      </w:r>
      <w:r w:rsidR="00693841">
        <w:rPr>
          <w:rFonts w:asciiTheme="minorHAnsi" w:hAnsiTheme="minorHAnsi" w:cstheme="minorHAnsi"/>
          <w:sz w:val="24"/>
          <w:szCs w:val="24"/>
        </w:rPr>
        <w:t xml:space="preserve">99.7% planning standard from </w:t>
      </w:r>
      <w:r w:rsidR="00DC29D9">
        <w:rPr>
          <w:rFonts w:asciiTheme="minorHAnsi" w:hAnsiTheme="minorHAnsi" w:cstheme="minorHAnsi"/>
          <w:sz w:val="24"/>
          <w:szCs w:val="24"/>
        </w:rPr>
        <w:t xml:space="preserve">the </w:t>
      </w:r>
      <w:r w:rsidR="00693841">
        <w:rPr>
          <w:rFonts w:asciiTheme="minorHAnsi" w:hAnsiTheme="minorHAnsi" w:cstheme="minorHAnsi"/>
          <w:sz w:val="24"/>
          <w:szCs w:val="24"/>
        </w:rPr>
        <w:t xml:space="preserve">FCRPS, Bonneville will use reasonable efforts to </w:t>
      </w:r>
      <w:r w:rsidR="00DC29D9">
        <w:rPr>
          <w:rFonts w:asciiTheme="minorHAnsi" w:hAnsiTheme="minorHAnsi" w:cstheme="minorHAnsi"/>
          <w:sz w:val="24"/>
          <w:szCs w:val="24"/>
        </w:rPr>
        <w:t>acquire</w:t>
      </w:r>
      <w:r w:rsidR="00693841">
        <w:rPr>
          <w:rFonts w:asciiTheme="minorHAnsi" w:hAnsiTheme="minorHAnsi" w:cstheme="minorHAnsi"/>
          <w:sz w:val="24"/>
          <w:szCs w:val="24"/>
        </w:rPr>
        <w:t xml:space="preserve"> </w:t>
      </w:r>
      <w:r w:rsidR="0058115B">
        <w:rPr>
          <w:rFonts w:asciiTheme="minorHAnsi" w:hAnsiTheme="minorHAnsi" w:cstheme="minorHAnsi"/>
          <w:sz w:val="24"/>
          <w:szCs w:val="24"/>
        </w:rPr>
        <w:t>third-party</w:t>
      </w:r>
      <w:r w:rsidR="00A01E0B">
        <w:rPr>
          <w:rFonts w:asciiTheme="minorHAnsi" w:hAnsiTheme="minorHAnsi" w:cstheme="minorHAnsi"/>
          <w:sz w:val="24"/>
          <w:szCs w:val="24"/>
        </w:rPr>
        <w:t xml:space="preserve"> sources </w:t>
      </w:r>
      <w:r w:rsidR="00693841">
        <w:rPr>
          <w:rFonts w:asciiTheme="minorHAnsi" w:hAnsiTheme="minorHAnsi" w:cstheme="minorHAnsi"/>
          <w:sz w:val="24"/>
          <w:szCs w:val="24"/>
        </w:rPr>
        <w:t>to meet the 99.7% planning standard</w:t>
      </w:r>
      <w:r w:rsidR="00A01E0B">
        <w:rPr>
          <w:rFonts w:asciiTheme="minorHAnsi" w:hAnsiTheme="minorHAnsi" w:cstheme="minorHAnsi"/>
          <w:sz w:val="24"/>
          <w:szCs w:val="24"/>
        </w:rPr>
        <w:t>.</w:t>
      </w:r>
      <w:r w:rsidR="007C37A2">
        <w:rPr>
          <w:rFonts w:asciiTheme="minorHAnsi" w:hAnsiTheme="minorHAnsi" w:cstheme="minorHAnsi"/>
          <w:sz w:val="24"/>
          <w:szCs w:val="24"/>
        </w:rPr>
        <w:t xml:space="preserve"> </w:t>
      </w:r>
      <w:r w:rsidR="00DA5234">
        <w:rPr>
          <w:rFonts w:asciiTheme="minorHAnsi" w:hAnsiTheme="minorHAnsi" w:cstheme="minorHAnsi"/>
          <w:sz w:val="24"/>
          <w:szCs w:val="24"/>
        </w:rPr>
        <w:t xml:space="preserve"> </w:t>
      </w:r>
      <w:r w:rsidR="00122876">
        <w:rPr>
          <w:rFonts w:asciiTheme="minorHAnsi" w:hAnsiTheme="minorHAnsi" w:cstheme="minorHAnsi"/>
          <w:sz w:val="24"/>
          <w:szCs w:val="24"/>
        </w:rPr>
        <w:t xml:space="preserve">Bonneville maintains the </w:t>
      </w:r>
      <w:r w:rsidR="006B73DA">
        <w:rPr>
          <w:rFonts w:asciiTheme="minorHAnsi" w:hAnsiTheme="minorHAnsi" w:cstheme="minorHAnsi"/>
          <w:sz w:val="24"/>
          <w:szCs w:val="24"/>
        </w:rPr>
        <w:t>operational flexibility</w:t>
      </w:r>
      <w:r w:rsidR="000636BF">
        <w:rPr>
          <w:rFonts w:asciiTheme="minorHAnsi" w:hAnsiTheme="minorHAnsi" w:cstheme="minorHAnsi"/>
          <w:sz w:val="24"/>
          <w:szCs w:val="24"/>
        </w:rPr>
        <w:t xml:space="preserve">, used at Bonneville’s sole </w:t>
      </w:r>
      <w:r w:rsidR="004465CC">
        <w:rPr>
          <w:rFonts w:asciiTheme="minorHAnsi" w:hAnsiTheme="minorHAnsi" w:cstheme="minorHAnsi"/>
          <w:sz w:val="24"/>
          <w:szCs w:val="24"/>
        </w:rPr>
        <w:t>discretion</w:t>
      </w:r>
      <w:r w:rsidR="000636BF">
        <w:rPr>
          <w:rFonts w:asciiTheme="minorHAnsi" w:hAnsiTheme="minorHAnsi" w:cstheme="minorHAnsi"/>
          <w:sz w:val="24"/>
          <w:szCs w:val="24"/>
        </w:rPr>
        <w:t>,</w:t>
      </w:r>
      <w:r w:rsidR="006B73DA">
        <w:rPr>
          <w:rFonts w:asciiTheme="minorHAnsi" w:hAnsiTheme="minorHAnsi" w:cstheme="minorHAnsi"/>
          <w:sz w:val="24"/>
          <w:szCs w:val="24"/>
        </w:rPr>
        <w:t xml:space="preserve"> to </w:t>
      </w:r>
      <w:r w:rsidR="00356FD8">
        <w:rPr>
          <w:rFonts w:asciiTheme="minorHAnsi" w:hAnsiTheme="minorHAnsi" w:cstheme="minorHAnsi"/>
          <w:sz w:val="24"/>
          <w:szCs w:val="24"/>
        </w:rPr>
        <w:t xml:space="preserve">provide less </w:t>
      </w:r>
      <w:r w:rsidR="00356FD8">
        <w:rPr>
          <w:rFonts w:asciiTheme="minorHAnsi" w:hAnsiTheme="minorHAnsi" w:cstheme="minorHAnsi"/>
          <w:i/>
          <w:sz w:val="24"/>
          <w:szCs w:val="24"/>
        </w:rPr>
        <w:t xml:space="preserve">inc </w:t>
      </w:r>
      <w:r w:rsidR="00356FD8">
        <w:rPr>
          <w:rFonts w:asciiTheme="minorHAnsi" w:hAnsiTheme="minorHAnsi" w:cstheme="minorHAnsi"/>
          <w:sz w:val="24"/>
          <w:szCs w:val="24"/>
        </w:rPr>
        <w:t xml:space="preserve">balancing reserve capacity than the amount calculated with Bonneville’s 99.7% planning standard </w:t>
      </w:r>
      <w:r w:rsidR="004156BA">
        <w:rPr>
          <w:rFonts w:asciiTheme="minorHAnsi" w:hAnsiTheme="minorHAnsi" w:cstheme="minorHAnsi"/>
          <w:sz w:val="24"/>
          <w:szCs w:val="24"/>
        </w:rPr>
        <w:t xml:space="preserve">after </w:t>
      </w:r>
      <w:r w:rsidR="00C634B7">
        <w:rPr>
          <w:rFonts w:asciiTheme="minorHAnsi" w:hAnsiTheme="minorHAnsi" w:cstheme="minorHAnsi"/>
          <w:sz w:val="24"/>
          <w:szCs w:val="24"/>
        </w:rPr>
        <w:t>consider</w:t>
      </w:r>
      <w:r w:rsidR="004156BA">
        <w:rPr>
          <w:rFonts w:asciiTheme="minorHAnsi" w:hAnsiTheme="minorHAnsi" w:cstheme="minorHAnsi"/>
          <w:sz w:val="24"/>
          <w:szCs w:val="24"/>
        </w:rPr>
        <w:t>ing the projected</w:t>
      </w:r>
      <w:r w:rsidR="00C634B7">
        <w:rPr>
          <w:rFonts w:asciiTheme="minorHAnsi" w:hAnsiTheme="minorHAnsi" w:cstheme="minorHAnsi"/>
          <w:sz w:val="24"/>
          <w:szCs w:val="24"/>
        </w:rPr>
        <w:t>:</w:t>
      </w:r>
    </w:p>
    <w:p w14:paraId="494B6CE3" w14:textId="77777777" w:rsidR="00C634B7" w:rsidRDefault="00C634B7" w:rsidP="009E7C72">
      <w:pPr>
        <w:widowControl w:val="0"/>
        <w:autoSpaceDE w:val="0"/>
        <w:autoSpaceDN w:val="0"/>
        <w:spacing w:after="0" w:line="240" w:lineRule="auto"/>
        <w:ind w:left="720" w:hanging="720"/>
        <w:rPr>
          <w:rFonts w:asciiTheme="minorHAnsi" w:hAnsiTheme="minorHAnsi" w:cstheme="minorHAnsi"/>
          <w:sz w:val="24"/>
          <w:szCs w:val="24"/>
        </w:rPr>
      </w:pPr>
    </w:p>
    <w:p w14:paraId="130968AF" w14:textId="0A9347E8" w:rsidR="00C634B7" w:rsidRDefault="00C634B7" w:rsidP="00C634B7">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rPr>
        <w:tab/>
        <w:t xml:space="preserve">availability of </w:t>
      </w:r>
      <w:r w:rsidRPr="00356FD8">
        <w:rPr>
          <w:rFonts w:asciiTheme="minorHAnsi" w:hAnsiTheme="minorHAnsi" w:cstheme="minorHAnsi"/>
          <w:i/>
          <w:sz w:val="24"/>
          <w:szCs w:val="24"/>
        </w:rPr>
        <w:t>inc</w:t>
      </w:r>
      <w:r w:rsidRPr="0067457B">
        <w:rPr>
          <w:rFonts w:asciiTheme="minorHAnsi" w:hAnsiTheme="minorHAnsi" w:cstheme="minorHAnsi"/>
          <w:sz w:val="24"/>
          <w:szCs w:val="24"/>
        </w:rPr>
        <w:t xml:space="preserve"> </w:t>
      </w:r>
      <w:r>
        <w:rPr>
          <w:rFonts w:asciiTheme="minorHAnsi" w:hAnsiTheme="minorHAnsi" w:cstheme="minorHAnsi"/>
          <w:sz w:val="24"/>
          <w:szCs w:val="24"/>
        </w:rPr>
        <w:t>balancing reserve capacity</w:t>
      </w:r>
      <w:r w:rsidR="00356FD8">
        <w:rPr>
          <w:rFonts w:asciiTheme="minorHAnsi" w:hAnsiTheme="minorHAnsi" w:cstheme="minorHAnsi"/>
          <w:sz w:val="24"/>
          <w:szCs w:val="24"/>
        </w:rPr>
        <w:t>;</w:t>
      </w:r>
    </w:p>
    <w:p w14:paraId="394E6766" w14:textId="4F3A430E" w:rsidR="00C634B7" w:rsidRPr="004F2240" w:rsidRDefault="00C634B7" w:rsidP="00C634B7">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b.</w:t>
      </w:r>
      <w:r>
        <w:rPr>
          <w:rFonts w:asciiTheme="minorHAnsi" w:hAnsiTheme="minorHAnsi" w:cstheme="minorHAnsi"/>
          <w:sz w:val="24"/>
          <w:szCs w:val="24"/>
        </w:rPr>
        <w:tab/>
      </w:r>
      <w:r w:rsidR="00356FD8">
        <w:rPr>
          <w:rFonts w:asciiTheme="minorHAnsi" w:hAnsiTheme="minorHAnsi" w:cstheme="minorHAnsi"/>
          <w:sz w:val="24"/>
          <w:szCs w:val="24"/>
        </w:rPr>
        <w:t xml:space="preserve">cost of acquired </w:t>
      </w:r>
      <w:r w:rsidR="00356FD8" w:rsidRPr="00356FD8">
        <w:rPr>
          <w:rFonts w:asciiTheme="minorHAnsi" w:hAnsiTheme="minorHAnsi" w:cstheme="minorHAnsi"/>
          <w:i/>
          <w:sz w:val="24"/>
          <w:szCs w:val="24"/>
        </w:rPr>
        <w:t>inc</w:t>
      </w:r>
      <w:r w:rsidR="00356FD8" w:rsidRPr="0067457B">
        <w:rPr>
          <w:rFonts w:asciiTheme="minorHAnsi" w:hAnsiTheme="minorHAnsi" w:cstheme="minorHAnsi"/>
          <w:sz w:val="24"/>
          <w:szCs w:val="24"/>
        </w:rPr>
        <w:t xml:space="preserve"> </w:t>
      </w:r>
      <w:r w:rsidR="00356FD8">
        <w:rPr>
          <w:rFonts w:asciiTheme="minorHAnsi" w:hAnsiTheme="minorHAnsi" w:cstheme="minorHAnsi"/>
          <w:sz w:val="24"/>
          <w:szCs w:val="24"/>
        </w:rPr>
        <w:t>balancing reserve capacity;</w:t>
      </w:r>
    </w:p>
    <w:p w14:paraId="024CCB73" w14:textId="4973446C" w:rsidR="00356FD8" w:rsidRDefault="00C634B7" w:rsidP="0067457B">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c.</w:t>
      </w:r>
      <w:r>
        <w:rPr>
          <w:rFonts w:asciiTheme="minorHAnsi" w:hAnsiTheme="minorHAnsi" w:cstheme="minorHAnsi"/>
          <w:sz w:val="24"/>
          <w:szCs w:val="24"/>
        </w:rPr>
        <w:tab/>
      </w:r>
      <w:r w:rsidR="004156BA">
        <w:rPr>
          <w:rFonts w:asciiTheme="minorHAnsi" w:hAnsiTheme="minorHAnsi" w:cstheme="minorHAnsi"/>
          <w:sz w:val="24"/>
          <w:szCs w:val="24"/>
        </w:rPr>
        <w:t>reserve needs</w:t>
      </w:r>
      <w:r w:rsidR="00356FD8">
        <w:rPr>
          <w:rFonts w:asciiTheme="minorHAnsi" w:hAnsiTheme="minorHAnsi" w:cstheme="minorHAnsi"/>
          <w:sz w:val="24"/>
          <w:szCs w:val="24"/>
        </w:rPr>
        <w:t>; and</w:t>
      </w:r>
    </w:p>
    <w:p w14:paraId="5030A65B" w14:textId="5B12A63E" w:rsidR="00356FD8" w:rsidRPr="004F2240" w:rsidRDefault="00EF6F4F" w:rsidP="00356FD8">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d</w:t>
      </w:r>
      <w:r w:rsidR="00356FD8">
        <w:rPr>
          <w:rFonts w:asciiTheme="minorHAnsi" w:hAnsiTheme="minorHAnsi" w:cstheme="minorHAnsi"/>
          <w:sz w:val="24"/>
          <w:szCs w:val="24"/>
        </w:rPr>
        <w:t>.</w:t>
      </w:r>
      <w:r w:rsidR="00356FD8">
        <w:rPr>
          <w:rFonts w:asciiTheme="minorHAnsi" w:hAnsiTheme="minorHAnsi" w:cstheme="minorHAnsi"/>
          <w:sz w:val="24"/>
          <w:szCs w:val="24"/>
        </w:rPr>
        <w:tab/>
        <w:t>impacts during the affected timeframe</w:t>
      </w:r>
      <w:r w:rsidR="004156BA">
        <w:rPr>
          <w:rFonts w:asciiTheme="minorHAnsi" w:hAnsiTheme="minorHAnsi" w:cstheme="minorHAnsi"/>
          <w:sz w:val="24"/>
          <w:szCs w:val="24"/>
        </w:rPr>
        <w:t>.</w:t>
      </w:r>
    </w:p>
    <w:p w14:paraId="4B2BEA91" w14:textId="77777777" w:rsidR="00583124" w:rsidRPr="00905C9F" w:rsidRDefault="00583124" w:rsidP="00CB0D89">
      <w:pPr>
        <w:widowControl w:val="0"/>
        <w:autoSpaceDE w:val="0"/>
        <w:autoSpaceDN w:val="0"/>
        <w:spacing w:after="0" w:line="240" w:lineRule="auto"/>
        <w:ind w:left="720" w:hanging="720"/>
        <w:rPr>
          <w:rFonts w:asciiTheme="minorHAnsi" w:hAnsiTheme="minorHAnsi" w:cstheme="minorHAnsi"/>
          <w:sz w:val="24"/>
          <w:szCs w:val="24"/>
        </w:rPr>
      </w:pPr>
    </w:p>
    <w:p w14:paraId="32BBE689" w14:textId="008F6AFB" w:rsidR="00824C97" w:rsidRDefault="00824C97" w:rsidP="00CD4465">
      <w:pPr>
        <w:widowControl w:val="0"/>
        <w:autoSpaceDE w:val="0"/>
        <w:autoSpaceDN w:val="0"/>
        <w:spacing w:after="0" w:line="240" w:lineRule="auto"/>
        <w:rPr>
          <w:rFonts w:asciiTheme="minorHAnsi" w:hAnsiTheme="minorHAnsi" w:cstheme="minorHAnsi"/>
          <w:b/>
          <w:sz w:val="24"/>
          <w:szCs w:val="24"/>
        </w:rPr>
      </w:pPr>
      <w:r>
        <w:rPr>
          <w:rFonts w:asciiTheme="minorHAnsi" w:hAnsiTheme="minorHAnsi" w:cstheme="minorHAnsi"/>
          <w:sz w:val="24"/>
          <w:szCs w:val="24"/>
        </w:rPr>
        <w:t>5</w:t>
      </w:r>
      <w:r w:rsidR="00CD4465" w:rsidRPr="00905C9F">
        <w:rPr>
          <w:rFonts w:asciiTheme="minorHAnsi" w:hAnsiTheme="minorHAnsi" w:cstheme="minorHAnsi"/>
          <w:sz w:val="24"/>
          <w:szCs w:val="24"/>
        </w:rPr>
        <w:t>.</w:t>
      </w:r>
      <w:r w:rsidR="00CD4465" w:rsidRPr="00905C9F">
        <w:rPr>
          <w:rFonts w:asciiTheme="minorHAnsi" w:hAnsiTheme="minorHAnsi" w:cstheme="minorHAnsi"/>
          <w:sz w:val="24"/>
          <w:szCs w:val="24"/>
        </w:rPr>
        <w:tab/>
      </w:r>
      <w:r w:rsidRPr="00BE5898">
        <w:rPr>
          <w:rFonts w:asciiTheme="minorHAnsi" w:hAnsiTheme="minorHAnsi" w:cstheme="minorHAnsi"/>
          <w:b/>
          <w:sz w:val="24"/>
          <w:szCs w:val="24"/>
        </w:rPr>
        <w:t>Inter-Business Line Allocations.</w:t>
      </w:r>
    </w:p>
    <w:p w14:paraId="51855BBD" w14:textId="77777777" w:rsidR="00CD4465" w:rsidRPr="00905C9F" w:rsidRDefault="00CD4465" w:rsidP="00CD4465">
      <w:pPr>
        <w:widowControl w:val="0"/>
        <w:autoSpaceDE w:val="0"/>
        <w:autoSpaceDN w:val="0"/>
        <w:spacing w:after="0" w:line="240" w:lineRule="auto"/>
        <w:rPr>
          <w:rFonts w:asciiTheme="minorHAnsi" w:hAnsiTheme="minorHAnsi" w:cstheme="minorHAnsi"/>
          <w:sz w:val="24"/>
          <w:szCs w:val="24"/>
        </w:rPr>
      </w:pPr>
    </w:p>
    <w:p w14:paraId="041D379B" w14:textId="3F761F7B" w:rsidR="00676460" w:rsidRPr="00905C9F" w:rsidRDefault="00430813" w:rsidP="00430813">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rPr>
        <w:tab/>
      </w:r>
      <w:r w:rsidR="00A331CF" w:rsidRPr="00501762">
        <w:rPr>
          <w:rFonts w:asciiTheme="minorHAnsi" w:hAnsiTheme="minorHAnsi" w:cstheme="minorHAnsi"/>
          <w:i/>
          <w:sz w:val="24"/>
          <w:szCs w:val="24"/>
        </w:rPr>
        <w:t>Inc</w:t>
      </w:r>
      <w:r w:rsidR="00A331CF">
        <w:rPr>
          <w:rFonts w:asciiTheme="minorHAnsi" w:hAnsiTheme="minorHAnsi" w:cstheme="minorHAnsi"/>
          <w:sz w:val="24"/>
          <w:szCs w:val="24"/>
        </w:rPr>
        <w:t xml:space="preserve"> </w:t>
      </w:r>
      <w:r w:rsidR="00FB100D">
        <w:rPr>
          <w:rFonts w:asciiTheme="minorHAnsi" w:hAnsiTheme="minorHAnsi" w:cstheme="minorHAnsi"/>
          <w:sz w:val="24"/>
          <w:szCs w:val="24"/>
        </w:rPr>
        <w:t>balancing reserve capacity</w:t>
      </w:r>
      <w:r w:rsidR="00A331CF">
        <w:rPr>
          <w:rFonts w:asciiTheme="minorHAnsi" w:hAnsiTheme="minorHAnsi" w:cstheme="minorHAnsi"/>
          <w:sz w:val="24"/>
          <w:szCs w:val="24"/>
        </w:rPr>
        <w:t xml:space="preserve"> </w:t>
      </w:r>
      <w:r w:rsidR="0046692B">
        <w:rPr>
          <w:rFonts w:asciiTheme="minorHAnsi" w:hAnsiTheme="minorHAnsi" w:cstheme="minorHAnsi"/>
          <w:sz w:val="24"/>
          <w:szCs w:val="24"/>
        </w:rPr>
        <w:t xml:space="preserve">provided </w:t>
      </w:r>
      <w:r w:rsidR="00A331CF">
        <w:rPr>
          <w:rFonts w:asciiTheme="minorHAnsi" w:hAnsiTheme="minorHAnsi" w:cstheme="minorHAnsi"/>
          <w:sz w:val="24"/>
          <w:szCs w:val="24"/>
        </w:rPr>
        <w:t xml:space="preserve">from the FCRPS will </w:t>
      </w:r>
      <w:r w:rsidR="0097339A">
        <w:rPr>
          <w:rFonts w:asciiTheme="minorHAnsi" w:hAnsiTheme="minorHAnsi" w:cstheme="minorHAnsi"/>
          <w:sz w:val="24"/>
          <w:szCs w:val="24"/>
        </w:rPr>
        <w:t>be at a cost of $0.</w:t>
      </w:r>
      <w:r w:rsidR="00A77922">
        <w:rPr>
          <w:rFonts w:asciiTheme="minorHAnsi" w:hAnsiTheme="minorHAnsi" w:cstheme="minorHAnsi"/>
          <w:sz w:val="24"/>
          <w:szCs w:val="24"/>
        </w:rPr>
        <w:t>305</w:t>
      </w:r>
      <w:r w:rsidR="0097339A">
        <w:rPr>
          <w:rFonts w:asciiTheme="minorHAnsi" w:hAnsiTheme="minorHAnsi" w:cstheme="minorHAnsi"/>
          <w:sz w:val="24"/>
          <w:szCs w:val="24"/>
        </w:rPr>
        <w:t>/kW/day.</w:t>
      </w:r>
      <w:r w:rsidR="00AA51F7">
        <w:rPr>
          <w:rFonts w:asciiTheme="minorHAnsi" w:hAnsiTheme="minorHAnsi" w:cstheme="minorHAnsi"/>
          <w:sz w:val="24"/>
          <w:szCs w:val="24"/>
        </w:rPr>
        <w:t xml:space="preserve"> Power Services shall be compensated only for </w:t>
      </w:r>
      <w:r w:rsidR="00AA51F7" w:rsidRPr="00501762">
        <w:rPr>
          <w:rFonts w:asciiTheme="minorHAnsi" w:hAnsiTheme="minorHAnsi" w:cstheme="minorHAnsi"/>
          <w:i/>
          <w:sz w:val="24"/>
          <w:szCs w:val="24"/>
        </w:rPr>
        <w:t>Inc</w:t>
      </w:r>
      <w:r w:rsidR="00AA51F7">
        <w:rPr>
          <w:rFonts w:asciiTheme="minorHAnsi" w:hAnsiTheme="minorHAnsi" w:cstheme="minorHAnsi"/>
          <w:sz w:val="24"/>
          <w:szCs w:val="24"/>
        </w:rPr>
        <w:t xml:space="preserve"> balancing reserves provided.</w:t>
      </w:r>
    </w:p>
    <w:p w14:paraId="2B22611F" w14:textId="2434E8CC" w:rsidR="00AB63B2" w:rsidRDefault="00430813" w:rsidP="00EC2757">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b.</w:t>
      </w:r>
      <w:r>
        <w:rPr>
          <w:rFonts w:asciiTheme="minorHAnsi" w:hAnsiTheme="minorHAnsi" w:cstheme="minorHAnsi"/>
          <w:sz w:val="24"/>
          <w:szCs w:val="24"/>
        </w:rPr>
        <w:tab/>
      </w:r>
      <w:r w:rsidR="0097339A">
        <w:rPr>
          <w:rFonts w:asciiTheme="minorHAnsi" w:hAnsiTheme="minorHAnsi" w:cstheme="minorHAnsi"/>
          <w:sz w:val="24"/>
          <w:szCs w:val="24"/>
        </w:rPr>
        <w:t xml:space="preserve">The cost of </w:t>
      </w:r>
      <w:r w:rsidR="0097339A">
        <w:rPr>
          <w:rFonts w:asciiTheme="minorHAnsi" w:hAnsiTheme="minorHAnsi" w:cstheme="minorHAnsi"/>
          <w:i/>
          <w:sz w:val="24"/>
          <w:szCs w:val="24"/>
        </w:rPr>
        <w:t>Dec</w:t>
      </w:r>
      <w:r w:rsidR="00FB100D">
        <w:rPr>
          <w:rFonts w:asciiTheme="minorHAnsi" w:hAnsiTheme="minorHAnsi" w:cstheme="minorHAnsi"/>
          <w:sz w:val="24"/>
          <w:szCs w:val="24"/>
        </w:rPr>
        <w:t xml:space="preserve"> balancing reserve capacity </w:t>
      </w:r>
      <w:r w:rsidR="0097339A">
        <w:rPr>
          <w:rFonts w:asciiTheme="minorHAnsi" w:hAnsiTheme="minorHAnsi" w:cstheme="minorHAnsi"/>
          <w:sz w:val="24"/>
          <w:szCs w:val="24"/>
        </w:rPr>
        <w:t xml:space="preserve">provided from the FCRPS is included in the </w:t>
      </w:r>
      <w:r w:rsidR="00FB100D">
        <w:rPr>
          <w:rFonts w:asciiTheme="minorHAnsi" w:hAnsiTheme="minorHAnsi" w:cstheme="minorHAnsi"/>
          <w:sz w:val="24"/>
          <w:szCs w:val="24"/>
        </w:rPr>
        <w:t xml:space="preserve">cost of </w:t>
      </w:r>
      <w:r w:rsidR="00FB100D">
        <w:rPr>
          <w:rFonts w:asciiTheme="minorHAnsi" w:hAnsiTheme="minorHAnsi" w:cstheme="minorHAnsi"/>
          <w:i/>
          <w:sz w:val="24"/>
          <w:szCs w:val="24"/>
        </w:rPr>
        <w:t>Inc</w:t>
      </w:r>
      <w:r w:rsidR="00FB100D">
        <w:rPr>
          <w:rFonts w:asciiTheme="minorHAnsi" w:hAnsiTheme="minorHAnsi" w:cstheme="minorHAnsi"/>
          <w:sz w:val="24"/>
          <w:szCs w:val="24"/>
        </w:rPr>
        <w:t xml:space="preserve"> </w:t>
      </w:r>
      <w:r w:rsidR="00824C97">
        <w:rPr>
          <w:rFonts w:asciiTheme="minorHAnsi" w:hAnsiTheme="minorHAnsi" w:cstheme="minorHAnsi"/>
          <w:sz w:val="24"/>
          <w:szCs w:val="24"/>
        </w:rPr>
        <w:t>balancing reserve capacity.</w:t>
      </w:r>
    </w:p>
    <w:p w14:paraId="4DB95F59" w14:textId="6EB65D47" w:rsidR="00AB63B2" w:rsidRDefault="00AB63B2" w:rsidP="00AB63B2">
      <w:pPr>
        <w:pStyle w:val="ListParagraph"/>
        <w:autoSpaceDE w:val="0"/>
        <w:autoSpaceDN w:val="0"/>
        <w:adjustRightInd w:val="0"/>
        <w:spacing w:after="120" w:line="240" w:lineRule="auto"/>
        <w:ind w:left="1440" w:hanging="720"/>
        <w:contextualSpacing w:val="0"/>
        <w:rPr>
          <w:rFonts w:asciiTheme="minorHAnsi" w:hAnsiTheme="minorHAnsi" w:cstheme="minorHAnsi"/>
          <w:iCs/>
          <w:sz w:val="24"/>
          <w:szCs w:val="24"/>
        </w:rPr>
      </w:pPr>
      <w:r>
        <w:rPr>
          <w:rFonts w:asciiTheme="minorHAnsi" w:hAnsiTheme="minorHAnsi" w:cstheme="minorHAnsi"/>
          <w:sz w:val="24"/>
          <w:szCs w:val="24"/>
        </w:rPr>
        <w:lastRenderedPageBreak/>
        <w:t>c.</w:t>
      </w:r>
      <w:r>
        <w:rPr>
          <w:rFonts w:asciiTheme="minorHAnsi" w:hAnsiTheme="minorHAnsi" w:cstheme="minorHAnsi"/>
          <w:sz w:val="24"/>
          <w:szCs w:val="24"/>
        </w:rPr>
        <w:tab/>
      </w:r>
      <w:r w:rsidR="0060170C">
        <w:rPr>
          <w:rFonts w:asciiTheme="minorHAnsi" w:hAnsiTheme="minorHAnsi" w:cstheme="minorHAnsi"/>
          <w:sz w:val="24"/>
          <w:szCs w:val="24"/>
        </w:rPr>
        <w:t xml:space="preserve">Transmission Services shall be responsible for </w:t>
      </w:r>
      <w:r w:rsidR="00635ACC">
        <w:rPr>
          <w:rFonts w:asciiTheme="minorHAnsi" w:hAnsiTheme="minorHAnsi" w:cstheme="minorHAnsi"/>
          <w:sz w:val="24"/>
          <w:szCs w:val="24"/>
        </w:rPr>
        <w:t xml:space="preserve">3.48 </w:t>
      </w:r>
      <w:r w:rsidR="0060170C">
        <w:rPr>
          <w:rFonts w:asciiTheme="minorHAnsi" w:hAnsiTheme="minorHAnsi" w:cstheme="minorHAnsi"/>
          <w:sz w:val="24"/>
          <w:szCs w:val="24"/>
        </w:rPr>
        <w:t xml:space="preserve">percent of </w:t>
      </w:r>
      <w:r w:rsidR="006517B6">
        <w:rPr>
          <w:rFonts w:asciiTheme="minorHAnsi" w:hAnsiTheme="minorHAnsi" w:cstheme="minorHAnsi"/>
          <w:iCs/>
          <w:sz w:val="24"/>
          <w:szCs w:val="24"/>
        </w:rPr>
        <w:t>the</w:t>
      </w:r>
      <w:r w:rsidR="006517B6" w:rsidRPr="00BE5898">
        <w:rPr>
          <w:rFonts w:asciiTheme="minorHAnsi" w:hAnsiTheme="minorHAnsi" w:cstheme="minorHAnsi"/>
          <w:iCs/>
          <w:sz w:val="24"/>
          <w:szCs w:val="24"/>
        </w:rPr>
        <w:t xml:space="preserve"> </w:t>
      </w:r>
      <w:r w:rsidR="00551526">
        <w:rPr>
          <w:rFonts w:asciiTheme="minorHAnsi" w:hAnsiTheme="minorHAnsi" w:cstheme="minorHAnsi"/>
          <w:iCs/>
          <w:sz w:val="24"/>
          <w:szCs w:val="24"/>
        </w:rPr>
        <w:t xml:space="preserve">Power </w:t>
      </w:r>
      <w:r w:rsidR="006517B6" w:rsidRPr="00BE5898">
        <w:rPr>
          <w:rFonts w:asciiTheme="minorHAnsi" w:hAnsiTheme="minorHAnsi" w:cstheme="minorHAnsi"/>
          <w:iCs/>
          <w:sz w:val="24"/>
          <w:szCs w:val="24"/>
        </w:rPr>
        <w:t>Cost Recovery Adjustment Clause, Dividend Distribution Clause, and NFB Mechanisms (the NFB Adjustment and the Emergency NFB Surcharge)</w:t>
      </w:r>
      <w:r w:rsidR="00E65029">
        <w:rPr>
          <w:rFonts w:asciiTheme="minorHAnsi" w:hAnsiTheme="minorHAnsi" w:cstheme="minorHAnsi"/>
          <w:iCs/>
          <w:sz w:val="24"/>
          <w:szCs w:val="24"/>
        </w:rPr>
        <w:t xml:space="preserve">.  Such amount </w:t>
      </w:r>
      <w:r w:rsidR="00E65029" w:rsidRPr="00E65029">
        <w:rPr>
          <w:rFonts w:asciiTheme="minorHAnsi" w:hAnsiTheme="minorHAnsi" w:cstheme="minorHAnsi"/>
          <w:iCs/>
          <w:sz w:val="24"/>
          <w:szCs w:val="24"/>
        </w:rPr>
        <w:t>will apply to the capacity-based rates specified in Section II.</w:t>
      </w:r>
      <w:r w:rsidR="00132C1C">
        <w:rPr>
          <w:rFonts w:asciiTheme="minorHAnsi" w:hAnsiTheme="minorHAnsi" w:cstheme="minorHAnsi"/>
          <w:iCs/>
          <w:sz w:val="24"/>
          <w:szCs w:val="24"/>
        </w:rPr>
        <w:t>G</w:t>
      </w:r>
      <w:r w:rsidR="00E65029" w:rsidRPr="00E65029">
        <w:rPr>
          <w:rFonts w:asciiTheme="minorHAnsi" w:hAnsiTheme="minorHAnsi" w:cstheme="minorHAnsi"/>
          <w:iCs/>
          <w:sz w:val="24"/>
          <w:szCs w:val="24"/>
        </w:rPr>
        <w:t xml:space="preserve"> of the General Rate Schedule Provisions in Attachment 2.</w:t>
      </w:r>
    </w:p>
    <w:p w14:paraId="0E9E9FD6" w14:textId="2E54BF8F" w:rsidR="00D66702" w:rsidRPr="006517B6" w:rsidRDefault="006517B6" w:rsidP="00EC2757">
      <w:pPr>
        <w:pStyle w:val="ListParagraph"/>
        <w:autoSpaceDE w:val="0"/>
        <w:autoSpaceDN w:val="0"/>
        <w:adjustRightInd w:val="0"/>
        <w:spacing w:after="120" w:line="240" w:lineRule="auto"/>
        <w:ind w:left="1440" w:hanging="720"/>
        <w:contextualSpacing w:val="0"/>
        <w:rPr>
          <w:rFonts w:asciiTheme="minorHAnsi" w:hAnsiTheme="minorHAnsi" w:cstheme="minorHAnsi"/>
          <w:iCs/>
          <w:sz w:val="24"/>
          <w:szCs w:val="24"/>
        </w:rPr>
      </w:pPr>
      <w:r>
        <w:rPr>
          <w:rFonts w:asciiTheme="minorHAnsi" w:hAnsiTheme="minorHAnsi" w:cstheme="minorHAnsi"/>
          <w:sz w:val="24"/>
          <w:szCs w:val="24"/>
        </w:rPr>
        <w:t>d.</w:t>
      </w:r>
      <w:r>
        <w:rPr>
          <w:rFonts w:asciiTheme="minorHAnsi" w:hAnsiTheme="minorHAnsi" w:cstheme="minorHAnsi"/>
          <w:sz w:val="24"/>
          <w:szCs w:val="24"/>
        </w:rPr>
        <w:tab/>
      </w:r>
      <w:r w:rsidR="00C001D6" w:rsidRPr="00BE5898">
        <w:rPr>
          <w:rFonts w:asciiTheme="minorHAnsi" w:hAnsiTheme="minorHAnsi" w:cstheme="minorHAnsi"/>
          <w:iCs/>
          <w:sz w:val="24"/>
          <w:szCs w:val="24"/>
        </w:rPr>
        <w:t>The rates under this Agreement are based on the assumption that Bonneville’s power revenue requirement will not contain Planned Net Revenues for Risk</w:t>
      </w:r>
      <w:r w:rsidR="00C001D6">
        <w:rPr>
          <w:rFonts w:asciiTheme="minorHAnsi" w:hAnsiTheme="minorHAnsi" w:cstheme="minorHAnsi"/>
          <w:iCs/>
          <w:sz w:val="24"/>
          <w:szCs w:val="24"/>
        </w:rPr>
        <w:t xml:space="preserve"> or any risk mitigation tool that</w:t>
      </w:r>
      <w:r w:rsidR="00C001D6" w:rsidRPr="00BE5898">
        <w:rPr>
          <w:rFonts w:asciiTheme="minorHAnsi" w:hAnsiTheme="minorHAnsi" w:cstheme="minorHAnsi"/>
          <w:iCs/>
          <w:sz w:val="24"/>
          <w:szCs w:val="24"/>
        </w:rPr>
        <w:t>: (1) support</w:t>
      </w:r>
      <w:r w:rsidR="00C001D6">
        <w:rPr>
          <w:rFonts w:asciiTheme="minorHAnsi" w:hAnsiTheme="minorHAnsi" w:cstheme="minorHAnsi"/>
          <w:iCs/>
          <w:sz w:val="24"/>
          <w:szCs w:val="24"/>
        </w:rPr>
        <w:t>s</w:t>
      </w:r>
      <w:r w:rsidR="00C001D6" w:rsidRPr="00BE5898">
        <w:rPr>
          <w:rFonts w:asciiTheme="minorHAnsi" w:hAnsiTheme="minorHAnsi" w:cstheme="minorHAnsi"/>
          <w:iCs/>
          <w:sz w:val="24"/>
          <w:szCs w:val="24"/>
        </w:rPr>
        <w:t xml:space="preserve"> Bonneville’s power Treasury Payment Probability</w:t>
      </w:r>
      <w:r w:rsidR="00C001D6">
        <w:rPr>
          <w:rFonts w:asciiTheme="minorHAnsi" w:hAnsiTheme="minorHAnsi" w:cstheme="minorHAnsi"/>
          <w:iCs/>
          <w:sz w:val="24"/>
          <w:szCs w:val="24"/>
        </w:rPr>
        <w:t>;</w:t>
      </w:r>
      <w:r w:rsidR="00C001D6" w:rsidRPr="00BE5898">
        <w:rPr>
          <w:rFonts w:asciiTheme="minorHAnsi" w:hAnsiTheme="minorHAnsi" w:cstheme="minorHAnsi"/>
          <w:iCs/>
          <w:sz w:val="24"/>
          <w:szCs w:val="24"/>
        </w:rPr>
        <w:t xml:space="preserve"> (2) support</w:t>
      </w:r>
      <w:r w:rsidR="00C001D6">
        <w:rPr>
          <w:rFonts w:asciiTheme="minorHAnsi" w:hAnsiTheme="minorHAnsi" w:cstheme="minorHAnsi"/>
          <w:iCs/>
          <w:sz w:val="24"/>
          <w:szCs w:val="24"/>
        </w:rPr>
        <w:t>s</w:t>
      </w:r>
      <w:r w:rsidR="00C001D6" w:rsidRPr="00BE5898">
        <w:rPr>
          <w:rFonts w:asciiTheme="minorHAnsi" w:hAnsiTheme="minorHAnsi" w:cstheme="minorHAnsi"/>
          <w:iCs/>
          <w:sz w:val="24"/>
          <w:szCs w:val="24"/>
        </w:rPr>
        <w:t xml:space="preserve"> Bonneville’s credit rating</w:t>
      </w:r>
      <w:r w:rsidR="00C001D6">
        <w:rPr>
          <w:rFonts w:asciiTheme="minorHAnsi" w:hAnsiTheme="minorHAnsi" w:cstheme="minorHAnsi"/>
          <w:iCs/>
          <w:sz w:val="24"/>
          <w:szCs w:val="24"/>
        </w:rPr>
        <w:t>;</w:t>
      </w:r>
      <w:r w:rsidR="00C001D6" w:rsidRPr="00BE5898">
        <w:rPr>
          <w:rFonts w:asciiTheme="minorHAnsi" w:hAnsiTheme="minorHAnsi" w:cstheme="minorHAnsi"/>
          <w:iCs/>
          <w:sz w:val="24"/>
          <w:szCs w:val="24"/>
        </w:rPr>
        <w:t xml:space="preserve"> or (3) enhance</w:t>
      </w:r>
      <w:r w:rsidR="00C001D6">
        <w:rPr>
          <w:rFonts w:asciiTheme="minorHAnsi" w:hAnsiTheme="minorHAnsi" w:cstheme="minorHAnsi"/>
          <w:iCs/>
          <w:sz w:val="24"/>
          <w:szCs w:val="24"/>
        </w:rPr>
        <w:t>s</w:t>
      </w:r>
      <w:r w:rsidR="00C001D6" w:rsidRPr="00BE5898">
        <w:rPr>
          <w:rFonts w:asciiTheme="minorHAnsi" w:hAnsiTheme="minorHAnsi" w:cstheme="minorHAnsi"/>
          <w:iCs/>
          <w:sz w:val="24"/>
          <w:szCs w:val="24"/>
        </w:rPr>
        <w:t xml:space="preserve"> Bonneville’s financial strength or financial standing by improving Bonneville’s cash position</w:t>
      </w:r>
      <w:r w:rsidR="00C001D6">
        <w:rPr>
          <w:rFonts w:asciiTheme="minorHAnsi" w:hAnsiTheme="minorHAnsi" w:cstheme="minorHAnsi"/>
          <w:iCs/>
          <w:sz w:val="24"/>
          <w:szCs w:val="24"/>
        </w:rPr>
        <w:t xml:space="preserve"> (“Risk Mitigation Tool” or “RMT”)</w:t>
      </w:r>
      <w:r w:rsidR="00C001D6" w:rsidRPr="00BE5898">
        <w:rPr>
          <w:rFonts w:asciiTheme="minorHAnsi" w:hAnsiTheme="minorHAnsi" w:cstheme="minorHAnsi"/>
          <w:iCs/>
          <w:sz w:val="24"/>
          <w:szCs w:val="24"/>
        </w:rPr>
        <w:t xml:space="preserve">.  If Bonneville adopts any </w:t>
      </w:r>
      <w:r w:rsidR="00C001D6">
        <w:rPr>
          <w:rFonts w:asciiTheme="minorHAnsi" w:hAnsiTheme="minorHAnsi" w:cstheme="minorHAnsi"/>
          <w:iCs/>
          <w:sz w:val="24"/>
          <w:szCs w:val="24"/>
        </w:rPr>
        <w:t>RMT</w:t>
      </w:r>
      <w:r w:rsidR="00C001D6" w:rsidRPr="00BE5898">
        <w:rPr>
          <w:rFonts w:asciiTheme="minorHAnsi" w:hAnsiTheme="minorHAnsi" w:cstheme="minorHAnsi"/>
          <w:iCs/>
          <w:sz w:val="24"/>
          <w:szCs w:val="24"/>
        </w:rPr>
        <w:t xml:space="preserve"> in its overall power revenue requirement as determined in the BP-1</w:t>
      </w:r>
      <w:r w:rsidR="00C001D6">
        <w:rPr>
          <w:rFonts w:asciiTheme="minorHAnsi" w:hAnsiTheme="minorHAnsi" w:cstheme="minorHAnsi"/>
          <w:iCs/>
          <w:sz w:val="24"/>
          <w:szCs w:val="24"/>
        </w:rPr>
        <w:t>8</w:t>
      </w:r>
      <w:r w:rsidR="00C001D6" w:rsidRPr="00BE5898">
        <w:rPr>
          <w:rFonts w:asciiTheme="minorHAnsi" w:hAnsiTheme="minorHAnsi" w:cstheme="minorHAnsi"/>
          <w:iCs/>
          <w:sz w:val="24"/>
          <w:szCs w:val="24"/>
        </w:rPr>
        <w:t xml:space="preserve"> Final Proposal, then </w:t>
      </w:r>
      <w:r w:rsidR="00C001D6">
        <w:rPr>
          <w:rFonts w:asciiTheme="minorHAnsi" w:hAnsiTheme="minorHAnsi" w:cstheme="minorHAnsi"/>
          <w:iCs/>
          <w:sz w:val="24"/>
          <w:szCs w:val="24"/>
        </w:rPr>
        <w:t xml:space="preserve">Transmission Services shall be responsible for </w:t>
      </w:r>
      <w:r w:rsidR="00635ACC">
        <w:rPr>
          <w:rFonts w:asciiTheme="minorHAnsi" w:hAnsiTheme="minorHAnsi" w:cstheme="minorHAnsi"/>
          <w:iCs/>
          <w:sz w:val="24"/>
          <w:szCs w:val="24"/>
        </w:rPr>
        <w:t>3.48</w:t>
      </w:r>
      <w:r w:rsidR="00C001D6">
        <w:rPr>
          <w:rFonts w:asciiTheme="minorHAnsi" w:hAnsiTheme="minorHAnsi" w:cstheme="minorHAnsi"/>
          <w:iCs/>
          <w:sz w:val="24"/>
          <w:szCs w:val="24"/>
        </w:rPr>
        <w:t xml:space="preserve"> percent</w:t>
      </w:r>
      <w:r w:rsidR="003E5533">
        <w:rPr>
          <w:rFonts w:asciiTheme="minorHAnsi" w:hAnsiTheme="minorHAnsi" w:cstheme="minorHAnsi"/>
          <w:iCs/>
          <w:sz w:val="24"/>
          <w:szCs w:val="24"/>
        </w:rPr>
        <w:t xml:space="preserve">.  Such amount will be </w:t>
      </w:r>
      <w:r w:rsidR="00DD4938">
        <w:rPr>
          <w:rFonts w:asciiTheme="minorHAnsi" w:hAnsiTheme="minorHAnsi" w:cstheme="minorHAnsi"/>
          <w:iCs/>
          <w:sz w:val="24"/>
          <w:szCs w:val="24"/>
        </w:rPr>
        <w:t xml:space="preserve">allocated to </w:t>
      </w:r>
      <w:r w:rsidR="009868C1">
        <w:rPr>
          <w:rFonts w:asciiTheme="minorHAnsi" w:hAnsiTheme="minorHAnsi" w:cstheme="minorHAnsi"/>
          <w:iCs/>
          <w:sz w:val="24"/>
          <w:szCs w:val="24"/>
        </w:rPr>
        <w:t>capacity</w:t>
      </w:r>
      <w:r w:rsidR="00DD4938">
        <w:rPr>
          <w:rFonts w:asciiTheme="minorHAnsi" w:hAnsiTheme="minorHAnsi" w:cstheme="minorHAnsi"/>
          <w:iCs/>
          <w:sz w:val="24"/>
          <w:szCs w:val="24"/>
        </w:rPr>
        <w:t>-based Ancillary and Control Area Service</w:t>
      </w:r>
      <w:r w:rsidR="009868C1">
        <w:rPr>
          <w:rFonts w:asciiTheme="minorHAnsi" w:hAnsiTheme="minorHAnsi" w:cstheme="minorHAnsi"/>
          <w:iCs/>
          <w:sz w:val="24"/>
          <w:szCs w:val="24"/>
        </w:rPr>
        <w:t xml:space="preserve"> </w:t>
      </w:r>
      <w:r w:rsidR="00DD4938">
        <w:rPr>
          <w:rFonts w:asciiTheme="minorHAnsi" w:hAnsiTheme="minorHAnsi" w:cstheme="minorHAnsi"/>
          <w:iCs/>
          <w:sz w:val="24"/>
          <w:szCs w:val="24"/>
        </w:rPr>
        <w:t>r</w:t>
      </w:r>
      <w:r w:rsidR="009868C1">
        <w:rPr>
          <w:rFonts w:asciiTheme="minorHAnsi" w:hAnsiTheme="minorHAnsi" w:cstheme="minorHAnsi"/>
          <w:iCs/>
          <w:sz w:val="24"/>
          <w:szCs w:val="24"/>
        </w:rPr>
        <w:t>ates</w:t>
      </w:r>
      <w:r w:rsidR="00DD4938">
        <w:rPr>
          <w:rFonts w:asciiTheme="minorHAnsi" w:hAnsiTheme="minorHAnsi" w:cstheme="minorHAnsi"/>
          <w:iCs/>
          <w:sz w:val="24"/>
          <w:szCs w:val="24"/>
        </w:rPr>
        <w:t xml:space="preserve"> pursuant to section </w:t>
      </w:r>
      <w:r w:rsidR="004837C3">
        <w:rPr>
          <w:rFonts w:asciiTheme="minorHAnsi" w:hAnsiTheme="minorHAnsi" w:cstheme="minorHAnsi"/>
          <w:iCs/>
          <w:sz w:val="24"/>
          <w:szCs w:val="24"/>
        </w:rPr>
        <w:t>9</w:t>
      </w:r>
      <w:r w:rsidR="00DD4938">
        <w:rPr>
          <w:rFonts w:asciiTheme="minorHAnsi" w:hAnsiTheme="minorHAnsi" w:cstheme="minorHAnsi"/>
          <w:iCs/>
          <w:sz w:val="24"/>
          <w:szCs w:val="24"/>
        </w:rPr>
        <w:t xml:space="preserve"> of this Attachment 1.</w:t>
      </w:r>
      <w:r w:rsidR="00132C1C">
        <w:rPr>
          <w:rFonts w:asciiTheme="minorHAnsi" w:hAnsiTheme="minorHAnsi" w:cstheme="minorHAnsi"/>
          <w:iCs/>
          <w:sz w:val="24"/>
          <w:szCs w:val="24"/>
        </w:rPr>
        <w:t xml:space="preserve"> Variable Energy </w:t>
      </w:r>
      <w:proofErr w:type="spellStart"/>
      <w:r w:rsidR="00132C1C">
        <w:rPr>
          <w:rFonts w:asciiTheme="minorHAnsi" w:hAnsiTheme="minorHAnsi" w:cstheme="minorHAnsi"/>
          <w:iCs/>
          <w:sz w:val="24"/>
          <w:szCs w:val="24"/>
        </w:rPr>
        <w:t>Resourse</w:t>
      </w:r>
      <w:proofErr w:type="spellEnd"/>
      <w:r w:rsidR="00132C1C">
        <w:rPr>
          <w:rFonts w:asciiTheme="minorHAnsi" w:hAnsiTheme="minorHAnsi" w:cstheme="minorHAnsi"/>
          <w:iCs/>
          <w:sz w:val="24"/>
          <w:szCs w:val="24"/>
        </w:rPr>
        <w:t xml:space="preserve"> </w:t>
      </w:r>
      <w:r w:rsidR="0030307E">
        <w:rPr>
          <w:rFonts w:asciiTheme="minorHAnsi" w:hAnsiTheme="minorHAnsi" w:cstheme="minorHAnsi"/>
          <w:iCs/>
          <w:sz w:val="24"/>
          <w:szCs w:val="24"/>
        </w:rPr>
        <w:t>Balancing Service for Wind, Variable Energy Resource Balancing Service for Solar, and Dispatchable Energy Resource Balancing Service are exempt.</w:t>
      </w:r>
    </w:p>
    <w:p w14:paraId="3D244646" w14:textId="02FC5909" w:rsidR="00603877" w:rsidRDefault="006517B6" w:rsidP="00501762">
      <w:pPr>
        <w:pStyle w:val="ListParagraph"/>
        <w:autoSpaceDE w:val="0"/>
        <w:autoSpaceDN w:val="0"/>
        <w:adjustRightInd w:val="0"/>
        <w:spacing w:after="120" w:line="240" w:lineRule="auto"/>
        <w:ind w:left="1440" w:hanging="720"/>
        <w:contextualSpacing w:val="0"/>
        <w:rPr>
          <w:rFonts w:asciiTheme="minorHAnsi" w:hAnsiTheme="minorHAnsi" w:cstheme="minorHAnsi"/>
          <w:sz w:val="24"/>
          <w:szCs w:val="24"/>
        </w:rPr>
      </w:pPr>
      <w:r>
        <w:rPr>
          <w:rFonts w:asciiTheme="minorHAnsi" w:hAnsiTheme="minorHAnsi" w:cstheme="minorHAnsi"/>
          <w:sz w:val="24"/>
          <w:szCs w:val="24"/>
        </w:rPr>
        <w:t>e</w:t>
      </w:r>
      <w:r w:rsidR="00FA41E7">
        <w:rPr>
          <w:rFonts w:asciiTheme="minorHAnsi" w:hAnsiTheme="minorHAnsi" w:cstheme="minorHAnsi"/>
          <w:sz w:val="24"/>
          <w:szCs w:val="24"/>
        </w:rPr>
        <w:t>.</w:t>
      </w:r>
      <w:r w:rsidR="00FA41E7">
        <w:rPr>
          <w:rFonts w:asciiTheme="minorHAnsi" w:hAnsiTheme="minorHAnsi" w:cstheme="minorHAnsi"/>
          <w:sz w:val="24"/>
          <w:szCs w:val="24"/>
        </w:rPr>
        <w:tab/>
      </w:r>
      <w:r w:rsidR="00824C97" w:rsidRPr="00BE5898">
        <w:rPr>
          <w:rFonts w:asciiTheme="minorHAnsi" w:hAnsiTheme="minorHAnsi" w:cstheme="minorHAnsi"/>
          <w:sz w:val="24"/>
          <w:szCs w:val="24"/>
        </w:rPr>
        <w:t>Bonneville and Assenting Parties agree to the Inter-Business Line Allocations described in Attachment 3.</w:t>
      </w:r>
      <w:r w:rsidR="000F402D">
        <w:rPr>
          <w:rFonts w:asciiTheme="minorHAnsi" w:hAnsiTheme="minorHAnsi" w:cstheme="minorHAnsi"/>
          <w:sz w:val="24"/>
          <w:szCs w:val="24"/>
        </w:rPr>
        <w:t xml:space="preserve"> </w:t>
      </w:r>
    </w:p>
    <w:p w14:paraId="057F13FF" w14:textId="2B8715E9" w:rsidR="00066957" w:rsidRPr="00430813" w:rsidRDefault="00066957" w:rsidP="00501762">
      <w:pPr>
        <w:pStyle w:val="ListParagraph"/>
        <w:autoSpaceDE w:val="0"/>
        <w:autoSpaceDN w:val="0"/>
        <w:adjustRightInd w:val="0"/>
        <w:spacing w:after="120" w:line="240" w:lineRule="auto"/>
        <w:ind w:left="1440" w:hanging="720"/>
        <w:contextualSpacing w:val="0"/>
      </w:pPr>
      <w:r>
        <w:rPr>
          <w:rFonts w:asciiTheme="minorHAnsi" w:hAnsiTheme="minorHAnsi" w:cstheme="minorHAnsi"/>
          <w:sz w:val="24"/>
          <w:szCs w:val="24"/>
        </w:rPr>
        <w:t>f.</w:t>
      </w:r>
      <w:r>
        <w:rPr>
          <w:rFonts w:asciiTheme="minorHAnsi" w:hAnsiTheme="minorHAnsi" w:cstheme="minorHAnsi"/>
          <w:sz w:val="24"/>
          <w:szCs w:val="24"/>
        </w:rPr>
        <w:tab/>
        <w:t>Transmission Services will pay Power Services an additional $</w:t>
      </w:r>
      <w:r w:rsidR="00E63668">
        <w:rPr>
          <w:rFonts w:asciiTheme="minorHAnsi" w:hAnsiTheme="minorHAnsi" w:cstheme="minorHAnsi"/>
          <w:sz w:val="24"/>
          <w:szCs w:val="24"/>
        </w:rPr>
        <w:t>700</w:t>
      </w:r>
      <w:r>
        <w:rPr>
          <w:rFonts w:asciiTheme="minorHAnsi" w:hAnsiTheme="minorHAnsi" w:cstheme="minorHAnsi"/>
          <w:sz w:val="24"/>
          <w:szCs w:val="24"/>
        </w:rPr>
        <w:t>,000 per year in excha</w:t>
      </w:r>
      <w:r w:rsidR="00BF0D9B">
        <w:rPr>
          <w:rFonts w:asciiTheme="minorHAnsi" w:hAnsiTheme="minorHAnsi" w:cstheme="minorHAnsi"/>
          <w:sz w:val="24"/>
          <w:szCs w:val="24"/>
        </w:rPr>
        <w:t xml:space="preserve">nge </w:t>
      </w:r>
      <w:r w:rsidR="00CD3F53">
        <w:rPr>
          <w:rFonts w:asciiTheme="minorHAnsi" w:hAnsiTheme="minorHAnsi" w:cstheme="minorHAnsi"/>
          <w:sz w:val="24"/>
          <w:szCs w:val="24"/>
        </w:rPr>
        <w:t>for a</w:t>
      </w:r>
      <w:r w:rsidR="00037F85">
        <w:rPr>
          <w:rFonts w:asciiTheme="minorHAnsi" w:hAnsiTheme="minorHAnsi" w:cstheme="minorHAnsi"/>
          <w:sz w:val="24"/>
          <w:szCs w:val="24"/>
        </w:rPr>
        <w:t xml:space="preserve"> lower </w:t>
      </w:r>
      <w:r w:rsidR="00711831">
        <w:rPr>
          <w:rFonts w:asciiTheme="minorHAnsi" w:hAnsiTheme="minorHAnsi" w:cstheme="minorHAnsi"/>
          <w:sz w:val="24"/>
          <w:szCs w:val="24"/>
        </w:rPr>
        <w:t>ASC risk share.  This additional amount is included in the Variable Energy Resource Balancing Service and Dispatchable Energy Resources Balancing Se</w:t>
      </w:r>
      <w:r w:rsidR="0007466C">
        <w:rPr>
          <w:rFonts w:asciiTheme="minorHAnsi" w:hAnsiTheme="minorHAnsi" w:cstheme="minorHAnsi"/>
          <w:sz w:val="24"/>
          <w:szCs w:val="24"/>
        </w:rPr>
        <w:t>rvice rates in section 8 of this Attachment 1.</w:t>
      </w:r>
    </w:p>
    <w:p w14:paraId="645C3610" w14:textId="77777777" w:rsidR="00D22422" w:rsidRPr="00905C9F" w:rsidRDefault="00D22422" w:rsidP="00ED5D79">
      <w:pPr>
        <w:widowControl w:val="0"/>
        <w:autoSpaceDE w:val="0"/>
        <w:autoSpaceDN w:val="0"/>
        <w:spacing w:after="0" w:line="240" w:lineRule="auto"/>
        <w:ind w:left="720" w:hanging="720"/>
        <w:rPr>
          <w:rFonts w:asciiTheme="minorHAnsi" w:hAnsiTheme="minorHAnsi" w:cstheme="minorHAnsi"/>
          <w:sz w:val="24"/>
          <w:szCs w:val="24"/>
        </w:rPr>
      </w:pPr>
    </w:p>
    <w:p w14:paraId="4092FA46" w14:textId="54E71FA5" w:rsidR="00C362EF" w:rsidRPr="00905C9F" w:rsidRDefault="00EF6F4F" w:rsidP="00C362EF">
      <w:pPr>
        <w:widowControl w:val="0"/>
        <w:autoSpaceDE w:val="0"/>
        <w:autoSpaceDN w:val="0"/>
        <w:spacing w:after="0" w:line="240" w:lineRule="auto"/>
        <w:ind w:left="720" w:hanging="720"/>
        <w:rPr>
          <w:rFonts w:asciiTheme="minorHAnsi" w:hAnsiTheme="minorHAnsi" w:cstheme="minorHAnsi"/>
          <w:sz w:val="24"/>
          <w:szCs w:val="24"/>
        </w:rPr>
      </w:pPr>
      <w:r>
        <w:rPr>
          <w:rFonts w:asciiTheme="minorHAnsi" w:hAnsiTheme="minorHAnsi" w:cstheme="minorHAnsi"/>
          <w:sz w:val="24"/>
          <w:szCs w:val="24"/>
        </w:rPr>
        <w:t>6</w:t>
      </w:r>
      <w:r w:rsidR="00D22422" w:rsidRPr="00905C9F">
        <w:rPr>
          <w:rFonts w:asciiTheme="minorHAnsi" w:hAnsiTheme="minorHAnsi" w:cstheme="minorHAnsi"/>
          <w:sz w:val="24"/>
          <w:szCs w:val="24"/>
        </w:rPr>
        <w:t>.</w:t>
      </w:r>
      <w:r w:rsidR="00D22422" w:rsidRPr="00905C9F">
        <w:rPr>
          <w:rFonts w:asciiTheme="minorHAnsi" w:hAnsiTheme="minorHAnsi" w:cstheme="minorHAnsi"/>
          <w:sz w:val="24"/>
          <w:szCs w:val="24"/>
        </w:rPr>
        <w:tab/>
      </w:r>
      <w:r w:rsidR="009C4696" w:rsidRPr="00905C9F">
        <w:rPr>
          <w:rFonts w:asciiTheme="minorHAnsi" w:hAnsiTheme="minorHAnsi" w:cstheme="minorHAnsi"/>
          <w:b/>
          <w:sz w:val="24"/>
          <w:szCs w:val="24"/>
        </w:rPr>
        <w:t xml:space="preserve">Intentional Deviation.  </w:t>
      </w:r>
      <w:r w:rsidR="00C362EF" w:rsidRPr="00905C9F">
        <w:rPr>
          <w:rFonts w:asciiTheme="minorHAnsi" w:hAnsiTheme="minorHAnsi" w:cstheme="minorHAnsi"/>
          <w:sz w:val="24"/>
          <w:szCs w:val="24"/>
        </w:rPr>
        <w:t xml:space="preserve">One Hundred Percent (100%) of the revenue that Bonneville receives through the </w:t>
      </w:r>
      <w:r w:rsidR="002D1BBD" w:rsidRPr="00905C9F">
        <w:rPr>
          <w:rFonts w:asciiTheme="minorHAnsi" w:hAnsiTheme="minorHAnsi" w:cstheme="minorHAnsi"/>
          <w:sz w:val="24"/>
          <w:szCs w:val="24"/>
        </w:rPr>
        <w:t>Intentional</w:t>
      </w:r>
      <w:r w:rsidR="00C362EF" w:rsidRPr="00905C9F">
        <w:rPr>
          <w:rFonts w:asciiTheme="minorHAnsi" w:hAnsiTheme="minorHAnsi" w:cstheme="minorHAnsi"/>
          <w:sz w:val="24"/>
          <w:szCs w:val="24"/>
        </w:rPr>
        <w:t xml:space="preserve"> Deviation Charge shall remain with Transmission Services.  Revenue that Bonneville receives from Energy Imbalance (“EIrev”), Generation Imbalance (“GIrev”), and Persistent Deviation (“PDrev”) will be split between Power Services and Transmission Services.  Power Services</w:t>
      </w:r>
      <w:r w:rsidR="000D2FDC">
        <w:rPr>
          <w:rFonts w:asciiTheme="minorHAnsi" w:hAnsiTheme="minorHAnsi" w:cstheme="minorHAnsi"/>
          <w:sz w:val="24"/>
          <w:szCs w:val="24"/>
        </w:rPr>
        <w:t>’</w:t>
      </w:r>
      <w:r w:rsidR="00C362EF" w:rsidRPr="00905C9F">
        <w:rPr>
          <w:rFonts w:asciiTheme="minorHAnsi" w:hAnsiTheme="minorHAnsi" w:cstheme="minorHAnsi"/>
          <w:sz w:val="24"/>
          <w:szCs w:val="24"/>
        </w:rPr>
        <w:t xml:space="preserve"> share (“PSshare”) in such revenue will equal:</w:t>
      </w:r>
    </w:p>
    <w:p w14:paraId="61982FF0" w14:textId="77777777" w:rsidR="00C362EF" w:rsidRPr="00BE5898" w:rsidRDefault="00C362EF" w:rsidP="00C362EF">
      <w:pPr>
        <w:widowControl w:val="0"/>
        <w:autoSpaceDE w:val="0"/>
        <w:autoSpaceDN w:val="0"/>
        <w:spacing w:after="0" w:line="240" w:lineRule="auto"/>
        <w:ind w:left="720" w:hanging="720"/>
        <w:rPr>
          <w:rFonts w:asciiTheme="minorHAnsi" w:hAnsiTheme="minorHAnsi" w:cstheme="minorHAnsi"/>
          <w:sz w:val="24"/>
          <w:szCs w:val="24"/>
        </w:rPr>
      </w:pPr>
    </w:p>
    <w:p w14:paraId="2673E23B" w14:textId="77777777" w:rsidR="00C362EF" w:rsidRPr="00BE5898" w:rsidRDefault="00C362EF" w:rsidP="00C362EF">
      <w:pPr>
        <w:widowControl w:val="0"/>
        <w:autoSpaceDE w:val="0"/>
        <w:autoSpaceDN w:val="0"/>
        <w:spacing w:after="0" w:line="240" w:lineRule="auto"/>
        <w:ind w:left="720" w:hanging="720"/>
        <w:jc w:val="center"/>
        <w:rPr>
          <w:rFonts w:asciiTheme="minorHAnsi" w:hAnsiTheme="minorHAnsi" w:cstheme="minorHAnsi"/>
          <w:sz w:val="24"/>
          <w:szCs w:val="24"/>
        </w:rPr>
      </w:pPr>
      <m:oMathPara>
        <m:oMath>
          <m:r>
            <w:rPr>
              <w:rFonts w:ascii="Cambria Math" w:hAnsi="Cambria Math" w:cstheme="minorHAnsi"/>
              <w:sz w:val="24"/>
              <w:szCs w:val="24"/>
            </w:rPr>
            <m:t>PSshare=</m:t>
          </m:r>
          <m:d>
            <m:dPr>
              <m:begChr m:val="["/>
              <m:endChr m:val="]"/>
              <m:ctrlPr>
                <w:rPr>
                  <w:rFonts w:ascii="Cambria Math" w:hAnsi="Cambria Math" w:cstheme="minorHAnsi"/>
                  <w:i/>
                  <w:sz w:val="24"/>
                  <w:szCs w:val="24"/>
                </w:rPr>
              </m:ctrlPr>
            </m:dPr>
            <m:e>
              <m:r>
                <w:rPr>
                  <w:rFonts w:ascii="Cambria Math" w:hAnsi="Cambria Math" w:cstheme="minorHAnsi"/>
                  <w:sz w:val="24"/>
                  <w:szCs w:val="24"/>
                </w:rPr>
                <m:t>EIrev+GIrev+PDrev</m:t>
              </m:r>
            </m:e>
          </m:d>
          <m:r>
            <w:rPr>
              <w:rFonts w:ascii="Cambria Math" w:hAnsi="Cambria Math" w:cstheme="minorHAnsi"/>
              <w:sz w:val="24"/>
              <w:szCs w:val="24"/>
            </w:rPr>
            <m:t>-</m:t>
          </m:r>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Hr3PSD</m:t>
              </m:r>
            </m:e>
          </m:nary>
          <m:r>
            <w:rPr>
              <w:rFonts w:ascii="Cambria Math" w:hAnsi="Cambria Math" w:cstheme="minorHAnsi"/>
              <w:sz w:val="24"/>
              <w:szCs w:val="24"/>
            </w:rPr>
            <m:t>×HrIndex</m:t>
          </m:r>
        </m:oMath>
      </m:oMathPara>
    </w:p>
    <w:p w14:paraId="46BAB552" w14:textId="77777777" w:rsidR="00C362EF" w:rsidRPr="00BE5898" w:rsidRDefault="00C362EF" w:rsidP="00C362EF">
      <w:pPr>
        <w:widowControl w:val="0"/>
        <w:autoSpaceDE w:val="0"/>
        <w:autoSpaceDN w:val="0"/>
        <w:spacing w:after="0" w:line="240" w:lineRule="auto"/>
        <w:ind w:left="720" w:hanging="720"/>
        <w:rPr>
          <w:rFonts w:asciiTheme="minorHAnsi" w:hAnsiTheme="minorHAnsi" w:cstheme="minorHAnsi"/>
          <w:sz w:val="24"/>
          <w:szCs w:val="24"/>
        </w:rPr>
      </w:pPr>
    </w:p>
    <w:p w14:paraId="03CAD3FF" w14:textId="77777777" w:rsidR="00C362EF" w:rsidRPr="00BE5898" w:rsidRDefault="00C362EF" w:rsidP="00C362EF">
      <w:pPr>
        <w:widowControl w:val="0"/>
        <w:autoSpaceDE w:val="0"/>
        <w:autoSpaceDN w:val="0"/>
        <w:spacing w:after="0" w:line="240" w:lineRule="auto"/>
        <w:ind w:left="720" w:hanging="720"/>
        <w:rPr>
          <w:rFonts w:asciiTheme="minorHAnsi" w:hAnsiTheme="minorHAnsi" w:cstheme="minorHAnsi"/>
          <w:sz w:val="24"/>
          <w:szCs w:val="24"/>
        </w:rPr>
      </w:pPr>
      <w:r w:rsidRPr="00BE5898">
        <w:rPr>
          <w:rFonts w:asciiTheme="minorHAnsi" w:hAnsiTheme="minorHAnsi" w:cstheme="minorHAnsi"/>
          <w:sz w:val="24"/>
          <w:szCs w:val="24"/>
        </w:rPr>
        <w:tab/>
      </w:r>
      <w:r w:rsidRPr="00BE5898">
        <w:rPr>
          <w:rFonts w:asciiTheme="minorHAnsi" w:hAnsiTheme="minorHAnsi" w:cstheme="minorHAnsi"/>
          <w:sz w:val="24"/>
          <w:szCs w:val="24"/>
        </w:rPr>
        <w:tab/>
      </w:r>
      <w:r w:rsidRPr="00BE5898">
        <w:rPr>
          <w:rFonts w:asciiTheme="minorHAnsi" w:hAnsiTheme="minorHAnsi" w:cstheme="minorHAnsi"/>
          <w:sz w:val="24"/>
          <w:szCs w:val="24"/>
        </w:rPr>
        <w:tab/>
        <w:t>Where:</w:t>
      </w:r>
    </w:p>
    <w:p w14:paraId="1733A2E0" w14:textId="77777777" w:rsidR="00C362EF" w:rsidRDefault="00C362EF" w:rsidP="00387C04">
      <w:pPr>
        <w:widowControl w:val="0"/>
        <w:autoSpaceDE w:val="0"/>
        <w:autoSpaceDN w:val="0"/>
        <w:spacing w:after="0" w:line="240" w:lineRule="auto"/>
        <w:ind w:left="2880"/>
        <w:rPr>
          <w:rFonts w:asciiTheme="minorHAnsi" w:hAnsiTheme="minorHAnsi" w:cstheme="minorHAnsi"/>
          <w:sz w:val="24"/>
          <w:szCs w:val="24"/>
        </w:rPr>
      </w:pPr>
      <w:r w:rsidRPr="00BE5898">
        <w:rPr>
          <w:rFonts w:asciiTheme="minorHAnsi" w:hAnsiTheme="minorHAnsi" w:cstheme="minorHAnsi"/>
          <w:i/>
          <w:sz w:val="24"/>
          <w:szCs w:val="24"/>
        </w:rPr>
        <w:t xml:space="preserve">Hr3PSD </w:t>
      </w:r>
      <w:r w:rsidRPr="00BE5898">
        <w:rPr>
          <w:rFonts w:asciiTheme="minorHAnsi" w:hAnsiTheme="minorHAnsi" w:cstheme="minorHAnsi"/>
          <w:sz w:val="24"/>
          <w:szCs w:val="24"/>
        </w:rPr>
        <w:t xml:space="preserve">= The MWh amount of third-party </w:t>
      </w:r>
      <w:r w:rsidRPr="00BE5898">
        <w:rPr>
          <w:rFonts w:asciiTheme="minorHAnsi" w:hAnsiTheme="minorHAnsi" w:cstheme="minorHAnsi"/>
          <w:i/>
          <w:sz w:val="24"/>
          <w:szCs w:val="24"/>
        </w:rPr>
        <w:t xml:space="preserve">inc </w:t>
      </w:r>
      <w:r w:rsidRPr="00BE5898">
        <w:rPr>
          <w:rFonts w:asciiTheme="minorHAnsi" w:hAnsiTheme="minorHAnsi" w:cstheme="minorHAnsi"/>
          <w:sz w:val="24"/>
          <w:szCs w:val="24"/>
        </w:rPr>
        <w:t xml:space="preserve">balancing reserve capacity </w:t>
      </w:r>
      <w:r w:rsidR="007F276A">
        <w:rPr>
          <w:rFonts w:asciiTheme="minorHAnsi" w:hAnsiTheme="minorHAnsi" w:cstheme="minorHAnsi"/>
          <w:sz w:val="24"/>
          <w:szCs w:val="24"/>
        </w:rPr>
        <w:t xml:space="preserve">  </w:t>
      </w:r>
      <w:r w:rsidRPr="00BE5898">
        <w:rPr>
          <w:rFonts w:asciiTheme="minorHAnsi" w:hAnsiTheme="minorHAnsi" w:cstheme="minorHAnsi"/>
          <w:sz w:val="24"/>
          <w:szCs w:val="24"/>
        </w:rPr>
        <w:t>deployed each hour</w:t>
      </w:r>
      <w:r w:rsidR="007F276A">
        <w:rPr>
          <w:rFonts w:asciiTheme="minorHAnsi" w:hAnsiTheme="minorHAnsi" w:cstheme="minorHAnsi"/>
          <w:sz w:val="24"/>
          <w:szCs w:val="24"/>
        </w:rPr>
        <w:t>.</w:t>
      </w:r>
    </w:p>
    <w:p w14:paraId="32FC188F" w14:textId="77777777" w:rsidR="007F276A" w:rsidRPr="00BE5898" w:rsidRDefault="007F276A" w:rsidP="00387C04">
      <w:pPr>
        <w:widowControl w:val="0"/>
        <w:autoSpaceDE w:val="0"/>
        <w:autoSpaceDN w:val="0"/>
        <w:spacing w:after="0" w:line="240" w:lineRule="auto"/>
        <w:ind w:left="2880"/>
        <w:rPr>
          <w:rFonts w:asciiTheme="minorHAnsi" w:hAnsiTheme="minorHAnsi" w:cstheme="minorHAnsi"/>
          <w:sz w:val="24"/>
          <w:szCs w:val="24"/>
        </w:rPr>
      </w:pPr>
    </w:p>
    <w:p w14:paraId="0C46EDBC" w14:textId="77777777" w:rsidR="00C362EF" w:rsidRPr="00BE5898" w:rsidRDefault="00C362EF" w:rsidP="00C362EF">
      <w:pPr>
        <w:widowControl w:val="0"/>
        <w:autoSpaceDE w:val="0"/>
        <w:autoSpaceDN w:val="0"/>
        <w:spacing w:after="0" w:line="240" w:lineRule="auto"/>
        <w:ind w:left="720" w:hanging="720"/>
        <w:rPr>
          <w:rFonts w:asciiTheme="minorHAnsi" w:hAnsiTheme="minorHAnsi" w:cstheme="minorHAnsi"/>
          <w:sz w:val="24"/>
          <w:szCs w:val="24"/>
        </w:rPr>
      </w:pPr>
      <w:r w:rsidRPr="00BE5898">
        <w:rPr>
          <w:rFonts w:asciiTheme="minorHAnsi" w:hAnsiTheme="minorHAnsi" w:cstheme="minorHAnsi"/>
          <w:i/>
          <w:sz w:val="24"/>
          <w:szCs w:val="24"/>
        </w:rPr>
        <w:tab/>
      </w:r>
      <w:r w:rsidRPr="00BE5898">
        <w:rPr>
          <w:rFonts w:asciiTheme="minorHAnsi" w:hAnsiTheme="minorHAnsi" w:cstheme="minorHAnsi"/>
          <w:i/>
          <w:sz w:val="24"/>
          <w:szCs w:val="24"/>
        </w:rPr>
        <w:tab/>
      </w:r>
      <w:r w:rsidRPr="00BE5898">
        <w:rPr>
          <w:rFonts w:asciiTheme="minorHAnsi" w:hAnsiTheme="minorHAnsi" w:cstheme="minorHAnsi"/>
          <w:i/>
          <w:sz w:val="24"/>
          <w:szCs w:val="24"/>
        </w:rPr>
        <w:tab/>
      </w:r>
      <w:r w:rsidRPr="00BE5898">
        <w:rPr>
          <w:rFonts w:asciiTheme="minorHAnsi" w:hAnsiTheme="minorHAnsi" w:cstheme="minorHAnsi"/>
          <w:i/>
          <w:sz w:val="24"/>
          <w:szCs w:val="24"/>
        </w:rPr>
        <w:tab/>
        <w:t xml:space="preserve">HrIndex </w:t>
      </w:r>
      <w:r w:rsidRPr="00BE5898">
        <w:rPr>
          <w:rFonts w:asciiTheme="minorHAnsi" w:hAnsiTheme="minorHAnsi" w:cstheme="minorHAnsi"/>
          <w:sz w:val="24"/>
          <w:szCs w:val="24"/>
        </w:rPr>
        <w:t xml:space="preserve">= The hourly energy index in the Pacific Northwest during the hour when </w:t>
      </w:r>
      <w:r w:rsidRPr="00BE5898">
        <w:rPr>
          <w:rFonts w:asciiTheme="minorHAnsi" w:hAnsiTheme="minorHAnsi" w:cstheme="minorHAnsi"/>
          <w:sz w:val="24"/>
          <w:szCs w:val="24"/>
        </w:rPr>
        <w:tab/>
      </w:r>
      <w:r w:rsidRPr="00BE5898">
        <w:rPr>
          <w:rFonts w:asciiTheme="minorHAnsi" w:hAnsiTheme="minorHAnsi" w:cstheme="minorHAnsi"/>
          <w:sz w:val="24"/>
          <w:szCs w:val="24"/>
        </w:rPr>
        <w:tab/>
      </w:r>
      <w:r w:rsidRPr="00BE5898">
        <w:rPr>
          <w:rFonts w:asciiTheme="minorHAnsi" w:hAnsiTheme="minorHAnsi" w:cstheme="minorHAnsi"/>
          <w:sz w:val="24"/>
          <w:szCs w:val="24"/>
        </w:rPr>
        <w:tab/>
      </w:r>
      <w:r w:rsidRPr="00BE5898">
        <w:rPr>
          <w:rFonts w:asciiTheme="minorHAnsi" w:hAnsiTheme="minorHAnsi" w:cstheme="minorHAnsi"/>
          <w:sz w:val="24"/>
          <w:szCs w:val="24"/>
        </w:rPr>
        <w:tab/>
        <w:t xml:space="preserve">     the third-party </w:t>
      </w:r>
      <w:r w:rsidRPr="00BE5898">
        <w:rPr>
          <w:rFonts w:asciiTheme="minorHAnsi" w:hAnsiTheme="minorHAnsi" w:cstheme="minorHAnsi"/>
          <w:i/>
          <w:sz w:val="24"/>
          <w:szCs w:val="24"/>
        </w:rPr>
        <w:t xml:space="preserve">inc </w:t>
      </w:r>
      <w:r w:rsidRPr="00BE5898">
        <w:rPr>
          <w:rFonts w:asciiTheme="minorHAnsi" w:hAnsiTheme="minorHAnsi" w:cstheme="minorHAnsi"/>
          <w:sz w:val="24"/>
          <w:szCs w:val="24"/>
        </w:rPr>
        <w:t>balancing reserve capacity was deployed</w:t>
      </w:r>
      <w:r w:rsidR="007F276A">
        <w:rPr>
          <w:rFonts w:asciiTheme="minorHAnsi" w:hAnsiTheme="minorHAnsi" w:cstheme="minorHAnsi"/>
          <w:sz w:val="24"/>
          <w:szCs w:val="24"/>
        </w:rPr>
        <w:t>.</w:t>
      </w:r>
    </w:p>
    <w:p w14:paraId="5DD7D4D3" w14:textId="77777777" w:rsidR="00096030" w:rsidRPr="00BE5898" w:rsidRDefault="00096030" w:rsidP="00E12650">
      <w:pPr>
        <w:widowControl w:val="0"/>
        <w:autoSpaceDE w:val="0"/>
        <w:autoSpaceDN w:val="0"/>
        <w:spacing w:after="0" w:line="240" w:lineRule="auto"/>
        <w:ind w:left="720" w:hanging="720"/>
        <w:rPr>
          <w:rFonts w:asciiTheme="minorHAnsi" w:hAnsiTheme="minorHAnsi" w:cstheme="minorHAnsi"/>
          <w:sz w:val="24"/>
          <w:szCs w:val="24"/>
        </w:rPr>
      </w:pPr>
    </w:p>
    <w:p w14:paraId="7094FD8A" w14:textId="2BB103E9" w:rsidR="00E37FFD" w:rsidRDefault="00EF6F4F" w:rsidP="00E12650">
      <w:pPr>
        <w:widowControl w:val="0"/>
        <w:autoSpaceDE w:val="0"/>
        <w:autoSpaceDN w:val="0"/>
        <w:spacing w:after="0" w:line="240" w:lineRule="auto"/>
        <w:ind w:left="720" w:hanging="720"/>
        <w:rPr>
          <w:rFonts w:asciiTheme="minorHAnsi" w:hAnsiTheme="minorHAnsi" w:cstheme="minorHAnsi"/>
          <w:sz w:val="24"/>
          <w:szCs w:val="24"/>
        </w:rPr>
      </w:pPr>
      <w:r>
        <w:rPr>
          <w:rFonts w:asciiTheme="minorHAnsi" w:hAnsiTheme="minorHAnsi" w:cstheme="minorHAnsi"/>
          <w:sz w:val="24"/>
          <w:szCs w:val="24"/>
        </w:rPr>
        <w:t>7</w:t>
      </w:r>
      <w:r w:rsidR="00E12650" w:rsidRPr="00905C9F">
        <w:rPr>
          <w:rFonts w:asciiTheme="minorHAnsi" w:hAnsiTheme="minorHAnsi" w:cstheme="minorHAnsi"/>
          <w:sz w:val="24"/>
          <w:szCs w:val="24"/>
        </w:rPr>
        <w:t>.</w:t>
      </w:r>
      <w:r w:rsidR="00E12650" w:rsidRPr="00905C9F">
        <w:rPr>
          <w:rFonts w:asciiTheme="minorHAnsi" w:hAnsiTheme="minorHAnsi" w:cstheme="minorHAnsi"/>
          <w:sz w:val="24"/>
          <w:szCs w:val="24"/>
        </w:rPr>
        <w:tab/>
      </w:r>
      <w:r w:rsidR="009C4696" w:rsidRPr="00905C9F">
        <w:rPr>
          <w:rFonts w:asciiTheme="minorHAnsi" w:hAnsiTheme="minorHAnsi" w:cstheme="minorHAnsi"/>
          <w:b/>
          <w:sz w:val="24"/>
          <w:szCs w:val="24"/>
        </w:rPr>
        <w:t xml:space="preserve">Revenue Credit.  </w:t>
      </w:r>
      <w:r w:rsidR="008F13E9" w:rsidRPr="00905C9F">
        <w:rPr>
          <w:rFonts w:asciiTheme="minorHAnsi" w:hAnsiTheme="minorHAnsi" w:cstheme="minorHAnsi"/>
          <w:sz w:val="24"/>
          <w:szCs w:val="24"/>
        </w:rPr>
        <w:t xml:space="preserve">Power Services will set power rates with the </w:t>
      </w:r>
      <w:r w:rsidR="000F7FAD" w:rsidRPr="00905C9F">
        <w:rPr>
          <w:rFonts w:asciiTheme="minorHAnsi" w:hAnsiTheme="minorHAnsi" w:cstheme="minorHAnsi"/>
          <w:sz w:val="24"/>
          <w:szCs w:val="24"/>
        </w:rPr>
        <w:t xml:space="preserve">revenue credit </w:t>
      </w:r>
      <w:r w:rsidR="008F13E9" w:rsidRPr="00905C9F">
        <w:rPr>
          <w:rFonts w:asciiTheme="minorHAnsi" w:hAnsiTheme="minorHAnsi" w:cstheme="minorHAnsi"/>
          <w:sz w:val="24"/>
          <w:szCs w:val="24"/>
        </w:rPr>
        <w:t xml:space="preserve">expectation that </w:t>
      </w:r>
      <w:r w:rsidR="008B5741">
        <w:rPr>
          <w:rFonts w:asciiTheme="minorHAnsi" w:hAnsiTheme="minorHAnsi" w:cstheme="minorHAnsi"/>
          <w:sz w:val="24"/>
          <w:szCs w:val="24"/>
        </w:rPr>
        <w:t xml:space="preserve">all planned </w:t>
      </w:r>
      <w:r w:rsidR="008B5741">
        <w:rPr>
          <w:rFonts w:asciiTheme="minorHAnsi" w:hAnsiTheme="minorHAnsi" w:cstheme="minorHAnsi"/>
          <w:i/>
          <w:sz w:val="24"/>
          <w:szCs w:val="24"/>
        </w:rPr>
        <w:t xml:space="preserve">inc </w:t>
      </w:r>
      <w:r w:rsidR="008B5741">
        <w:rPr>
          <w:rFonts w:asciiTheme="minorHAnsi" w:hAnsiTheme="minorHAnsi" w:cstheme="minorHAnsi"/>
          <w:sz w:val="24"/>
          <w:szCs w:val="24"/>
        </w:rPr>
        <w:t>balancing capacity will be sourced from the FCRPS</w:t>
      </w:r>
      <w:r w:rsidR="00AA51F7">
        <w:rPr>
          <w:rFonts w:asciiTheme="minorHAnsi" w:hAnsiTheme="minorHAnsi" w:cstheme="minorHAnsi"/>
          <w:sz w:val="24"/>
          <w:szCs w:val="24"/>
        </w:rPr>
        <w:t>.</w:t>
      </w:r>
    </w:p>
    <w:p w14:paraId="73BB12F5" w14:textId="20D51732" w:rsidR="00E57996" w:rsidRDefault="00E57996">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75437AFC" w14:textId="6EB0743F" w:rsidR="00833D87" w:rsidRDefault="00B1047A" w:rsidP="00E12650">
      <w:pPr>
        <w:widowControl w:val="0"/>
        <w:autoSpaceDE w:val="0"/>
        <w:autoSpaceDN w:val="0"/>
        <w:spacing w:after="0" w:line="240" w:lineRule="auto"/>
        <w:ind w:left="720" w:hanging="720"/>
        <w:rPr>
          <w:rFonts w:asciiTheme="minorHAnsi" w:hAnsiTheme="minorHAnsi" w:cstheme="minorHAnsi"/>
          <w:sz w:val="24"/>
          <w:szCs w:val="24"/>
        </w:rPr>
      </w:pPr>
      <w:r>
        <w:rPr>
          <w:rFonts w:asciiTheme="minorHAnsi" w:hAnsiTheme="minorHAnsi" w:cstheme="minorHAnsi"/>
          <w:sz w:val="24"/>
          <w:szCs w:val="24"/>
        </w:rPr>
        <w:lastRenderedPageBreak/>
        <w:t>8</w:t>
      </w:r>
      <w:r w:rsidR="00BF24E1" w:rsidRPr="00905C9F">
        <w:rPr>
          <w:rFonts w:asciiTheme="minorHAnsi" w:hAnsiTheme="minorHAnsi" w:cstheme="minorHAnsi"/>
          <w:sz w:val="24"/>
          <w:szCs w:val="24"/>
        </w:rPr>
        <w:t>.</w:t>
      </w:r>
      <w:r w:rsidR="00BF24E1" w:rsidRPr="00905C9F">
        <w:rPr>
          <w:rFonts w:asciiTheme="minorHAnsi" w:hAnsiTheme="minorHAnsi" w:cstheme="minorHAnsi"/>
          <w:sz w:val="24"/>
          <w:szCs w:val="24"/>
        </w:rPr>
        <w:tab/>
      </w:r>
      <w:r w:rsidR="00BF24E1">
        <w:rPr>
          <w:rFonts w:asciiTheme="minorHAnsi" w:hAnsiTheme="minorHAnsi" w:cstheme="minorHAnsi"/>
          <w:b/>
          <w:sz w:val="24"/>
          <w:szCs w:val="24"/>
        </w:rPr>
        <w:t>Settle</w:t>
      </w:r>
      <w:r w:rsidR="00103762">
        <w:rPr>
          <w:rFonts w:asciiTheme="minorHAnsi" w:hAnsiTheme="minorHAnsi" w:cstheme="minorHAnsi"/>
          <w:b/>
          <w:sz w:val="24"/>
          <w:szCs w:val="24"/>
        </w:rPr>
        <w:t>ment</w:t>
      </w:r>
      <w:r w:rsidR="00BF24E1">
        <w:rPr>
          <w:rFonts w:asciiTheme="minorHAnsi" w:hAnsiTheme="minorHAnsi" w:cstheme="minorHAnsi"/>
          <w:b/>
          <w:sz w:val="24"/>
          <w:szCs w:val="24"/>
        </w:rPr>
        <w:t xml:space="preserve"> </w:t>
      </w:r>
      <w:r w:rsidR="00833D87">
        <w:rPr>
          <w:rFonts w:asciiTheme="minorHAnsi" w:hAnsiTheme="minorHAnsi" w:cstheme="minorHAnsi"/>
          <w:b/>
          <w:sz w:val="24"/>
          <w:szCs w:val="24"/>
        </w:rPr>
        <w:t>Rates</w:t>
      </w:r>
      <w:r w:rsidR="00BF24E1" w:rsidRPr="00905C9F">
        <w:rPr>
          <w:rFonts w:asciiTheme="minorHAnsi" w:hAnsiTheme="minorHAnsi" w:cstheme="minorHAnsi"/>
          <w:b/>
          <w:sz w:val="24"/>
          <w:szCs w:val="24"/>
        </w:rPr>
        <w:t xml:space="preserve">.  </w:t>
      </w:r>
      <w:r w:rsidR="00833D87">
        <w:rPr>
          <w:rFonts w:asciiTheme="minorHAnsi" w:hAnsiTheme="minorHAnsi" w:cstheme="minorHAnsi"/>
          <w:sz w:val="24"/>
          <w:szCs w:val="24"/>
        </w:rPr>
        <w:t>The following are the s</w:t>
      </w:r>
      <w:r w:rsidR="00103762">
        <w:rPr>
          <w:rFonts w:asciiTheme="minorHAnsi" w:hAnsiTheme="minorHAnsi" w:cstheme="minorHAnsi"/>
          <w:sz w:val="24"/>
          <w:szCs w:val="24"/>
        </w:rPr>
        <w:t>ettlement</w:t>
      </w:r>
      <w:r w:rsidR="00833D87">
        <w:rPr>
          <w:rFonts w:asciiTheme="minorHAnsi" w:hAnsiTheme="minorHAnsi" w:cstheme="minorHAnsi"/>
          <w:sz w:val="24"/>
          <w:szCs w:val="24"/>
        </w:rPr>
        <w:t xml:space="preserve"> rates prior to any applicable CRAC, DDC, NFB, and RMT adjustments:</w:t>
      </w:r>
    </w:p>
    <w:p w14:paraId="6D9C43E0" w14:textId="77777777" w:rsidR="00833D87" w:rsidRDefault="00833D87" w:rsidP="00E12650">
      <w:pPr>
        <w:widowControl w:val="0"/>
        <w:autoSpaceDE w:val="0"/>
        <w:autoSpaceDN w:val="0"/>
        <w:spacing w:after="0" w:line="240" w:lineRule="auto"/>
        <w:ind w:left="720" w:hanging="720"/>
        <w:rPr>
          <w:rFonts w:asciiTheme="minorHAnsi" w:hAnsiTheme="minorHAnsi" w:cstheme="minorHAnsi"/>
          <w:sz w:val="24"/>
          <w:szCs w:val="24"/>
        </w:rPr>
      </w:pPr>
    </w:p>
    <w:tbl>
      <w:tblPr>
        <w:tblStyle w:val="TableGrid"/>
        <w:tblW w:w="0" w:type="auto"/>
        <w:tblInd w:w="720" w:type="dxa"/>
        <w:tblLook w:val="04A0" w:firstRow="1" w:lastRow="0" w:firstColumn="1" w:lastColumn="0" w:noHBand="0" w:noVBand="1"/>
      </w:tblPr>
      <w:tblGrid>
        <w:gridCol w:w="5182"/>
        <w:gridCol w:w="5114"/>
      </w:tblGrid>
      <w:tr w:rsidR="003E60C5" w14:paraId="421CDB96" w14:textId="77777777" w:rsidTr="00F915CD">
        <w:tc>
          <w:tcPr>
            <w:tcW w:w="5182" w:type="dxa"/>
          </w:tcPr>
          <w:p w14:paraId="17E3D450" w14:textId="016A346F" w:rsidR="00B1047A" w:rsidRDefault="00B1047A"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Service</w:t>
            </w:r>
          </w:p>
        </w:tc>
        <w:tc>
          <w:tcPr>
            <w:tcW w:w="5114" w:type="dxa"/>
          </w:tcPr>
          <w:p w14:paraId="1A54CBD8" w14:textId="7B300F51" w:rsidR="00B1047A" w:rsidRDefault="00D71EDC"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Monthly </w:t>
            </w:r>
            <w:r w:rsidR="00B1047A">
              <w:rPr>
                <w:rFonts w:asciiTheme="minorHAnsi" w:hAnsiTheme="minorHAnsi" w:cstheme="minorHAnsi"/>
                <w:sz w:val="24"/>
                <w:szCs w:val="24"/>
              </w:rPr>
              <w:t>Rates</w:t>
            </w:r>
          </w:p>
        </w:tc>
      </w:tr>
      <w:tr w:rsidR="003E60C5" w14:paraId="07C4DD20" w14:textId="77777777" w:rsidTr="00F915CD">
        <w:tc>
          <w:tcPr>
            <w:tcW w:w="5182" w:type="dxa"/>
          </w:tcPr>
          <w:p w14:paraId="6820D338" w14:textId="5F4BB606" w:rsidR="00B1047A" w:rsidRDefault="00103762"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Variable Energy Resource Balancing Service (VERBS)</w:t>
            </w:r>
            <w:r w:rsidR="00B1047A">
              <w:rPr>
                <w:rFonts w:asciiTheme="minorHAnsi" w:hAnsiTheme="minorHAnsi" w:cstheme="minorHAnsi"/>
                <w:sz w:val="24"/>
                <w:szCs w:val="24"/>
              </w:rPr>
              <w:t xml:space="preserve"> 30/15 Committed</w:t>
            </w:r>
          </w:p>
        </w:tc>
        <w:tc>
          <w:tcPr>
            <w:tcW w:w="5114" w:type="dxa"/>
          </w:tcPr>
          <w:p w14:paraId="4E54015B" w14:textId="22B253C9" w:rsidR="00B1047A" w:rsidRPr="00267513" w:rsidRDefault="00BE62C6" w:rsidP="00CD3F53">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$0.</w:t>
            </w:r>
            <w:r w:rsidR="00CD3F53" w:rsidRPr="00267513">
              <w:rPr>
                <w:rFonts w:asciiTheme="minorHAnsi" w:hAnsiTheme="minorHAnsi" w:cstheme="minorHAnsi"/>
                <w:sz w:val="24"/>
                <w:szCs w:val="24"/>
              </w:rPr>
              <w:t>71</w:t>
            </w:r>
            <w:r w:rsidRPr="00267513">
              <w:rPr>
                <w:rFonts w:asciiTheme="minorHAnsi" w:hAnsiTheme="minorHAnsi" w:cstheme="minorHAnsi"/>
                <w:sz w:val="24"/>
                <w:szCs w:val="24"/>
              </w:rPr>
              <w:t>/kW of nameplate</w:t>
            </w:r>
          </w:p>
        </w:tc>
      </w:tr>
      <w:tr w:rsidR="003E60C5" w14:paraId="35A4A5D0" w14:textId="77777777" w:rsidTr="00F915CD">
        <w:tc>
          <w:tcPr>
            <w:tcW w:w="5182" w:type="dxa"/>
          </w:tcPr>
          <w:p w14:paraId="2663B8AB" w14:textId="4CCAF3F1" w:rsidR="00B1047A" w:rsidRDefault="00B1047A"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VERBS 30/60 Committed</w:t>
            </w:r>
          </w:p>
        </w:tc>
        <w:tc>
          <w:tcPr>
            <w:tcW w:w="5114" w:type="dxa"/>
          </w:tcPr>
          <w:p w14:paraId="5AB039C2" w14:textId="28DEFAE5" w:rsidR="00B1047A" w:rsidRPr="00267513" w:rsidRDefault="00BE62C6" w:rsidP="00CD3F53">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w:t>
            </w:r>
            <w:r w:rsidR="00CD3F53" w:rsidRPr="00267513">
              <w:rPr>
                <w:rFonts w:asciiTheme="minorHAnsi" w:hAnsiTheme="minorHAnsi" w:cstheme="minorHAnsi"/>
                <w:sz w:val="24"/>
                <w:szCs w:val="24"/>
              </w:rPr>
              <w:t>1.01</w:t>
            </w:r>
            <w:r w:rsidRPr="00267513">
              <w:rPr>
                <w:rFonts w:asciiTheme="minorHAnsi" w:hAnsiTheme="minorHAnsi" w:cstheme="minorHAnsi"/>
                <w:sz w:val="24"/>
                <w:szCs w:val="24"/>
              </w:rPr>
              <w:t>/kW of nameplate</w:t>
            </w:r>
          </w:p>
        </w:tc>
      </w:tr>
      <w:tr w:rsidR="003E60C5" w14:paraId="0811765A" w14:textId="77777777" w:rsidTr="00F915CD">
        <w:tc>
          <w:tcPr>
            <w:tcW w:w="5182" w:type="dxa"/>
          </w:tcPr>
          <w:p w14:paraId="0879EA57" w14:textId="20FD3BB2" w:rsidR="00B1047A" w:rsidRDefault="00B1047A"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VERBS Uncommitted</w:t>
            </w:r>
          </w:p>
        </w:tc>
        <w:tc>
          <w:tcPr>
            <w:tcW w:w="5114" w:type="dxa"/>
          </w:tcPr>
          <w:p w14:paraId="481FD3E9" w14:textId="3406924F" w:rsidR="00B1047A" w:rsidRPr="00267513" w:rsidRDefault="00BE62C6" w:rsidP="00CD3F53">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$1.</w:t>
            </w:r>
            <w:r w:rsidR="00CD3F53" w:rsidRPr="00267513">
              <w:rPr>
                <w:rFonts w:asciiTheme="minorHAnsi" w:hAnsiTheme="minorHAnsi" w:cstheme="minorHAnsi"/>
                <w:sz w:val="24"/>
                <w:szCs w:val="24"/>
              </w:rPr>
              <w:t>22</w:t>
            </w:r>
            <w:r w:rsidRPr="00267513">
              <w:rPr>
                <w:rFonts w:asciiTheme="minorHAnsi" w:hAnsiTheme="minorHAnsi" w:cstheme="minorHAnsi"/>
                <w:sz w:val="24"/>
                <w:szCs w:val="24"/>
              </w:rPr>
              <w:t>/kW of nameplate</w:t>
            </w:r>
          </w:p>
        </w:tc>
      </w:tr>
      <w:tr w:rsidR="003E60C5" w14:paraId="5FEAA26C" w14:textId="77777777" w:rsidTr="00F915CD">
        <w:tc>
          <w:tcPr>
            <w:tcW w:w="5182" w:type="dxa"/>
          </w:tcPr>
          <w:p w14:paraId="20F612F8" w14:textId="2DE7D8A8" w:rsidR="00B1047A" w:rsidRDefault="00B1047A"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VERBS CSGI</w:t>
            </w:r>
          </w:p>
        </w:tc>
        <w:tc>
          <w:tcPr>
            <w:tcW w:w="5114" w:type="dxa"/>
          </w:tcPr>
          <w:p w14:paraId="1B427762" w14:textId="3B46732C" w:rsidR="00B1047A" w:rsidRPr="00267513" w:rsidRDefault="00BE62C6" w:rsidP="00CD3F53">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$0.</w:t>
            </w:r>
            <w:r w:rsidR="00CD3F53" w:rsidRPr="00267513">
              <w:rPr>
                <w:rFonts w:asciiTheme="minorHAnsi" w:hAnsiTheme="minorHAnsi" w:cstheme="minorHAnsi"/>
                <w:sz w:val="24"/>
                <w:szCs w:val="24"/>
              </w:rPr>
              <w:t>49</w:t>
            </w:r>
            <w:r w:rsidRPr="00267513">
              <w:rPr>
                <w:rFonts w:asciiTheme="minorHAnsi" w:hAnsiTheme="minorHAnsi" w:cstheme="minorHAnsi"/>
                <w:sz w:val="24"/>
                <w:szCs w:val="24"/>
              </w:rPr>
              <w:t>/kW of nameplate</w:t>
            </w:r>
          </w:p>
        </w:tc>
      </w:tr>
      <w:tr w:rsidR="00030886" w14:paraId="7906F333" w14:textId="77777777" w:rsidTr="00F915CD">
        <w:tc>
          <w:tcPr>
            <w:tcW w:w="5182" w:type="dxa"/>
          </w:tcPr>
          <w:p w14:paraId="712FF572" w14:textId="5C819629" w:rsidR="00030886" w:rsidRPr="005C73BC" w:rsidRDefault="005C73BC" w:rsidP="005C73BC">
            <w:pPr>
              <w:widowControl w:val="0"/>
              <w:autoSpaceDE w:val="0"/>
              <w:autoSpaceDN w:val="0"/>
              <w:spacing w:after="0" w:line="240" w:lineRule="auto"/>
              <w:rPr>
                <w:rFonts w:asciiTheme="minorHAnsi" w:hAnsiTheme="minorHAnsi" w:cstheme="minorHAnsi"/>
                <w:sz w:val="24"/>
                <w:szCs w:val="24"/>
              </w:rPr>
            </w:pPr>
            <w:r w:rsidRPr="005C73BC">
              <w:rPr>
                <w:rFonts w:asciiTheme="minorHAnsi" w:hAnsiTheme="minorHAnsi" w:cstheme="minorHAnsi"/>
                <w:sz w:val="24"/>
                <w:szCs w:val="24"/>
              </w:rPr>
              <w:t>VERBS Solar 15-Minute</w:t>
            </w:r>
          </w:p>
        </w:tc>
        <w:tc>
          <w:tcPr>
            <w:tcW w:w="5114" w:type="dxa"/>
          </w:tcPr>
          <w:p w14:paraId="57E7F74C" w14:textId="5D122ECA" w:rsidR="00030886" w:rsidRPr="005C73BC" w:rsidRDefault="00030886" w:rsidP="00030886">
            <w:pPr>
              <w:widowControl w:val="0"/>
              <w:autoSpaceDE w:val="0"/>
              <w:autoSpaceDN w:val="0"/>
              <w:spacing w:after="0" w:line="240" w:lineRule="auto"/>
              <w:rPr>
                <w:rFonts w:asciiTheme="minorHAnsi" w:hAnsiTheme="minorHAnsi" w:cstheme="minorHAnsi"/>
                <w:sz w:val="24"/>
                <w:szCs w:val="24"/>
              </w:rPr>
            </w:pPr>
            <w:r w:rsidRPr="005C73BC">
              <w:rPr>
                <w:rFonts w:asciiTheme="minorHAnsi" w:hAnsiTheme="minorHAnsi" w:cstheme="minorHAnsi"/>
                <w:sz w:val="24"/>
                <w:szCs w:val="24"/>
              </w:rPr>
              <w:t>$0.21/kW of nameplate</w:t>
            </w:r>
          </w:p>
        </w:tc>
      </w:tr>
      <w:tr w:rsidR="00030886" w14:paraId="794C897E" w14:textId="77777777" w:rsidTr="00F915CD">
        <w:tc>
          <w:tcPr>
            <w:tcW w:w="5182" w:type="dxa"/>
          </w:tcPr>
          <w:p w14:paraId="73F94171" w14:textId="3EA6B5D5" w:rsidR="00030886" w:rsidRPr="005C73BC" w:rsidRDefault="005C73BC" w:rsidP="005C73BC">
            <w:pPr>
              <w:widowControl w:val="0"/>
              <w:autoSpaceDE w:val="0"/>
              <w:autoSpaceDN w:val="0"/>
              <w:spacing w:after="0" w:line="240" w:lineRule="auto"/>
              <w:rPr>
                <w:rFonts w:asciiTheme="minorHAnsi" w:hAnsiTheme="minorHAnsi" w:cstheme="minorHAnsi"/>
                <w:sz w:val="24"/>
                <w:szCs w:val="24"/>
              </w:rPr>
            </w:pPr>
            <w:r w:rsidRPr="005C73BC">
              <w:rPr>
                <w:rFonts w:asciiTheme="minorHAnsi" w:hAnsiTheme="minorHAnsi" w:cstheme="minorHAnsi"/>
                <w:sz w:val="24"/>
                <w:szCs w:val="24"/>
              </w:rPr>
              <w:t>VERBS Solar Hourly</w:t>
            </w:r>
          </w:p>
        </w:tc>
        <w:tc>
          <w:tcPr>
            <w:tcW w:w="5114" w:type="dxa"/>
          </w:tcPr>
          <w:p w14:paraId="3C508D61" w14:textId="4CF46C50" w:rsidR="00030886" w:rsidRPr="005C73BC" w:rsidRDefault="00030886" w:rsidP="00030886">
            <w:pPr>
              <w:widowControl w:val="0"/>
              <w:autoSpaceDE w:val="0"/>
              <w:autoSpaceDN w:val="0"/>
              <w:spacing w:after="0" w:line="240" w:lineRule="auto"/>
              <w:rPr>
                <w:rFonts w:asciiTheme="minorHAnsi" w:hAnsiTheme="minorHAnsi" w:cstheme="minorHAnsi"/>
                <w:sz w:val="24"/>
                <w:szCs w:val="24"/>
              </w:rPr>
            </w:pPr>
            <w:r w:rsidRPr="005C73BC">
              <w:rPr>
                <w:rFonts w:asciiTheme="minorHAnsi" w:hAnsiTheme="minorHAnsi" w:cstheme="minorHAnsi"/>
                <w:sz w:val="24"/>
                <w:szCs w:val="24"/>
              </w:rPr>
              <w:t>$0.28/kW of nameplate</w:t>
            </w:r>
          </w:p>
        </w:tc>
      </w:tr>
      <w:tr w:rsidR="00030886" w14:paraId="3B71D83D" w14:textId="77777777" w:rsidTr="00F915CD">
        <w:tc>
          <w:tcPr>
            <w:tcW w:w="5182" w:type="dxa"/>
          </w:tcPr>
          <w:p w14:paraId="2552CE65" w14:textId="22F0A501" w:rsidR="00030886" w:rsidRDefault="00030886" w:rsidP="00E12650">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Dispatchable Energy Resource Balancing S</w:t>
            </w:r>
            <w:r w:rsidRPr="00905C9F">
              <w:rPr>
                <w:rFonts w:asciiTheme="minorHAnsi" w:hAnsiTheme="minorHAnsi" w:cstheme="minorHAnsi"/>
                <w:sz w:val="24"/>
                <w:szCs w:val="24"/>
              </w:rPr>
              <w:t xml:space="preserve">ervice (DERBS) </w:t>
            </w:r>
            <w:r>
              <w:rPr>
                <w:rFonts w:asciiTheme="minorHAnsi" w:hAnsiTheme="minorHAnsi" w:cstheme="minorHAnsi"/>
                <w:sz w:val="24"/>
                <w:szCs w:val="24"/>
              </w:rPr>
              <w:t>Inc</w:t>
            </w:r>
          </w:p>
        </w:tc>
        <w:tc>
          <w:tcPr>
            <w:tcW w:w="5114" w:type="dxa"/>
          </w:tcPr>
          <w:p w14:paraId="1F6F6471" w14:textId="3C24072F" w:rsidR="00030886" w:rsidRPr="00267513" w:rsidRDefault="00030886" w:rsidP="00E12650">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20.42 mills/kW</w:t>
            </w:r>
          </w:p>
          <w:p w14:paraId="74C4C2CB" w14:textId="2E03F574" w:rsidR="00030886" w:rsidRPr="00267513" w:rsidRDefault="00030886" w:rsidP="00E12650">
            <w:pPr>
              <w:widowControl w:val="0"/>
              <w:autoSpaceDE w:val="0"/>
              <w:autoSpaceDN w:val="0"/>
              <w:spacing w:after="0" w:line="240" w:lineRule="auto"/>
              <w:rPr>
                <w:rFonts w:asciiTheme="minorHAnsi" w:hAnsiTheme="minorHAnsi" w:cstheme="minorHAnsi"/>
                <w:sz w:val="24"/>
                <w:szCs w:val="24"/>
              </w:rPr>
            </w:pPr>
          </w:p>
        </w:tc>
      </w:tr>
      <w:tr w:rsidR="00030886" w14:paraId="47BC7717" w14:textId="77777777" w:rsidTr="00F915CD">
        <w:tc>
          <w:tcPr>
            <w:tcW w:w="5182" w:type="dxa"/>
          </w:tcPr>
          <w:p w14:paraId="0AC83C3E" w14:textId="0F6CFB2D"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DERBS Dec</w:t>
            </w:r>
          </w:p>
        </w:tc>
        <w:tc>
          <w:tcPr>
            <w:tcW w:w="5114" w:type="dxa"/>
          </w:tcPr>
          <w:p w14:paraId="3EBBDA8F" w14:textId="4D346CEA" w:rsidR="00030886" w:rsidRPr="00267513" w:rsidRDefault="00030886" w:rsidP="00CD3F53">
            <w:pPr>
              <w:widowControl w:val="0"/>
              <w:autoSpaceDE w:val="0"/>
              <w:autoSpaceDN w:val="0"/>
              <w:spacing w:after="0" w:line="240" w:lineRule="auto"/>
              <w:rPr>
                <w:rFonts w:asciiTheme="minorHAnsi" w:hAnsiTheme="minorHAnsi" w:cstheme="minorHAnsi"/>
                <w:sz w:val="24"/>
                <w:szCs w:val="24"/>
              </w:rPr>
            </w:pPr>
            <w:r w:rsidRPr="00267513">
              <w:rPr>
                <w:rFonts w:asciiTheme="minorHAnsi" w:hAnsiTheme="minorHAnsi" w:cstheme="minorHAnsi"/>
                <w:sz w:val="24"/>
                <w:szCs w:val="24"/>
              </w:rPr>
              <w:t>3.43 mills/kW</w:t>
            </w:r>
          </w:p>
        </w:tc>
      </w:tr>
      <w:tr w:rsidR="00030886" w14:paraId="7B93AEA0" w14:textId="77777777" w:rsidTr="00F915CD">
        <w:tc>
          <w:tcPr>
            <w:tcW w:w="5182" w:type="dxa"/>
          </w:tcPr>
          <w:p w14:paraId="1C2BD4C9" w14:textId="1BDB6BF6" w:rsidR="00030886" w:rsidRPr="00BE5898"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Regulation and Frequency Response</w:t>
            </w:r>
          </w:p>
        </w:tc>
        <w:tc>
          <w:tcPr>
            <w:tcW w:w="5114" w:type="dxa"/>
          </w:tcPr>
          <w:p w14:paraId="588EDBD0" w14:textId="6F433ADA"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0.13 mills/kWh</w:t>
            </w:r>
          </w:p>
        </w:tc>
      </w:tr>
      <w:tr w:rsidR="00030886" w14:paraId="16C72FBF" w14:textId="77777777" w:rsidTr="00F915CD">
        <w:tc>
          <w:tcPr>
            <w:tcW w:w="5182" w:type="dxa"/>
          </w:tcPr>
          <w:p w14:paraId="1333A462" w14:textId="252238B2" w:rsidR="00030886" w:rsidRDefault="00030886" w:rsidP="00E12650">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Operating Reserve - Spinning</w:t>
            </w:r>
          </w:p>
        </w:tc>
        <w:tc>
          <w:tcPr>
            <w:tcW w:w="5114" w:type="dxa"/>
          </w:tcPr>
          <w:p w14:paraId="3F360769" w14:textId="0135A1FA"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11.82 mills/kWh</w:t>
            </w:r>
          </w:p>
        </w:tc>
      </w:tr>
      <w:tr w:rsidR="00030886" w14:paraId="2A74DEA7" w14:textId="77777777" w:rsidTr="00F915CD">
        <w:tc>
          <w:tcPr>
            <w:tcW w:w="5182" w:type="dxa"/>
          </w:tcPr>
          <w:p w14:paraId="6343789D" w14:textId="2CE5BC30" w:rsidR="00030886" w:rsidRDefault="00030886" w:rsidP="00E12650">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 xml:space="preserve">Operating Reserve – Spinning default </w:t>
            </w:r>
          </w:p>
        </w:tc>
        <w:tc>
          <w:tcPr>
            <w:tcW w:w="5114" w:type="dxa"/>
          </w:tcPr>
          <w:p w14:paraId="2E771BDE" w14:textId="0193B324"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13.59 mills/kWh</w:t>
            </w:r>
          </w:p>
        </w:tc>
      </w:tr>
      <w:tr w:rsidR="00030886" w14:paraId="4F8782E4" w14:textId="77777777" w:rsidTr="00F915CD">
        <w:tc>
          <w:tcPr>
            <w:tcW w:w="5182" w:type="dxa"/>
          </w:tcPr>
          <w:p w14:paraId="2590DC12" w14:textId="047147C5" w:rsidR="00030886" w:rsidRDefault="00030886" w:rsidP="00E12650">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Operating Reserve - Supplemental</w:t>
            </w:r>
          </w:p>
        </w:tc>
        <w:tc>
          <w:tcPr>
            <w:tcW w:w="5114" w:type="dxa"/>
          </w:tcPr>
          <w:p w14:paraId="41575C94" w14:textId="1A4C0BDA"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9.76 mills/kWh</w:t>
            </w:r>
          </w:p>
        </w:tc>
      </w:tr>
      <w:tr w:rsidR="00030886" w14:paraId="32E1DE41" w14:textId="77777777" w:rsidTr="00F915CD">
        <w:tc>
          <w:tcPr>
            <w:tcW w:w="5182" w:type="dxa"/>
          </w:tcPr>
          <w:p w14:paraId="11007EE6" w14:textId="08DB0B3D" w:rsidR="00030886" w:rsidRDefault="00030886" w:rsidP="00E12650">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 xml:space="preserve">Operating Reserve – Supplemental default </w:t>
            </w:r>
          </w:p>
        </w:tc>
        <w:tc>
          <w:tcPr>
            <w:tcW w:w="5114" w:type="dxa"/>
          </w:tcPr>
          <w:p w14:paraId="5B10E9B0" w14:textId="726F69C4" w:rsidR="00030886" w:rsidRDefault="00030886" w:rsidP="00E12650">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11.22 mills/kWh</w:t>
            </w:r>
          </w:p>
        </w:tc>
      </w:tr>
    </w:tbl>
    <w:p w14:paraId="3D048C57" w14:textId="0DA2F74D" w:rsidR="00E37FFD" w:rsidRDefault="00E37FFD" w:rsidP="00E12650">
      <w:pPr>
        <w:widowControl w:val="0"/>
        <w:autoSpaceDE w:val="0"/>
        <w:autoSpaceDN w:val="0"/>
        <w:spacing w:after="0" w:line="240" w:lineRule="auto"/>
        <w:ind w:left="720" w:hanging="720"/>
        <w:rPr>
          <w:rFonts w:asciiTheme="minorHAnsi" w:hAnsiTheme="minorHAnsi" w:cstheme="minorHAnsi"/>
          <w:sz w:val="24"/>
          <w:szCs w:val="24"/>
        </w:rPr>
      </w:pPr>
    </w:p>
    <w:p w14:paraId="3D36815D" w14:textId="6F571C8C" w:rsidR="00E37FFD" w:rsidRDefault="00B1047A" w:rsidP="00E37FFD">
      <w:pPr>
        <w:widowControl w:val="0"/>
        <w:autoSpaceDE w:val="0"/>
        <w:autoSpaceDN w:val="0"/>
        <w:spacing w:after="0" w:line="240" w:lineRule="auto"/>
        <w:ind w:left="720" w:hanging="720"/>
        <w:rPr>
          <w:rFonts w:asciiTheme="minorHAnsi" w:hAnsiTheme="minorHAnsi" w:cstheme="minorHAnsi"/>
          <w:sz w:val="24"/>
          <w:szCs w:val="24"/>
        </w:rPr>
      </w:pPr>
      <w:r>
        <w:rPr>
          <w:rFonts w:asciiTheme="minorHAnsi" w:hAnsiTheme="minorHAnsi" w:cstheme="minorHAnsi"/>
          <w:sz w:val="24"/>
          <w:szCs w:val="24"/>
        </w:rPr>
        <w:t>9</w:t>
      </w:r>
      <w:r w:rsidR="00E37FFD" w:rsidRPr="00905C9F">
        <w:rPr>
          <w:rFonts w:asciiTheme="minorHAnsi" w:hAnsiTheme="minorHAnsi" w:cstheme="minorHAnsi"/>
          <w:sz w:val="24"/>
          <w:szCs w:val="24"/>
        </w:rPr>
        <w:t>.</w:t>
      </w:r>
      <w:r w:rsidR="00E37FFD" w:rsidRPr="00905C9F">
        <w:rPr>
          <w:rFonts w:asciiTheme="minorHAnsi" w:hAnsiTheme="minorHAnsi" w:cstheme="minorHAnsi"/>
          <w:sz w:val="24"/>
          <w:szCs w:val="24"/>
        </w:rPr>
        <w:tab/>
      </w:r>
      <w:r w:rsidR="00E37FFD">
        <w:rPr>
          <w:rFonts w:asciiTheme="minorHAnsi" w:hAnsiTheme="minorHAnsi" w:cstheme="minorHAnsi"/>
          <w:b/>
          <w:sz w:val="24"/>
          <w:szCs w:val="24"/>
        </w:rPr>
        <w:t>Adjusting Settlement Rates</w:t>
      </w:r>
      <w:r w:rsidR="00E37FFD" w:rsidRPr="00905C9F">
        <w:rPr>
          <w:rFonts w:asciiTheme="minorHAnsi" w:hAnsiTheme="minorHAnsi" w:cstheme="minorHAnsi"/>
          <w:b/>
          <w:sz w:val="24"/>
          <w:szCs w:val="24"/>
        </w:rPr>
        <w:t xml:space="preserve">.  </w:t>
      </w:r>
      <w:r w:rsidR="00BA65F1">
        <w:rPr>
          <w:rFonts w:asciiTheme="minorHAnsi" w:hAnsiTheme="minorHAnsi" w:cstheme="minorHAnsi"/>
          <w:sz w:val="24"/>
          <w:szCs w:val="24"/>
        </w:rPr>
        <w:t xml:space="preserve">The ancillary and control area </w:t>
      </w:r>
      <w:r w:rsidR="009509EB">
        <w:rPr>
          <w:rFonts w:asciiTheme="minorHAnsi" w:hAnsiTheme="minorHAnsi" w:cstheme="minorHAnsi"/>
          <w:sz w:val="24"/>
          <w:szCs w:val="24"/>
        </w:rPr>
        <w:t xml:space="preserve">service </w:t>
      </w:r>
      <w:r w:rsidR="00BA65F1">
        <w:rPr>
          <w:rFonts w:asciiTheme="minorHAnsi" w:hAnsiTheme="minorHAnsi" w:cstheme="minorHAnsi"/>
          <w:sz w:val="24"/>
          <w:szCs w:val="24"/>
        </w:rPr>
        <w:t>ra</w:t>
      </w:r>
      <w:r w:rsidR="003E5533">
        <w:rPr>
          <w:rFonts w:asciiTheme="minorHAnsi" w:hAnsiTheme="minorHAnsi" w:cstheme="minorHAnsi"/>
          <w:sz w:val="24"/>
          <w:szCs w:val="24"/>
        </w:rPr>
        <w:t>te</w:t>
      </w:r>
      <w:r w:rsidR="00BA65F1">
        <w:rPr>
          <w:rFonts w:asciiTheme="minorHAnsi" w:hAnsiTheme="minorHAnsi" w:cstheme="minorHAnsi"/>
          <w:sz w:val="24"/>
          <w:szCs w:val="24"/>
        </w:rPr>
        <w:t xml:space="preserve">s in </w:t>
      </w:r>
      <w:r w:rsidR="00AF5B2D">
        <w:rPr>
          <w:rFonts w:asciiTheme="minorHAnsi" w:hAnsiTheme="minorHAnsi" w:cstheme="minorHAnsi"/>
          <w:sz w:val="24"/>
          <w:szCs w:val="24"/>
        </w:rPr>
        <w:t xml:space="preserve">section 8 of this Attachment 1 and </w:t>
      </w:r>
      <w:r w:rsidR="003E60C5">
        <w:rPr>
          <w:rFonts w:asciiTheme="minorHAnsi" w:hAnsiTheme="minorHAnsi" w:cstheme="minorHAnsi"/>
          <w:sz w:val="24"/>
          <w:szCs w:val="24"/>
        </w:rPr>
        <w:t xml:space="preserve">in </w:t>
      </w:r>
      <w:r w:rsidR="00AF5B2D">
        <w:rPr>
          <w:rFonts w:asciiTheme="minorHAnsi" w:hAnsiTheme="minorHAnsi" w:cstheme="minorHAnsi"/>
          <w:sz w:val="24"/>
          <w:szCs w:val="24"/>
        </w:rPr>
        <w:t xml:space="preserve">the </w:t>
      </w:r>
      <w:r w:rsidR="00BA65F1">
        <w:rPr>
          <w:rFonts w:asciiTheme="minorHAnsi" w:hAnsiTheme="minorHAnsi" w:cstheme="minorHAnsi"/>
          <w:sz w:val="24"/>
          <w:szCs w:val="24"/>
        </w:rPr>
        <w:t xml:space="preserve">Attachment 2, ACS-18, sections II and III, will increase to collect each rate’s percentage share of Transmission </w:t>
      </w:r>
      <w:r w:rsidR="00520C7B">
        <w:rPr>
          <w:rFonts w:asciiTheme="minorHAnsi" w:hAnsiTheme="minorHAnsi" w:cstheme="minorHAnsi"/>
          <w:sz w:val="24"/>
          <w:szCs w:val="24"/>
        </w:rPr>
        <w:t xml:space="preserve">Services’ </w:t>
      </w:r>
      <w:r w:rsidR="00635ACC">
        <w:rPr>
          <w:rFonts w:asciiTheme="minorHAnsi" w:hAnsiTheme="minorHAnsi" w:cstheme="minorHAnsi"/>
          <w:sz w:val="24"/>
          <w:szCs w:val="24"/>
        </w:rPr>
        <w:t>3.48</w:t>
      </w:r>
      <w:r w:rsidR="00BA65F1">
        <w:rPr>
          <w:rFonts w:asciiTheme="minorHAnsi" w:hAnsiTheme="minorHAnsi" w:cstheme="minorHAnsi"/>
          <w:sz w:val="24"/>
          <w:szCs w:val="24"/>
        </w:rPr>
        <w:t xml:space="preserve"> percent a</w:t>
      </w:r>
      <w:r w:rsidR="00540382">
        <w:rPr>
          <w:rFonts w:asciiTheme="minorHAnsi" w:hAnsiTheme="minorHAnsi" w:cstheme="minorHAnsi"/>
          <w:sz w:val="24"/>
          <w:szCs w:val="24"/>
        </w:rPr>
        <w:t xml:space="preserve">mount of </w:t>
      </w:r>
      <w:r w:rsidR="00B0253D">
        <w:rPr>
          <w:rFonts w:asciiTheme="minorHAnsi" w:hAnsiTheme="minorHAnsi" w:cstheme="minorHAnsi"/>
          <w:sz w:val="24"/>
          <w:szCs w:val="24"/>
        </w:rPr>
        <w:t>any rate adjustment made under sections 5.c and 5.d of this Attachment 1</w:t>
      </w:r>
      <w:r w:rsidR="00540382">
        <w:rPr>
          <w:rFonts w:asciiTheme="minorHAnsi" w:hAnsiTheme="minorHAnsi" w:cstheme="minorHAnsi"/>
          <w:sz w:val="24"/>
          <w:szCs w:val="24"/>
        </w:rPr>
        <w:t>.  The rates will increase based on the following table:</w:t>
      </w:r>
    </w:p>
    <w:p w14:paraId="68909B56" w14:textId="77777777" w:rsidR="00540382" w:rsidRDefault="00540382" w:rsidP="00E37FFD">
      <w:pPr>
        <w:widowControl w:val="0"/>
        <w:autoSpaceDE w:val="0"/>
        <w:autoSpaceDN w:val="0"/>
        <w:spacing w:after="0" w:line="240" w:lineRule="auto"/>
        <w:ind w:left="720" w:hanging="720"/>
        <w:rPr>
          <w:rFonts w:asciiTheme="minorHAnsi" w:hAnsiTheme="minorHAnsi" w:cstheme="minorHAnsi"/>
          <w:sz w:val="24"/>
          <w:szCs w:val="24"/>
        </w:rPr>
      </w:pPr>
    </w:p>
    <w:tbl>
      <w:tblPr>
        <w:tblStyle w:val="TableGrid"/>
        <w:tblW w:w="0" w:type="auto"/>
        <w:tblInd w:w="378" w:type="dxa"/>
        <w:tblLook w:val="04A0" w:firstRow="1" w:lastRow="0" w:firstColumn="1" w:lastColumn="0" w:noHBand="0" w:noVBand="1"/>
      </w:tblPr>
      <w:tblGrid>
        <w:gridCol w:w="4680"/>
        <w:gridCol w:w="5490"/>
      </w:tblGrid>
      <w:tr w:rsidR="00540382" w:rsidRPr="00BE5898" w14:paraId="5EEBC36B" w14:textId="77777777" w:rsidTr="00877FA9">
        <w:tc>
          <w:tcPr>
            <w:tcW w:w="4680" w:type="dxa"/>
          </w:tcPr>
          <w:p w14:paraId="25DE850D" w14:textId="77777777" w:rsidR="00540382" w:rsidRPr="00BE5898" w:rsidRDefault="00540382" w:rsidP="00877FA9">
            <w:pPr>
              <w:widowControl w:val="0"/>
              <w:autoSpaceDE w:val="0"/>
              <w:autoSpaceDN w:val="0"/>
              <w:spacing w:after="0" w:line="240" w:lineRule="auto"/>
              <w:rPr>
                <w:rFonts w:asciiTheme="minorHAnsi" w:hAnsiTheme="minorHAnsi" w:cstheme="minorHAnsi"/>
                <w:b/>
                <w:sz w:val="24"/>
                <w:szCs w:val="24"/>
              </w:rPr>
            </w:pPr>
            <w:r w:rsidRPr="00BE5898">
              <w:rPr>
                <w:rFonts w:asciiTheme="minorHAnsi" w:hAnsiTheme="minorHAnsi" w:cstheme="minorHAnsi"/>
                <w:b/>
                <w:sz w:val="24"/>
                <w:szCs w:val="24"/>
              </w:rPr>
              <w:t xml:space="preserve">Rates  </w:t>
            </w:r>
          </w:p>
        </w:tc>
        <w:tc>
          <w:tcPr>
            <w:tcW w:w="5490" w:type="dxa"/>
          </w:tcPr>
          <w:p w14:paraId="64A311B9" w14:textId="77777777" w:rsidR="00540382" w:rsidRPr="00905C9F" w:rsidRDefault="00540382" w:rsidP="00877FA9">
            <w:pPr>
              <w:widowControl w:val="0"/>
              <w:autoSpaceDE w:val="0"/>
              <w:autoSpaceDN w:val="0"/>
              <w:spacing w:after="0" w:line="240" w:lineRule="auto"/>
              <w:rPr>
                <w:rFonts w:asciiTheme="minorHAnsi" w:hAnsiTheme="minorHAnsi" w:cstheme="minorHAnsi"/>
                <w:b/>
                <w:sz w:val="24"/>
                <w:szCs w:val="24"/>
              </w:rPr>
            </w:pPr>
            <w:r w:rsidRPr="00905C9F">
              <w:rPr>
                <w:rFonts w:asciiTheme="minorHAnsi" w:hAnsiTheme="minorHAnsi" w:cstheme="minorHAnsi"/>
                <w:b/>
                <w:sz w:val="24"/>
                <w:szCs w:val="24"/>
              </w:rPr>
              <w:t xml:space="preserve">Percent Share of </w:t>
            </w:r>
            <w:r>
              <w:rPr>
                <w:rFonts w:asciiTheme="minorHAnsi" w:hAnsiTheme="minorHAnsi" w:cstheme="minorHAnsi"/>
                <w:b/>
                <w:sz w:val="24"/>
                <w:szCs w:val="24"/>
              </w:rPr>
              <w:t>RMT</w:t>
            </w:r>
          </w:p>
        </w:tc>
      </w:tr>
      <w:tr w:rsidR="00540382" w:rsidRPr="00BE5898" w14:paraId="4D1F74F5" w14:textId="77777777" w:rsidTr="00877FA9">
        <w:tc>
          <w:tcPr>
            <w:tcW w:w="4680" w:type="dxa"/>
          </w:tcPr>
          <w:p w14:paraId="15B4B837" w14:textId="77777777" w:rsidR="00540382" w:rsidRPr="00BE5898" w:rsidRDefault="00540382" w:rsidP="00877FA9">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Regulating and Frequency Response Service</w:t>
            </w:r>
          </w:p>
        </w:tc>
        <w:tc>
          <w:tcPr>
            <w:tcW w:w="5490" w:type="dxa"/>
          </w:tcPr>
          <w:p w14:paraId="510BCF60" w14:textId="3E2CC44C" w:rsidR="00540382" w:rsidRPr="004E7E58" w:rsidRDefault="004E7E58" w:rsidP="00877FA9">
            <w:pPr>
              <w:widowControl w:val="0"/>
              <w:autoSpaceDE w:val="0"/>
              <w:autoSpaceDN w:val="0"/>
              <w:spacing w:after="0" w:line="240" w:lineRule="auto"/>
              <w:rPr>
                <w:rFonts w:asciiTheme="minorHAnsi" w:hAnsiTheme="minorHAnsi" w:cstheme="minorHAnsi"/>
                <w:sz w:val="24"/>
                <w:szCs w:val="24"/>
              </w:rPr>
            </w:pPr>
            <w:r w:rsidRPr="004E7E58">
              <w:rPr>
                <w:rFonts w:asciiTheme="minorHAnsi" w:hAnsiTheme="minorHAnsi" w:cstheme="minorHAnsi"/>
                <w:sz w:val="24"/>
                <w:szCs w:val="24"/>
              </w:rPr>
              <w:t>0.38%</w:t>
            </w:r>
          </w:p>
        </w:tc>
      </w:tr>
      <w:tr w:rsidR="00540382" w:rsidRPr="00BE5898" w14:paraId="2AA449AF" w14:textId="77777777" w:rsidTr="00877FA9">
        <w:tc>
          <w:tcPr>
            <w:tcW w:w="4680" w:type="dxa"/>
          </w:tcPr>
          <w:p w14:paraId="000D82EE" w14:textId="77777777" w:rsidR="00540382" w:rsidRPr="00BE5898" w:rsidRDefault="00540382" w:rsidP="00877FA9">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Operating Reserve - Spinning</w:t>
            </w:r>
          </w:p>
        </w:tc>
        <w:tc>
          <w:tcPr>
            <w:tcW w:w="5490" w:type="dxa"/>
          </w:tcPr>
          <w:p w14:paraId="21649491" w14:textId="4064CB63" w:rsidR="00540382" w:rsidRPr="004E7E58" w:rsidRDefault="004E7E58" w:rsidP="00635ACC">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1.5</w:t>
            </w:r>
            <w:r w:rsidR="00635ACC">
              <w:rPr>
                <w:rFonts w:asciiTheme="minorHAnsi" w:hAnsiTheme="minorHAnsi" w:cstheme="minorHAnsi"/>
                <w:sz w:val="24"/>
                <w:szCs w:val="24"/>
              </w:rPr>
              <w:t>5</w:t>
            </w:r>
            <w:r>
              <w:rPr>
                <w:rFonts w:asciiTheme="minorHAnsi" w:hAnsiTheme="minorHAnsi" w:cstheme="minorHAnsi"/>
                <w:sz w:val="24"/>
                <w:szCs w:val="24"/>
              </w:rPr>
              <w:t>%</w:t>
            </w:r>
          </w:p>
        </w:tc>
      </w:tr>
      <w:tr w:rsidR="00540382" w:rsidRPr="00BE5898" w14:paraId="4298999F" w14:textId="77777777" w:rsidTr="00877FA9">
        <w:tc>
          <w:tcPr>
            <w:tcW w:w="4680" w:type="dxa"/>
          </w:tcPr>
          <w:p w14:paraId="7A7B0040" w14:textId="77777777" w:rsidR="00540382" w:rsidRPr="00BE5898" w:rsidRDefault="00540382" w:rsidP="00877FA9">
            <w:pPr>
              <w:widowControl w:val="0"/>
              <w:autoSpaceDE w:val="0"/>
              <w:autoSpaceDN w:val="0"/>
              <w:spacing w:after="0" w:line="240" w:lineRule="auto"/>
              <w:rPr>
                <w:rFonts w:asciiTheme="minorHAnsi" w:hAnsiTheme="minorHAnsi" w:cstheme="minorHAnsi"/>
                <w:sz w:val="24"/>
                <w:szCs w:val="24"/>
              </w:rPr>
            </w:pPr>
            <w:r w:rsidRPr="00BE5898">
              <w:rPr>
                <w:rFonts w:asciiTheme="minorHAnsi" w:hAnsiTheme="minorHAnsi" w:cstheme="minorHAnsi"/>
                <w:sz w:val="24"/>
                <w:szCs w:val="24"/>
              </w:rPr>
              <w:t>Operating Reserve - Supplemental</w:t>
            </w:r>
          </w:p>
        </w:tc>
        <w:tc>
          <w:tcPr>
            <w:tcW w:w="5490" w:type="dxa"/>
          </w:tcPr>
          <w:p w14:paraId="5BC57EA6" w14:textId="7C1A3ED1" w:rsidR="00540382" w:rsidRPr="004E7E58" w:rsidRDefault="004E7E58" w:rsidP="00635ACC">
            <w:pPr>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t>1.5</w:t>
            </w:r>
            <w:r w:rsidR="00635ACC">
              <w:rPr>
                <w:rFonts w:asciiTheme="minorHAnsi" w:hAnsiTheme="minorHAnsi" w:cstheme="minorHAnsi"/>
                <w:sz w:val="24"/>
                <w:szCs w:val="24"/>
              </w:rPr>
              <w:t>5</w:t>
            </w:r>
            <w:r>
              <w:rPr>
                <w:rFonts w:asciiTheme="minorHAnsi" w:hAnsiTheme="minorHAnsi" w:cstheme="minorHAnsi"/>
                <w:sz w:val="24"/>
                <w:szCs w:val="24"/>
              </w:rPr>
              <w:t>%</w:t>
            </w:r>
          </w:p>
        </w:tc>
      </w:tr>
    </w:tbl>
    <w:p w14:paraId="4ACBA11F" w14:textId="77777777" w:rsidR="00540382" w:rsidRDefault="00540382" w:rsidP="00E37FFD">
      <w:pPr>
        <w:widowControl w:val="0"/>
        <w:autoSpaceDE w:val="0"/>
        <w:autoSpaceDN w:val="0"/>
        <w:spacing w:after="0" w:line="240" w:lineRule="auto"/>
        <w:ind w:left="720" w:hanging="720"/>
        <w:rPr>
          <w:rFonts w:asciiTheme="minorHAnsi" w:hAnsiTheme="minorHAnsi" w:cstheme="minorHAnsi"/>
          <w:sz w:val="24"/>
          <w:szCs w:val="24"/>
        </w:rPr>
      </w:pPr>
    </w:p>
    <w:p w14:paraId="3C0C89AE" w14:textId="06A22D7C" w:rsidR="00E12650" w:rsidRPr="00905C9F" w:rsidRDefault="00E12650" w:rsidP="00E12650">
      <w:pPr>
        <w:widowControl w:val="0"/>
        <w:autoSpaceDE w:val="0"/>
        <w:autoSpaceDN w:val="0"/>
        <w:spacing w:after="0" w:line="240" w:lineRule="auto"/>
        <w:ind w:left="720" w:hanging="720"/>
        <w:rPr>
          <w:rFonts w:asciiTheme="minorHAnsi" w:hAnsiTheme="minorHAnsi" w:cstheme="minorHAnsi"/>
          <w:sz w:val="24"/>
          <w:szCs w:val="24"/>
        </w:rPr>
      </w:pPr>
    </w:p>
    <w:p w14:paraId="6DEDBEB7" w14:textId="6260CF29" w:rsidR="005C73BC" w:rsidRDefault="00030886" w:rsidP="005C73BC">
      <w:pPr>
        <w:widowControl w:val="0"/>
        <w:autoSpaceDE w:val="0"/>
        <w:autoSpaceDN w:val="0"/>
        <w:spacing w:after="0" w:line="240" w:lineRule="auto"/>
        <w:ind w:left="720" w:hanging="720"/>
        <w:rPr>
          <w:rFonts w:asciiTheme="minorHAnsi" w:hAnsiTheme="minorHAnsi" w:cstheme="minorHAnsi"/>
          <w:sz w:val="24"/>
          <w:szCs w:val="24"/>
        </w:rPr>
      </w:pPr>
      <w:r>
        <w:rPr>
          <w:rFonts w:asciiTheme="minorHAnsi" w:hAnsiTheme="minorHAnsi" w:cstheme="minorHAnsi"/>
          <w:sz w:val="24"/>
          <w:szCs w:val="24"/>
        </w:rPr>
        <w:t>10</w:t>
      </w:r>
      <w:r w:rsidRPr="00905C9F">
        <w:rPr>
          <w:rFonts w:asciiTheme="minorHAnsi" w:hAnsiTheme="minorHAnsi" w:cstheme="minorHAnsi"/>
          <w:sz w:val="24"/>
          <w:szCs w:val="24"/>
        </w:rPr>
        <w:t>.</w:t>
      </w:r>
      <w:r w:rsidRPr="00905C9F">
        <w:rPr>
          <w:rFonts w:asciiTheme="minorHAnsi" w:hAnsiTheme="minorHAnsi" w:cstheme="minorHAnsi"/>
          <w:sz w:val="24"/>
          <w:szCs w:val="24"/>
        </w:rPr>
        <w:tab/>
      </w:r>
      <w:r w:rsidR="00C41423" w:rsidRPr="00767F62">
        <w:rPr>
          <w:rFonts w:asciiTheme="minorHAnsi" w:hAnsiTheme="minorHAnsi" w:cstheme="minorHAnsi"/>
          <w:b/>
          <w:sz w:val="24"/>
          <w:szCs w:val="24"/>
        </w:rPr>
        <w:t>Solar Technical Work</w:t>
      </w:r>
      <w:r w:rsidRPr="00767F62">
        <w:rPr>
          <w:rFonts w:asciiTheme="minorHAnsi" w:hAnsiTheme="minorHAnsi" w:cstheme="minorHAnsi"/>
          <w:b/>
          <w:sz w:val="24"/>
          <w:szCs w:val="24"/>
        </w:rPr>
        <w:t xml:space="preserve">.  </w:t>
      </w:r>
      <w:r w:rsidR="005C73BC" w:rsidRPr="005C73BC">
        <w:rPr>
          <w:rFonts w:asciiTheme="minorHAnsi" w:hAnsiTheme="minorHAnsi" w:cstheme="minorHAnsi"/>
          <w:sz w:val="24"/>
          <w:szCs w:val="24"/>
        </w:rPr>
        <w:t xml:space="preserve">Prior to submitting the initial proposal for BP-20, </w:t>
      </w:r>
      <w:r w:rsidR="00062F7F" w:rsidRPr="005C73BC">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C73BC">
        <w:rPr>
          <w:rFonts w:asciiTheme="minorHAnsi" w:hAnsiTheme="minorHAnsi" w:cstheme="minorHAnsi"/>
          <w:sz w:val="24"/>
          <w:szCs w:val="24"/>
        </w:rPr>
        <w:t xml:space="preserve"> </w:t>
      </w:r>
      <w:r w:rsidR="005C73BC" w:rsidRPr="005C73BC">
        <w:rPr>
          <w:rFonts w:asciiTheme="minorHAnsi" w:hAnsiTheme="minorHAnsi" w:cstheme="minorHAnsi"/>
          <w:sz w:val="24"/>
          <w:szCs w:val="24"/>
        </w:rPr>
        <w:t xml:space="preserve">will put forth reasonable efforts to </w:t>
      </w:r>
      <w:r w:rsidR="00870AF6">
        <w:rPr>
          <w:rFonts w:asciiTheme="minorHAnsi" w:hAnsiTheme="minorHAnsi" w:cstheme="minorHAnsi"/>
          <w:sz w:val="24"/>
          <w:szCs w:val="24"/>
        </w:rPr>
        <w:t>analyze</w:t>
      </w:r>
      <w:r w:rsidR="005C73BC" w:rsidRPr="005C73BC">
        <w:rPr>
          <w:rFonts w:asciiTheme="minorHAnsi" w:hAnsiTheme="minorHAnsi" w:cstheme="minorHAnsi"/>
          <w:sz w:val="24"/>
          <w:szCs w:val="24"/>
        </w:rPr>
        <w:t xml:space="preserve"> and produce study results on solar integration in </w:t>
      </w:r>
      <w:r w:rsidR="00062F7F" w:rsidRPr="005C73BC">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C73BC">
        <w:rPr>
          <w:rFonts w:asciiTheme="minorHAnsi" w:hAnsiTheme="minorHAnsi" w:cstheme="minorHAnsi"/>
          <w:sz w:val="24"/>
          <w:szCs w:val="24"/>
        </w:rPr>
        <w:t xml:space="preserve">’s </w:t>
      </w:r>
      <w:r w:rsidR="008A27C8">
        <w:rPr>
          <w:rFonts w:asciiTheme="minorHAnsi" w:hAnsiTheme="minorHAnsi" w:cstheme="minorHAnsi"/>
          <w:sz w:val="24"/>
          <w:szCs w:val="24"/>
        </w:rPr>
        <w:t>Balancing Authority Area (BAA)</w:t>
      </w:r>
      <w:r w:rsidR="005C73BC" w:rsidRPr="005C73BC">
        <w:rPr>
          <w:rFonts w:asciiTheme="minorHAnsi" w:hAnsiTheme="minorHAnsi" w:cstheme="minorHAnsi"/>
          <w:sz w:val="24"/>
          <w:szCs w:val="24"/>
        </w:rPr>
        <w:t>.</w:t>
      </w:r>
      <w:r w:rsidR="005C73BC">
        <w:rPr>
          <w:rFonts w:asciiTheme="minorHAnsi" w:hAnsiTheme="minorHAnsi" w:cstheme="minorHAnsi"/>
          <w:sz w:val="24"/>
          <w:szCs w:val="24"/>
        </w:rPr>
        <w:t xml:space="preserve">  This study work will include:</w:t>
      </w:r>
    </w:p>
    <w:p w14:paraId="488AE43F" w14:textId="77777777" w:rsidR="005C73BC" w:rsidRDefault="005C73BC" w:rsidP="005C73BC">
      <w:pPr>
        <w:widowControl w:val="0"/>
        <w:autoSpaceDE w:val="0"/>
        <w:autoSpaceDN w:val="0"/>
        <w:spacing w:after="0" w:line="240" w:lineRule="auto"/>
        <w:ind w:left="720" w:hanging="720"/>
        <w:rPr>
          <w:rFonts w:asciiTheme="minorHAnsi" w:hAnsiTheme="minorHAnsi" w:cstheme="minorHAnsi"/>
          <w:sz w:val="24"/>
          <w:szCs w:val="24"/>
        </w:rPr>
      </w:pPr>
    </w:p>
    <w:p w14:paraId="0181D561" w14:textId="2F66CBCF" w:rsidR="005905B7" w:rsidRPr="005905B7" w:rsidRDefault="005C73BC" w:rsidP="005905B7">
      <w:pPr>
        <w:pStyle w:val="ListParagraph"/>
        <w:widowControl w:val="0"/>
        <w:numPr>
          <w:ilvl w:val="0"/>
          <w:numId w:val="38"/>
        </w:numPr>
        <w:autoSpaceDE w:val="0"/>
        <w:autoSpaceDN w:val="0"/>
        <w:spacing w:after="0" w:line="240" w:lineRule="auto"/>
        <w:rPr>
          <w:rFonts w:asciiTheme="minorHAnsi" w:hAnsiTheme="minorHAnsi" w:cstheme="minorHAnsi"/>
          <w:sz w:val="24"/>
          <w:szCs w:val="24"/>
        </w:rPr>
      </w:pPr>
      <w:r w:rsidRPr="005905B7">
        <w:rPr>
          <w:rFonts w:asciiTheme="minorHAnsi" w:hAnsiTheme="minorHAnsi" w:cstheme="minorHAnsi"/>
          <w:sz w:val="24"/>
          <w:szCs w:val="24"/>
        </w:rPr>
        <w:t xml:space="preserve">A focus on the unique characteristics of solar energy generation in </w:t>
      </w:r>
      <w:r w:rsidR="00062F7F" w:rsidRPr="005905B7">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905B7">
        <w:rPr>
          <w:rFonts w:asciiTheme="minorHAnsi" w:hAnsiTheme="minorHAnsi" w:cstheme="minorHAnsi"/>
          <w:sz w:val="24"/>
          <w:szCs w:val="24"/>
        </w:rPr>
        <w:t xml:space="preserve">’s </w:t>
      </w:r>
      <w:r w:rsidR="008A27C8">
        <w:rPr>
          <w:rFonts w:asciiTheme="minorHAnsi" w:hAnsiTheme="minorHAnsi" w:cstheme="minorHAnsi"/>
          <w:sz w:val="24"/>
          <w:szCs w:val="24"/>
        </w:rPr>
        <w:t>BAA</w:t>
      </w:r>
      <w:r w:rsidR="008A27C8" w:rsidRPr="005905B7">
        <w:rPr>
          <w:rFonts w:asciiTheme="minorHAnsi" w:hAnsiTheme="minorHAnsi" w:cstheme="minorHAnsi"/>
          <w:sz w:val="24"/>
          <w:szCs w:val="24"/>
        </w:rPr>
        <w:t xml:space="preserve"> </w:t>
      </w:r>
      <w:r w:rsidRPr="005905B7">
        <w:rPr>
          <w:rFonts w:asciiTheme="minorHAnsi" w:hAnsiTheme="minorHAnsi" w:cstheme="minorHAnsi"/>
          <w:sz w:val="24"/>
          <w:szCs w:val="24"/>
        </w:rPr>
        <w:t>contrasted to that o</w:t>
      </w:r>
      <w:r w:rsidR="005905B7" w:rsidRPr="005905B7">
        <w:rPr>
          <w:rFonts w:asciiTheme="minorHAnsi" w:hAnsiTheme="minorHAnsi" w:cstheme="minorHAnsi"/>
          <w:sz w:val="24"/>
          <w:szCs w:val="24"/>
        </w:rPr>
        <w:t xml:space="preserve">f wind energy in the </w:t>
      </w:r>
      <w:r w:rsidR="00062F7F" w:rsidRPr="005905B7">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905B7">
        <w:rPr>
          <w:rFonts w:asciiTheme="minorHAnsi" w:hAnsiTheme="minorHAnsi" w:cstheme="minorHAnsi"/>
          <w:sz w:val="24"/>
          <w:szCs w:val="24"/>
        </w:rPr>
        <w:t xml:space="preserve"> </w:t>
      </w:r>
      <w:r w:rsidR="005905B7" w:rsidRPr="005905B7">
        <w:rPr>
          <w:rFonts w:asciiTheme="minorHAnsi" w:hAnsiTheme="minorHAnsi" w:cstheme="minorHAnsi"/>
          <w:sz w:val="24"/>
          <w:szCs w:val="24"/>
        </w:rPr>
        <w:t xml:space="preserve">BAA.  </w:t>
      </w:r>
    </w:p>
    <w:p w14:paraId="5D0EEA81" w14:textId="18BEF921" w:rsidR="005905B7" w:rsidRDefault="005C73BC" w:rsidP="005905B7">
      <w:pPr>
        <w:pStyle w:val="ListParagraph"/>
        <w:widowControl w:val="0"/>
        <w:numPr>
          <w:ilvl w:val="0"/>
          <w:numId w:val="38"/>
        </w:numPr>
        <w:autoSpaceDE w:val="0"/>
        <w:autoSpaceDN w:val="0"/>
        <w:spacing w:after="0" w:line="240" w:lineRule="auto"/>
        <w:rPr>
          <w:rFonts w:asciiTheme="minorHAnsi" w:hAnsiTheme="minorHAnsi" w:cstheme="minorHAnsi"/>
          <w:sz w:val="24"/>
          <w:szCs w:val="24"/>
        </w:rPr>
      </w:pPr>
      <w:r w:rsidRPr="005905B7">
        <w:rPr>
          <w:rFonts w:asciiTheme="minorHAnsi" w:hAnsiTheme="minorHAnsi" w:cstheme="minorHAnsi"/>
          <w:sz w:val="24"/>
          <w:szCs w:val="24"/>
        </w:rPr>
        <w:t xml:space="preserve">The creation of a robust synthetic solar generation data set representative of a prospective geographically diverse build out of solar generation in </w:t>
      </w:r>
      <w:r w:rsidR="00062F7F" w:rsidRPr="005905B7">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905B7">
        <w:rPr>
          <w:rFonts w:asciiTheme="minorHAnsi" w:hAnsiTheme="minorHAnsi" w:cstheme="minorHAnsi"/>
          <w:sz w:val="24"/>
          <w:szCs w:val="24"/>
        </w:rPr>
        <w:t xml:space="preserve">’s </w:t>
      </w:r>
      <w:r w:rsidR="00E31827">
        <w:rPr>
          <w:rFonts w:asciiTheme="minorHAnsi" w:hAnsiTheme="minorHAnsi" w:cstheme="minorHAnsi"/>
          <w:sz w:val="24"/>
          <w:szCs w:val="24"/>
        </w:rPr>
        <w:t>BAA</w:t>
      </w:r>
      <w:r w:rsidRPr="005905B7">
        <w:rPr>
          <w:rFonts w:asciiTheme="minorHAnsi" w:hAnsiTheme="minorHAnsi" w:cstheme="minorHAnsi"/>
          <w:sz w:val="24"/>
          <w:szCs w:val="24"/>
        </w:rPr>
        <w:t xml:space="preserve">, based on </w:t>
      </w:r>
      <w:r w:rsidR="00062F7F" w:rsidRPr="005905B7">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905B7">
        <w:rPr>
          <w:rFonts w:asciiTheme="minorHAnsi" w:hAnsiTheme="minorHAnsi" w:cstheme="minorHAnsi"/>
          <w:sz w:val="24"/>
          <w:szCs w:val="24"/>
        </w:rPr>
        <w:t xml:space="preserve">’s </w:t>
      </w:r>
      <w:r w:rsidRPr="005905B7">
        <w:rPr>
          <w:rFonts w:asciiTheme="minorHAnsi" w:hAnsiTheme="minorHAnsi" w:cstheme="minorHAnsi"/>
          <w:sz w:val="24"/>
          <w:szCs w:val="24"/>
        </w:rPr>
        <w:t>interconnection que</w:t>
      </w:r>
      <w:r w:rsidR="00062F7F">
        <w:rPr>
          <w:rFonts w:asciiTheme="minorHAnsi" w:hAnsiTheme="minorHAnsi" w:cstheme="minorHAnsi"/>
          <w:sz w:val="24"/>
          <w:szCs w:val="24"/>
        </w:rPr>
        <w:t>ue</w:t>
      </w:r>
      <w:r w:rsidRPr="005905B7">
        <w:rPr>
          <w:rFonts w:asciiTheme="minorHAnsi" w:hAnsiTheme="minorHAnsi" w:cstheme="minorHAnsi"/>
          <w:sz w:val="24"/>
          <w:szCs w:val="24"/>
        </w:rPr>
        <w:t xml:space="preserve"> through FY2021 and through utilization of </w:t>
      </w:r>
      <w:r w:rsidR="00062F7F">
        <w:rPr>
          <w:rFonts w:asciiTheme="minorHAnsi" w:hAnsiTheme="minorHAnsi" w:cstheme="minorHAnsi"/>
          <w:sz w:val="24"/>
          <w:szCs w:val="24"/>
        </w:rPr>
        <w:t xml:space="preserve">the </w:t>
      </w:r>
      <w:r w:rsidRPr="005905B7">
        <w:rPr>
          <w:rFonts w:asciiTheme="minorHAnsi" w:hAnsiTheme="minorHAnsi" w:cstheme="minorHAnsi"/>
          <w:sz w:val="24"/>
          <w:szCs w:val="24"/>
        </w:rPr>
        <w:t xml:space="preserve">University of Oregon’s Solar Radiation Monitoring Laboratory datasets.  </w:t>
      </w:r>
    </w:p>
    <w:p w14:paraId="42CE89C3" w14:textId="43222983" w:rsidR="00A41516" w:rsidRDefault="005C73BC" w:rsidP="00A41516">
      <w:pPr>
        <w:pStyle w:val="ListParagraph"/>
        <w:widowControl w:val="0"/>
        <w:numPr>
          <w:ilvl w:val="0"/>
          <w:numId w:val="38"/>
        </w:numPr>
        <w:autoSpaceDE w:val="0"/>
        <w:autoSpaceDN w:val="0"/>
        <w:spacing w:after="0" w:line="240" w:lineRule="auto"/>
        <w:rPr>
          <w:rFonts w:asciiTheme="minorHAnsi" w:hAnsiTheme="minorHAnsi" w:cstheme="minorHAnsi"/>
          <w:sz w:val="24"/>
          <w:szCs w:val="24"/>
        </w:rPr>
      </w:pPr>
      <w:r w:rsidRPr="005905B7">
        <w:rPr>
          <w:rFonts w:asciiTheme="minorHAnsi" w:hAnsiTheme="minorHAnsi" w:cstheme="minorHAnsi"/>
          <w:sz w:val="24"/>
          <w:szCs w:val="24"/>
        </w:rPr>
        <w:t xml:space="preserve">Analysis of the impacts on balancing reserves necessary to integrate solar energy in </w:t>
      </w:r>
      <w:r w:rsidR="00062F7F" w:rsidRPr="005905B7">
        <w:rPr>
          <w:rFonts w:asciiTheme="minorHAnsi" w:hAnsiTheme="minorHAnsi" w:cstheme="minorHAnsi"/>
          <w:sz w:val="24"/>
          <w:szCs w:val="24"/>
        </w:rPr>
        <w:t>B</w:t>
      </w:r>
      <w:r w:rsidR="00062F7F">
        <w:rPr>
          <w:rFonts w:asciiTheme="minorHAnsi" w:hAnsiTheme="minorHAnsi" w:cstheme="minorHAnsi"/>
          <w:sz w:val="24"/>
          <w:szCs w:val="24"/>
        </w:rPr>
        <w:t>onneville</w:t>
      </w:r>
      <w:r w:rsidR="00062F7F" w:rsidRPr="005905B7">
        <w:rPr>
          <w:rFonts w:asciiTheme="minorHAnsi" w:hAnsiTheme="minorHAnsi" w:cstheme="minorHAnsi"/>
          <w:sz w:val="24"/>
          <w:szCs w:val="24"/>
        </w:rPr>
        <w:t xml:space="preserve">’s </w:t>
      </w:r>
      <w:r w:rsidR="00E31827">
        <w:rPr>
          <w:rFonts w:asciiTheme="minorHAnsi" w:hAnsiTheme="minorHAnsi" w:cstheme="minorHAnsi"/>
          <w:sz w:val="24"/>
          <w:szCs w:val="24"/>
        </w:rPr>
        <w:t>BAA</w:t>
      </w:r>
      <w:r w:rsidRPr="005905B7">
        <w:rPr>
          <w:rFonts w:asciiTheme="minorHAnsi" w:hAnsiTheme="minorHAnsi" w:cstheme="minorHAnsi"/>
          <w:sz w:val="24"/>
          <w:szCs w:val="24"/>
        </w:rPr>
        <w:t>, with regards to</w:t>
      </w:r>
      <w:r w:rsidR="005905B7">
        <w:rPr>
          <w:rFonts w:asciiTheme="minorHAnsi" w:hAnsiTheme="minorHAnsi" w:cstheme="minorHAnsi"/>
          <w:sz w:val="24"/>
          <w:szCs w:val="24"/>
        </w:rPr>
        <w:t xml:space="preserve"> integration rate designs</w:t>
      </w:r>
      <w:r w:rsidRPr="005905B7">
        <w:rPr>
          <w:rFonts w:asciiTheme="minorHAnsi" w:hAnsiTheme="minorHAnsi" w:cstheme="minorHAnsi"/>
          <w:sz w:val="24"/>
          <w:szCs w:val="24"/>
        </w:rPr>
        <w:t xml:space="preserve"> an</w:t>
      </w:r>
      <w:r w:rsidR="005905B7">
        <w:rPr>
          <w:rFonts w:asciiTheme="minorHAnsi" w:hAnsiTheme="minorHAnsi" w:cstheme="minorHAnsi"/>
          <w:sz w:val="24"/>
          <w:szCs w:val="24"/>
        </w:rPr>
        <w:t xml:space="preserve">d </w:t>
      </w:r>
      <w:r w:rsidRPr="005905B7">
        <w:rPr>
          <w:rFonts w:asciiTheme="minorHAnsi" w:hAnsiTheme="minorHAnsi" w:cstheme="minorHAnsi"/>
          <w:sz w:val="24"/>
          <w:szCs w:val="24"/>
        </w:rPr>
        <w:t>solar scheduling best practices.</w:t>
      </w:r>
    </w:p>
    <w:p w14:paraId="1F3E6BE2" w14:textId="77777777" w:rsidR="00A41516" w:rsidRPr="00A41516" w:rsidRDefault="00A41516" w:rsidP="00A41516">
      <w:pPr>
        <w:pStyle w:val="ListParagraph"/>
        <w:widowControl w:val="0"/>
        <w:autoSpaceDE w:val="0"/>
        <w:autoSpaceDN w:val="0"/>
        <w:spacing w:after="0" w:line="240" w:lineRule="auto"/>
        <w:ind w:left="1080"/>
        <w:rPr>
          <w:rFonts w:asciiTheme="minorHAnsi" w:hAnsiTheme="minorHAnsi" w:cstheme="minorHAnsi"/>
          <w:sz w:val="24"/>
          <w:szCs w:val="24"/>
        </w:rPr>
      </w:pPr>
    </w:p>
    <w:p w14:paraId="7B331B99" w14:textId="69EAC899" w:rsidR="005C73BC" w:rsidRPr="00A41516" w:rsidRDefault="00A41516" w:rsidP="00A41516">
      <w:pPr>
        <w:pStyle w:val="ListParagraph"/>
        <w:widowControl w:val="0"/>
        <w:autoSpaceDE w:val="0"/>
        <w:autoSpaceDN w:val="0"/>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Bonneville will also hold s</w:t>
      </w:r>
      <w:r w:rsidR="005C73BC" w:rsidRPr="00A41516">
        <w:rPr>
          <w:rFonts w:asciiTheme="minorHAnsi" w:hAnsiTheme="minorHAnsi" w:cstheme="minorHAnsi"/>
          <w:sz w:val="24"/>
          <w:szCs w:val="24"/>
        </w:rPr>
        <w:t xml:space="preserve">takeholder workshop(s) </w:t>
      </w:r>
      <w:r>
        <w:rPr>
          <w:rFonts w:asciiTheme="minorHAnsi" w:hAnsiTheme="minorHAnsi" w:cstheme="minorHAnsi"/>
          <w:sz w:val="24"/>
          <w:szCs w:val="24"/>
        </w:rPr>
        <w:t xml:space="preserve">prior to the BP-20 Initial Proposal to discuss </w:t>
      </w:r>
      <w:r w:rsidR="00767F62">
        <w:rPr>
          <w:rFonts w:asciiTheme="minorHAnsi" w:hAnsiTheme="minorHAnsi" w:cstheme="minorHAnsi"/>
          <w:sz w:val="24"/>
          <w:szCs w:val="24"/>
        </w:rPr>
        <w:t>the</w:t>
      </w:r>
      <w:r w:rsidR="005C73BC" w:rsidRPr="00A41516">
        <w:rPr>
          <w:rFonts w:asciiTheme="minorHAnsi" w:hAnsiTheme="minorHAnsi" w:cstheme="minorHAnsi"/>
          <w:sz w:val="24"/>
          <w:szCs w:val="24"/>
        </w:rPr>
        <w:t xml:space="preserve"> </w:t>
      </w:r>
      <w:r w:rsidR="00767F62">
        <w:rPr>
          <w:rFonts w:asciiTheme="minorHAnsi" w:hAnsiTheme="minorHAnsi" w:cstheme="minorHAnsi"/>
          <w:sz w:val="24"/>
          <w:szCs w:val="24"/>
        </w:rPr>
        <w:t xml:space="preserve">impact of the </w:t>
      </w:r>
      <w:r w:rsidR="005C73BC" w:rsidRPr="00A41516">
        <w:rPr>
          <w:rFonts w:asciiTheme="minorHAnsi" w:hAnsiTheme="minorHAnsi" w:cstheme="minorHAnsi"/>
          <w:sz w:val="24"/>
          <w:szCs w:val="24"/>
        </w:rPr>
        <w:t xml:space="preserve">variable cost methodology and the incremental standard deviation methodology </w:t>
      </w:r>
      <w:r w:rsidR="00767F62">
        <w:rPr>
          <w:rFonts w:asciiTheme="minorHAnsi" w:hAnsiTheme="minorHAnsi" w:cstheme="minorHAnsi"/>
          <w:sz w:val="24"/>
          <w:szCs w:val="24"/>
        </w:rPr>
        <w:t>on</w:t>
      </w:r>
      <w:r w:rsidR="005C73BC" w:rsidRPr="00A41516">
        <w:rPr>
          <w:rFonts w:asciiTheme="minorHAnsi" w:hAnsiTheme="minorHAnsi" w:cstheme="minorHAnsi"/>
          <w:sz w:val="24"/>
          <w:szCs w:val="24"/>
        </w:rPr>
        <w:t xml:space="preserve"> solar generation.  </w:t>
      </w:r>
    </w:p>
    <w:p w14:paraId="0A841429" w14:textId="7D7ECC06" w:rsidR="00030886" w:rsidRDefault="00030886" w:rsidP="00030886">
      <w:pPr>
        <w:widowControl w:val="0"/>
        <w:autoSpaceDE w:val="0"/>
        <w:autoSpaceDN w:val="0"/>
        <w:spacing w:after="0" w:line="240" w:lineRule="auto"/>
        <w:ind w:left="720" w:hanging="720"/>
        <w:rPr>
          <w:rFonts w:asciiTheme="minorHAnsi" w:hAnsiTheme="minorHAnsi" w:cstheme="minorHAnsi"/>
          <w:sz w:val="24"/>
          <w:szCs w:val="24"/>
        </w:rPr>
      </w:pPr>
    </w:p>
    <w:bookmarkEnd w:id="0"/>
    <w:p w14:paraId="41BE0B64" w14:textId="7B9E5393" w:rsidR="00E30F09" w:rsidRPr="00587DE6" w:rsidRDefault="00E30F09" w:rsidP="00587DE6">
      <w:pPr>
        <w:widowControl w:val="0"/>
        <w:autoSpaceDE w:val="0"/>
        <w:autoSpaceDN w:val="0"/>
        <w:spacing w:after="0" w:line="240" w:lineRule="auto"/>
        <w:ind w:left="720" w:hanging="720"/>
        <w:jc w:val="center"/>
        <w:rPr>
          <w:rFonts w:asciiTheme="minorHAnsi" w:hAnsiTheme="minorHAnsi" w:cstheme="minorHAnsi"/>
          <w:sz w:val="24"/>
          <w:szCs w:val="24"/>
        </w:rPr>
      </w:pPr>
    </w:p>
    <w:sectPr w:rsidR="00E30F09" w:rsidRPr="00587DE6" w:rsidSect="007B630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F35D1" w14:textId="77777777" w:rsidR="00C91D4E" w:rsidRDefault="00C91D4E" w:rsidP="004A722A">
      <w:pPr>
        <w:spacing w:after="0" w:line="240" w:lineRule="auto"/>
      </w:pPr>
      <w:r>
        <w:separator/>
      </w:r>
    </w:p>
  </w:endnote>
  <w:endnote w:type="continuationSeparator" w:id="0">
    <w:p w14:paraId="6A385929" w14:textId="77777777" w:rsidR="00C91D4E" w:rsidRDefault="00C91D4E" w:rsidP="004A722A">
      <w:pPr>
        <w:spacing w:after="0" w:line="240" w:lineRule="auto"/>
      </w:pPr>
      <w:r>
        <w:continuationSeparator/>
      </w:r>
    </w:p>
  </w:endnote>
  <w:endnote w:type="continuationNotice" w:id="1">
    <w:p w14:paraId="2AD2B82B" w14:textId="77777777" w:rsidR="00C91D4E" w:rsidRDefault="00C91D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99860"/>
      <w:docPartObj>
        <w:docPartGallery w:val="Page Numbers (Bottom of Page)"/>
        <w:docPartUnique/>
      </w:docPartObj>
    </w:sdtPr>
    <w:sdtEndPr/>
    <w:sdtContent>
      <w:sdt>
        <w:sdtPr>
          <w:id w:val="565050523"/>
          <w:docPartObj>
            <w:docPartGallery w:val="Page Numbers (Top of Page)"/>
            <w:docPartUnique/>
          </w:docPartObj>
        </w:sdtPr>
        <w:sdtEndPr/>
        <w:sdtContent>
          <w:p w14:paraId="2B52623A" w14:textId="77777777" w:rsidR="00974777" w:rsidRDefault="00974777">
            <w:pPr>
              <w:pStyle w:val="Footer"/>
              <w:jc w:val="right"/>
            </w:pPr>
            <w:r w:rsidRPr="001E26ED">
              <w:t xml:space="preserve">Page </w:t>
            </w:r>
            <w:r>
              <w:fldChar w:fldCharType="begin"/>
            </w:r>
            <w:r>
              <w:instrText xml:space="preserve"> PAGE </w:instrText>
            </w:r>
            <w:r>
              <w:fldChar w:fldCharType="separate"/>
            </w:r>
            <w:r w:rsidR="006B232A">
              <w:rPr>
                <w:noProof/>
              </w:rPr>
              <w:t>4</w:t>
            </w:r>
            <w:r>
              <w:rPr>
                <w:noProof/>
              </w:rPr>
              <w:fldChar w:fldCharType="end"/>
            </w:r>
            <w:r w:rsidRPr="001E26ED">
              <w:t xml:space="preserve"> of </w:t>
            </w:r>
            <w:r w:rsidR="006B232A">
              <w:fldChar w:fldCharType="begin"/>
            </w:r>
            <w:r w:rsidR="006B232A">
              <w:instrText xml:space="preserve"> NUMPAGES  </w:instrText>
            </w:r>
            <w:r w:rsidR="006B232A">
              <w:fldChar w:fldCharType="separate"/>
            </w:r>
            <w:r w:rsidR="006B232A">
              <w:rPr>
                <w:noProof/>
              </w:rPr>
              <w:t>4</w:t>
            </w:r>
            <w:r w:rsidR="006B232A">
              <w:rPr>
                <w:noProof/>
              </w:rPr>
              <w:fldChar w:fldCharType="end"/>
            </w:r>
          </w:p>
        </w:sdtContent>
      </w:sdt>
    </w:sdtContent>
  </w:sdt>
  <w:p w14:paraId="128F0DD6" w14:textId="53770C80" w:rsidR="00974777" w:rsidRDefault="00030886" w:rsidP="00945A63">
    <w:pPr>
      <w:pStyle w:val="Footer"/>
    </w:pPr>
    <w:r>
      <w:t>September 1</w:t>
    </w:r>
    <w:r w:rsidR="00B43DC6">
      <w:t>9</w:t>
    </w:r>
    <w:r w:rsidR="00B032EC">
      <w:t xml:space="preserve">, </w:t>
    </w:r>
    <w:r w:rsidR="00501762">
      <w:t xml:space="preserve">2016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E4A2C" w14:textId="77777777" w:rsidR="00C91D4E" w:rsidRDefault="00C91D4E" w:rsidP="004A722A">
      <w:pPr>
        <w:spacing w:after="0" w:line="240" w:lineRule="auto"/>
      </w:pPr>
      <w:r>
        <w:separator/>
      </w:r>
    </w:p>
  </w:footnote>
  <w:footnote w:type="continuationSeparator" w:id="0">
    <w:p w14:paraId="7ABA6E25" w14:textId="77777777" w:rsidR="00C91D4E" w:rsidRDefault="00C91D4E" w:rsidP="004A722A">
      <w:pPr>
        <w:spacing w:after="0" w:line="240" w:lineRule="auto"/>
      </w:pPr>
      <w:r>
        <w:continuationSeparator/>
      </w:r>
    </w:p>
  </w:footnote>
  <w:footnote w:type="continuationNotice" w:id="1">
    <w:p w14:paraId="3FE72D9F" w14:textId="77777777" w:rsidR="00C91D4E" w:rsidRDefault="00C91D4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28F3" w14:textId="03F93294" w:rsidR="00974777" w:rsidRDefault="00974777">
    <w:pPr>
      <w:pStyle w:val="Header"/>
    </w:pPr>
    <w:r>
      <w:t xml:space="preserve">Attachment </w:t>
    </w:r>
    <w:r w:rsidR="00C435A8">
      <w:t xml:space="preserve">1 </w:t>
    </w:r>
    <w:r>
      <w:t xml:space="preserve">to the </w:t>
    </w:r>
    <w:r w:rsidR="00F93CD1">
      <w:t>BP-</w:t>
    </w:r>
    <w:r w:rsidR="0070552E">
      <w:t xml:space="preserve">18 </w:t>
    </w:r>
    <w:r>
      <w:t>Generation Inputs and Transmission Ancillary and Control Area Services Rates Partial Settlement Agreement</w:t>
    </w:r>
    <w:r w:rsidR="003C2F0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6C8"/>
    <w:multiLevelType w:val="hybridMultilevel"/>
    <w:tmpl w:val="43D8048E"/>
    <w:lvl w:ilvl="0" w:tplc="7040B7BC">
      <w:start w:val="1"/>
      <w:numFmt w:val="lowerLetter"/>
      <w:lvlText w:val="%1."/>
      <w:lvlJc w:val="left"/>
      <w:pPr>
        <w:ind w:left="1080" w:hanging="360"/>
      </w:pPr>
      <w:rPr>
        <w:rFonts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53646B"/>
    <w:multiLevelType w:val="hybridMultilevel"/>
    <w:tmpl w:val="21E25C1C"/>
    <w:lvl w:ilvl="0" w:tplc="28A22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6A187F"/>
    <w:multiLevelType w:val="hybridMultilevel"/>
    <w:tmpl w:val="490487B6"/>
    <w:lvl w:ilvl="0" w:tplc="2AAED31A">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518638E"/>
    <w:multiLevelType w:val="hybridMultilevel"/>
    <w:tmpl w:val="7CD69EF6"/>
    <w:lvl w:ilvl="0" w:tplc="BCCA4654">
      <w:start w:val="1"/>
      <w:numFmt w:val="lowerLetter"/>
      <w:lvlText w:val="%1."/>
      <w:lvlJc w:val="left"/>
      <w:pPr>
        <w:ind w:left="1440" w:hanging="360"/>
      </w:pPr>
      <w:rPr>
        <w:rFonts w:cs="Times New Roman"/>
        <w:i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16474E3F"/>
    <w:multiLevelType w:val="hybridMultilevel"/>
    <w:tmpl w:val="25DA89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6BE25C9"/>
    <w:multiLevelType w:val="hybridMultilevel"/>
    <w:tmpl w:val="74C2D5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E1F09"/>
    <w:multiLevelType w:val="hybridMultilevel"/>
    <w:tmpl w:val="776CCA58"/>
    <w:lvl w:ilvl="0" w:tplc="54F4698E">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DB141C3"/>
    <w:multiLevelType w:val="hybridMultilevel"/>
    <w:tmpl w:val="F8567BFC"/>
    <w:lvl w:ilvl="0" w:tplc="726627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6C4EE5"/>
    <w:multiLevelType w:val="hybridMultilevel"/>
    <w:tmpl w:val="327A0272"/>
    <w:lvl w:ilvl="0" w:tplc="BCCA4654">
      <w:start w:val="1"/>
      <w:numFmt w:val="lowerLetter"/>
      <w:lvlText w:val="%1."/>
      <w:lvlJc w:val="left"/>
      <w:pPr>
        <w:ind w:left="-252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9">
    <w:nsid w:val="25625059"/>
    <w:multiLevelType w:val="hybridMultilevel"/>
    <w:tmpl w:val="43D8048E"/>
    <w:lvl w:ilvl="0" w:tplc="7040B7BC">
      <w:start w:val="1"/>
      <w:numFmt w:val="lowerLetter"/>
      <w:lvlText w:val="%1."/>
      <w:lvlJc w:val="left"/>
      <w:pPr>
        <w:ind w:left="1080" w:hanging="360"/>
      </w:pPr>
      <w:rPr>
        <w:rFonts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15741B"/>
    <w:multiLevelType w:val="hybridMultilevel"/>
    <w:tmpl w:val="35C42580"/>
    <w:lvl w:ilvl="0" w:tplc="83167A2A">
      <w:start w:val="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94323A"/>
    <w:multiLevelType w:val="hybridMultilevel"/>
    <w:tmpl w:val="126CFA82"/>
    <w:lvl w:ilvl="0" w:tplc="BCCA4654">
      <w:start w:val="1"/>
      <w:numFmt w:val="lowerLetter"/>
      <w:lvlText w:val="%1."/>
      <w:lvlJc w:val="left"/>
      <w:pPr>
        <w:ind w:left="1440" w:hanging="360"/>
      </w:pPr>
      <w:rPr>
        <w:rFonts w:cs="Times New Roman"/>
        <w:i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E8445A9"/>
    <w:multiLevelType w:val="hybridMultilevel"/>
    <w:tmpl w:val="37447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5570A"/>
    <w:multiLevelType w:val="hybridMultilevel"/>
    <w:tmpl w:val="21E25C1C"/>
    <w:lvl w:ilvl="0" w:tplc="28A22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A717AE"/>
    <w:multiLevelType w:val="hybridMultilevel"/>
    <w:tmpl w:val="3530B8E2"/>
    <w:lvl w:ilvl="0" w:tplc="C7769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C7705C"/>
    <w:multiLevelType w:val="hybridMultilevel"/>
    <w:tmpl w:val="90941F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ACB4790"/>
    <w:multiLevelType w:val="hybridMultilevel"/>
    <w:tmpl w:val="69765AF0"/>
    <w:lvl w:ilvl="0" w:tplc="0409001B">
      <w:start w:val="1"/>
      <w:numFmt w:val="lowerRoman"/>
      <w:lvlText w:val="%1."/>
      <w:lvlJc w:val="right"/>
      <w:pPr>
        <w:ind w:left="1440" w:hanging="360"/>
      </w:pPr>
    </w:lvl>
    <w:lvl w:ilvl="1" w:tplc="97DECB76">
      <w:start w:val="1"/>
      <w:numFmt w:val="lowerRoman"/>
      <w:lvlText w:val="%2."/>
      <w:lvlJc w:val="left"/>
      <w:pPr>
        <w:ind w:left="2160" w:hanging="360"/>
      </w:pPr>
      <w:rPr>
        <w:rFonts w:ascii="Calibri" w:eastAsia="Times New Roman" w:hAnsi="Calibri" w:cs="Tahoma"/>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nsid w:val="3BA85469"/>
    <w:multiLevelType w:val="hybridMultilevel"/>
    <w:tmpl w:val="126CFA82"/>
    <w:lvl w:ilvl="0" w:tplc="BCCA4654">
      <w:start w:val="1"/>
      <w:numFmt w:val="lowerLetter"/>
      <w:lvlText w:val="%1."/>
      <w:lvlJc w:val="left"/>
      <w:pPr>
        <w:ind w:left="1440" w:hanging="360"/>
      </w:pPr>
      <w:rPr>
        <w:rFonts w:cs="Times New Roman"/>
        <w:i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3BE912BB"/>
    <w:multiLevelType w:val="hybridMultilevel"/>
    <w:tmpl w:val="7C462D40"/>
    <w:lvl w:ilvl="0" w:tplc="BCCA4654">
      <w:start w:val="1"/>
      <w:numFmt w:val="lowerLetter"/>
      <w:lvlText w:val="%1."/>
      <w:lvlJc w:val="left"/>
      <w:pPr>
        <w:ind w:left="1080" w:hanging="360"/>
      </w:pPr>
      <w:rPr>
        <w:rFonts w:cs="Times New Roman"/>
        <w:i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E423C91"/>
    <w:multiLevelType w:val="hybridMultilevel"/>
    <w:tmpl w:val="9CE45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34235"/>
    <w:multiLevelType w:val="hybridMultilevel"/>
    <w:tmpl w:val="6C2433AA"/>
    <w:lvl w:ilvl="0" w:tplc="BCCA4654">
      <w:start w:val="1"/>
      <w:numFmt w:val="lowerLetter"/>
      <w:lvlText w:val="%1."/>
      <w:lvlJc w:val="left"/>
      <w:pPr>
        <w:ind w:left="1080" w:hanging="360"/>
      </w:pPr>
      <w:rPr>
        <w:rFonts w:cs="Times New Roman"/>
        <w:i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68B78C7"/>
    <w:multiLevelType w:val="hybridMultilevel"/>
    <w:tmpl w:val="901C1430"/>
    <w:lvl w:ilvl="0" w:tplc="09FC5FEE">
      <w:start w:val="1"/>
      <w:numFmt w:val="lowerLetter"/>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8411B84"/>
    <w:multiLevelType w:val="hybridMultilevel"/>
    <w:tmpl w:val="A148D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E53FF"/>
    <w:multiLevelType w:val="hybridMultilevel"/>
    <w:tmpl w:val="69E8778E"/>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D213BE7"/>
    <w:multiLevelType w:val="hybridMultilevel"/>
    <w:tmpl w:val="762A9928"/>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4F523FAA"/>
    <w:multiLevelType w:val="hybridMultilevel"/>
    <w:tmpl w:val="52726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B41E45"/>
    <w:multiLevelType w:val="hybridMultilevel"/>
    <w:tmpl w:val="5FBC291E"/>
    <w:lvl w:ilvl="0" w:tplc="7500D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75168B"/>
    <w:multiLevelType w:val="hybridMultilevel"/>
    <w:tmpl w:val="327A0272"/>
    <w:lvl w:ilvl="0" w:tplc="BCCA4654">
      <w:start w:val="1"/>
      <w:numFmt w:val="lowerLetter"/>
      <w:lvlText w:val="%1."/>
      <w:lvlJc w:val="left"/>
      <w:pPr>
        <w:ind w:left="126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8">
    <w:nsid w:val="62953E06"/>
    <w:multiLevelType w:val="hybridMultilevel"/>
    <w:tmpl w:val="6DEC75C4"/>
    <w:lvl w:ilvl="0" w:tplc="BCCA4654">
      <w:start w:val="1"/>
      <w:numFmt w:val="lowerLetter"/>
      <w:lvlText w:val="%1."/>
      <w:lvlJc w:val="left"/>
      <w:pPr>
        <w:ind w:left="1440" w:hanging="360"/>
      </w:pPr>
      <w:rPr>
        <w:rFonts w:cs="Times New Roman"/>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25869"/>
    <w:multiLevelType w:val="hybridMultilevel"/>
    <w:tmpl w:val="06567030"/>
    <w:lvl w:ilvl="0" w:tplc="E37CB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F033C6"/>
    <w:multiLevelType w:val="hybridMultilevel"/>
    <w:tmpl w:val="4384ABB4"/>
    <w:lvl w:ilvl="0" w:tplc="3A3C7CE8">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E242AD"/>
    <w:multiLevelType w:val="hybridMultilevel"/>
    <w:tmpl w:val="C204B34E"/>
    <w:lvl w:ilvl="0" w:tplc="EE46A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E839B5"/>
    <w:multiLevelType w:val="hybridMultilevel"/>
    <w:tmpl w:val="27A672EA"/>
    <w:lvl w:ilvl="0" w:tplc="7222EC60">
      <w:start w:val="1"/>
      <w:numFmt w:val="lowerLetter"/>
      <w:lvlText w:val="%1."/>
      <w:lvlJc w:val="left"/>
      <w:pPr>
        <w:ind w:left="108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A1F67"/>
    <w:multiLevelType w:val="hybridMultilevel"/>
    <w:tmpl w:val="CC520B7E"/>
    <w:lvl w:ilvl="0" w:tplc="05D0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1758F9"/>
    <w:multiLevelType w:val="hybridMultilevel"/>
    <w:tmpl w:val="43D8048E"/>
    <w:lvl w:ilvl="0" w:tplc="7040B7BC">
      <w:start w:val="1"/>
      <w:numFmt w:val="lowerLetter"/>
      <w:lvlText w:val="%1."/>
      <w:lvlJc w:val="left"/>
      <w:pPr>
        <w:ind w:left="1800" w:hanging="360"/>
      </w:pPr>
      <w:rPr>
        <w:rFonts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593A12"/>
    <w:multiLevelType w:val="hybridMultilevel"/>
    <w:tmpl w:val="7CD69EF6"/>
    <w:lvl w:ilvl="0" w:tplc="BCCA4654">
      <w:start w:val="1"/>
      <w:numFmt w:val="lowerLetter"/>
      <w:lvlText w:val="%1."/>
      <w:lvlJc w:val="left"/>
      <w:pPr>
        <w:ind w:left="1080" w:hanging="360"/>
      </w:pPr>
      <w:rPr>
        <w:rFonts w:cs="Times New Roman"/>
        <w:i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7E0600A4"/>
    <w:multiLevelType w:val="hybridMultilevel"/>
    <w:tmpl w:val="798EB794"/>
    <w:lvl w:ilvl="0" w:tplc="09FC5FEE">
      <w:start w:val="1"/>
      <w:numFmt w:val="lowerLetter"/>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6"/>
  </w:num>
  <w:num w:numId="2">
    <w:abstractNumId w:val="6"/>
  </w:num>
  <w:num w:numId="3">
    <w:abstractNumId w:val="23"/>
  </w:num>
  <w:num w:numId="4">
    <w:abstractNumId w:val="4"/>
  </w:num>
  <w:num w:numId="5">
    <w:abstractNumId w:val="19"/>
  </w:num>
  <w:num w:numId="6">
    <w:abstractNumId w:val="10"/>
  </w:num>
  <w:num w:numId="7">
    <w:abstractNumId w:val="21"/>
  </w:num>
  <w:num w:numId="8">
    <w:abstractNumId w:val="15"/>
  </w:num>
  <w:num w:numId="9">
    <w:abstractNumId w:val="35"/>
  </w:num>
  <w:num w:numId="10">
    <w:abstractNumId w:val="2"/>
  </w:num>
  <w:num w:numId="11">
    <w:abstractNumId w:val="16"/>
  </w:num>
  <w:num w:numId="12">
    <w:abstractNumId w:val="18"/>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4"/>
  </w:num>
  <w:num w:numId="17">
    <w:abstractNumId w:val="17"/>
  </w:num>
  <w:num w:numId="18">
    <w:abstractNumId w:val="28"/>
  </w:num>
  <w:num w:numId="19">
    <w:abstractNumId w:val="25"/>
  </w:num>
  <w:num w:numId="20">
    <w:abstractNumId w:val="31"/>
  </w:num>
  <w:num w:numId="21">
    <w:abstractNumId w:val="11"/>
  </w:num>
  <w:num w:numId="22">
    <w:abstractNumId w:val="12"/>
  </w:num>
  <w:num w:numId="23">
    <w:abstractNumId w:val="27"/>
  </w:num>
  <w:num w:numId="24">
    <w:abstractNumId w:val="3"/>
  </w:num>
  <w:num w:numId="25">
    <w:abstractNumId w:val="9"/>
  </w:num>
  <w:num w:numId="26">
    <w:abstractNumId w:val="34"/>
  </w:num>
  <w:num w:numId="27">
    <w:abstractNumId w:val="0"/>
  </w:num>
  <w:num w:numId="28">
    <w:abstractNumId w:val="20"/>
  </w:num>
  <w:num w:numId="29">
    <w:abstractNumId w:val="32"/>
  </w:num>
  <w:num w:numId="30">
    <w:abstractNumId w:val="26"/>
  </w:num>
  <w:num w:numId="31">
    <w:abstractNumId w:val="33"/>
  </w:num>
  <w:num w:numId="32">
    <w:abstractNumId w:val="13"/>
  </w:num>
  <w:num w:numId="33">
    <w:abstractNumId w:val="1"/>
  </w:num>
  <w:num w:numId="34">
    <w:abstractNumId w:val="29"/>
  </w:num>
  <w:num w:numId="35">
    <w:abstractNumId w:val="7"/>
  </w:num>
  <w:num w:numId="36">
    <w:abstractNumId w:val="8"/>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trackRevisions/>
  <w:defaultTabStop w:val="720"/>
  <w:characterSpacingControl w:val="doNotCompress"/>
  <w:hdrShapeDefaults>
    <o:shapedefaults v:ext="edit" spidmax="1044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95"/>
    <w:rsid w:val="00000C44"/>
    <w:rsid w:val="0000265B"/>
    <w:rsid w:val="0000291C"/>
    <w:rsid w:val="00002E7A"/>
    <w:rsid w:val="00003D34"/>
    <w:rsid w:val="00003D61"/>
    <w:rsid w:val="00004970"/>
    <w:rsid w:val="00005090"/>
    <w:rsid w:val="00005C07"/>
    <w:rsid w:val="0000630B"/>
    <w:rsid w:val="000063CB"/>
    <w:rsid w:val="0001089F"/>
    <w:rsid w:val="00011538"/>
    <w:rsid w:val="000162AD"/>
    <w:rsid w:val="0001640C"/>
    <w:rsid w:val="00017DF1"/>
    <w:rsid w:val="00024EAA"/>
    <w:rsid w:val="00027C3C"/>
    <w:rsid w:val="00030886"/>
    <w:rsid w:val="000313A6"/>
    <w:rsid w:val="00033B94"/>
    <w:rsid w:val="00034409"/>
    <w:rsid w:val="0003450C"/>
    <w:rsid w:val="00036A5D"/>
    <w:rsid w:val="000372C7"/>
    <w:rsid w:val="00037F85"/>
    <w:rsid w:val="00040936"/>
    <w:rsid w:val="00040A92"/>
    <w:rsid w:val="000418C7"/>
    <w:rsid w:val="00041F77"/>
    <w:rsid w:val="00044752"/>
    <w:rsid w:val="00047F96"/>
    <w:rsid w:val="00051097"/>
    <w:rsid w:val="00051921"/>
    <w:rsid w:val="00055775"/>
    <w:rsid w:val="0005745B"/>
    <w:rsid w:val="00057772"/>
    <w:rsid w:val="00060D9B"/>
    <w:rsid w:val="00061834"/>
    <w:rsid w:val="000622A8"/>
    <w:rsid w:val="00062F7F"/>
    <w:rsid w:val="000630FC"/>
    <w:rsid w:val="000636BF"/>
    <w:rsid w:val="0006457C"/>
    <w:rsid w:val="000663AD"/>
    <w:rsid w:val="00066957"/>
    <w:rsid w:val="00066F84"/>
    <w:rsid w:val="000713CD"/>
    <w:rsid w:val="00072291"/>
    <w:rsid w:val="000734BC"/>
    <w:rsid w:val="0007466C"/>
    <w:rsid w:val="0007570E"/>
    <w:rsid w:val="000759B5"/>
    <w:rsid w:val="00077BB7"/>
    <w:rsid w:val="00080DAD"/>
    <w:rsid w:val="00086304"/>
    <w:rsid w:val="00090880"/>
    <w:rsid w:val="00091E6A"/>
    <w:rsid w:val="00093491"/>
    <w:rsid w:val="00095C3D"/>
    <w:rsid w:val="00095C54"/>
    <w:rsid w:val="00095D80"/>
    <w:rsid w:val="00096030"/>
    <w:rsid w:val="000A36FA"/>
    <w:rsid w:val="000B0936"/>
    <w:rsid w:val="000B0FFA"/>
    <w:rsid w:val="000B1576"/>
    <w:rsid w:val="000B179C"/>
    <w:rsid w:val="000B18BF"/>
    <w:rsid w:val="000B2AE2"/>
    <w:rsid w:val="000B2BDF"/>
    <w:rsid w:val="000B3B3B"/>
    <w:rsid w:val="000B7B08"/>
    <w:rsid w:val="000C0233"/>
    <w:rsid w:val="000C08B5"/>
    <w:rsid w:val="000C2757"/>
    <w:rsid w:val="000C2AC9"/>
    <w:rsid w:val="000C32D8"/>
    <w:rsid w:val="000C4030"/>
    <w:rsid w:val="000C58E3"/>
    <w:rsid w:val="000D1799"/>
    <w:rsid w:val="000D1F25"/>
    <w:rsid w:val="000D2FDC"/>
    <w:rsid w:val="000D37AE"/>
    <w:rsid w:val="000D5E30"/>
    <w:rsid w:val="000D790E"/>
    <w:rsid w:val="000D7F51"/>
    <w:rsid w:val="000E29BC"/>
    <w:rsid w:val="000F2B02"/>
    <w:rsid w:val="000F2D5D"/>
    <w:rsid w:val="000F402D"/>
    <w:rsid w:val="000F4133"/>
    <w:rsid w:val="000F493A"/>
    <w:rsid w:val="000F5118"/>
    <w:rsid w:val="000F76B6"/>
    <w:rsid w:val="000F7DAC"/>
    <w:rsid w:val="000F7FAD"/>
    <w:rsid w:val="0010185C"/>
    <w:rsid w:val="00101B81"/>
    <w:rsid w:val="0010214D"/>
    <w:rsid w:val="00102B68"/>
    <w:rsid w:val="00103762"/>
    <w:rsid w:val="00103D6F"/>
    <w:rsid w:val="00107A8F"/>
    <w:rsid w:val="00110441"/>
    <w:rsid w:val="001133D6"/>
    <w:rsid w:val="00114EFC"/>
    <w:rsid w:val="001164F4"/>
    <w:rsid w:val="001205DA"/>
    <w:rsid w:val="00122876"/>
    <w:rsid w:val="001230CD"/>
    <w:rsid w:val="00125C20"/>
    <w:rsid w:val="00125C56"/>
    <w:rsid w:val="00126498"/>
    <w:rsid w:val="00126560"/>
    <w:rsid w:val="00132C1C"/>
    <w:rsid w:val="001338DD"/>
    <w:rsid w:val="00137261"/>
    <w:rsid w:val="00141083"/>
    <w:rsid w:val="00142084"/>
    <w:rsid w:val="001431A7"/>
    <w:rsid w:val="00147B75"/>
    <w:rsid w:val="00147BE5"/>
    <w:rsid w:val="00150099"/>
    <w:rsid w:val="0015217D"/>
    <w:rsid w:val="001528B9"/>
    <w:rsid w:val="001530CA"/>
    <w:rsid w:val="00153155"/>
    <w:rsid w:val="001549B7"/>
    <w:rsid w:val="00157CE3"/>
    <w:rsid w:val="00160A8F"/>
    <w:rsid w:val="0016195D"/>
    <w:rsid w:val="001630EC"/>
    <w:rsid w:val="001634CB"/>
    <w:rsid w:val="00163E8E"/>
    <w:rsid w:val="0017502C"/>
    <w:rsid w:val="0018236C"/>
    <w:rsid w:val="0018239A"/>
    <w:rsid w:val="00184660"/>
    <w:rsid w:val="00186E98"/>
    <w:rsid w:val="00187921"/>
    <w:rsid w:val="00190066"/>
    <w:rsid w:val="00190284"/>
    <w:rsid w:val="00193354"/>
    <w:rsid w:val="001935C8"/>
    <w:rsid w:val="001973AE"/>
    <w:rsid w:val="00197A52"/>
    <w:rsid w:val="001A231D"/>
    <w:rsid w:val="001A2D56"/>
    <w:rsid w:val="001A362B"/>
    <w:rsid w:val="001B17DB"/>
    <w:rsid w:val="001B1F32"/>
    <w:rsid w:val="001B37E9"/>
    <w:rsid w:val="001B5937"/>
    <w:rsid w:val="001B6D51"/>
    <w:rsid w:val="001B6DF5"/>
    <w:rsid w:val="001C0E5D"/>
    <w:rsid w:val="001C1FAB"/>
    <w:rsid w:val="001C289F"/>
    <w:rsid w:val="001C2A8E"/>
    <w:rsid w:val="001C5EDD"/>
    <w:rsid w:val="001C6FA7"/>
    <w:rsid w:val="001D043B"/>
    <w:rsid w:val="001D20B4"/>
    <w:rsid w:val="001D59B0"/>
    <w:rsid w:val="001D5ECD"/>
    <w:rsid w:val="001D70C1"/>
    <w:rsid w:val="001D7998"/>
    <w:rsid w:val="001E07EE"/>
    <w:rsid w:val="001E26ED"/>
    <w:rsid w:val="001E3C5F"/>
    <w:rsid w:val="001E521B"/>
    <w:rsid w:val="001E6438"/>
    <w:rsid w:val="001E67BA"/>
    <w:rsid w:val="001F056A"/>
    <w:rsid w:val="001F0707"/>
    <w:rsid w:val="001F3568"/>
    <w:rsid w:val="001F5B70"/>
    <w:rsid w:val="001F747E"/>
    <w:rsid w:val="002013D7"/>
    <w:rsid w:val="00203EE3"/>
    <w:rsid w:val="00206ACA"/>
    <w:rsid w:val="00206D07"/>
    <w:rsid w:val="00206E83"/>
    <w:rsid w:val="002070C6"/>
    <w:rsid w:val="00207140"/>
    <w:rsid w:val="002103D9"/>
    <w:rsid w:val="0021040B"/>
    <w:rsid w:val="00210CB2"/>
    <w:rsid w:val="002112F5"/>
    <w:rsid w:val="00212E03"/>
    <w:rsid w:val="00215660"/>
    <w:rsid w:val="00215EFB"/>
    <w:rsid w:val="0022259A"/>
    <w:rsid w:val="002229B5"/>
    <w:rsid w:val="00222CD0"/>
    <w:rsid w:val="0022357A"/>
    <w:rsid w:val="00223FCF"/>
    <w:rsid w:val="0022422F"/>
    <w:rsid w:val="00225A38"/>
    <w:rsid w:val="002261F6"/>
    <w:rsid w:val="00226624"/>
    <w:rsid w:val="00226BB8"/>
    <w:rsid w:val="00226DA0"/>
    <w:rsid w:val="0022751A"/>
    <w:rsid w:val="0023005E"/>
    <w:rsid w:val="00230F78"/>
    <w:rsid w:val="00232A60"/>
    <w:rsid w:val="00232E03"/>
    <w:rsid w:val="00234BD2"/>
    <w:rsid w:val="00236110"/>
    <w:rsid w:val="002368E5"/>
    <w:rsid w:val="00237296"/>
    <w:rsid w:val="0023736E"/>
    <w:rsid w:val="00241D57"/>
    <w:rsid w:val="00242C9B"/>
    <w:rsid w:val="00243C2D"/>
    <w:rsid w:val="00244A4E"/>
    <w:rsid w:val="00244B33"/>
    <w:rsid w:val="00246142"/>
    <w:rsid w:val="00250595"/>
    <w:rsid w:val="00251536"/>
    <w:rsid w:val="0025381E"/>
    <w:rsid w:val="002612D0"/>
    <w:rsid w:val="00261524"/>
    <w:rsid w:val="00264AA3"/>
    <w:rsid w:val="00266AAE"/>
    <w:rsid w:val="00267513"/>
    <w:rsid w:val="00270805"/>
    <w:rsid w:val="00272F4B"/>
    <w:rsid w:val="002736D5"/>
    <w:rsid w:val="00273AA6"/>
    <w:rsid w:val="00273DEB"/>
    <w:rsid w:val="00283F43"/>
    <w:rsid w:val="00285804"/>
    <w:rsid w:val="00285ECD"/>
    <w:rsid w:val="00286C8F"/>
    <w:rsid w:val="00287AA3"/>
    <w:rsid w:val="00292FFA"/>
    <w:rsid w:val="00293BA0"/>
    <w:rsid w:val="002A1117"/>
    <w:rsid w:val="002A15C2"/>
    <w:rsid w:val="002A28E6"/>
    <w:rsid w:val="002A33AC"/>
    <w:rsid w:val="002A4311"/>
    <w:rsid w:val="002A7900"/>
    <w:rsid w:val="002B05FC"/>
    <w:rsid w:val="002B0E08"/>
    <w:rsid w:val="002B3667"/>
    <w:rsid w:val="002B71AD"/>
    <w:rsid w:val="002B7C39"/>
    <w:rsid w:val="002B7CF9"/>
    <w:rsid w:val="002C2C22"/>
    <w:rsid w:val="002C3955"/>
    <w:rsid w:val="002C4D6C"/>
    <w:rsid w:val="002C5D63"/>
    <w:rsid w:val="002C6BB8"/>
    <w:rsid w:val="002C7436"/>
    <w:rsid w:val="002D093E"/>
    <w:rsid w:val="002D0F4A"/>
    <w:rsid w:val="002D1BBD"/>
    <w:rsid w:val="002D25FE"/>
    <w:rsid w:val="002D29CC"/>
    <w:rsid w:val="002D4B10"/>
    <w:rsid w:val="002D6A47"/>
    <w:rsid w:val="002E331C"/>
    <w:rsid w:val="002E3970"/>
    <w:rsid w:val="002E41F4"/>
    <w:rsid w:val="002E5AA6"/>
    <w:rsid w:val="002E5DE0"/>
    <w:rsid w:val="002F0067"/>
    <w:rsid w:val="002F0924"/>
    <w:rsid w:val="002F1453"/>
    <w:rsid w:val="002F5E80"/>
    <w:rsid w:val="002F64AB"/>
    <w:rsid w:val="002F7E35"/>
    <w:rsid w:val="00301FAD"/>
    <w:rsid w:val="0030307E"/>
    <w:rsid w:val="0030643B"/>
    <w:rsid w:val="00307ADE"/>
    <w:rsid w:val="003118E0"/>
    <w:rsid w:val="003124C9"/>
    <w:rsid w:val="003143D2"/>
    <w:rsid w:val="0032029C"/>
    <w:rsid w:val="00320416"/>
    <w:rsid w:val="00320B19"/>
    <w:rsid w:val="003239D8"/>
    <w:rsid w:val="00325427"/>
    <w:rsid w:val="00326F4C"/>
    <w:rsid w:val="00327071"/>
    <w:rsid w:val="003301A4"/>
    <w:rsid w:val="00330481"/>
    <w:rsid w:val="0033073E"/>
    <w:rsid w:val="00330DFD"/>
    <w:rsid w:val="00331E31"/>
    <w:rsid w:val="003322D8"/>
    <w:rsid w:val="00332388"/>
    <w:rsid w:val="00332FA2"/>
    <w:rsid w:val="00333580"/>
    <w:rsid w:val="003341E1"/>
    <w:rsid w:val="00337169"/>
    <w:rsid w:val="00337A8E"/>
    <w:rsid w:val="00340D13"/>
    <w:rsid w:val="00341ECB"/>
    <w:rsid w:val="003431C8"/>
    <w:rsid w:val="00344E39"/>
    <w:rsid w:val="0034677D"/>
    <w:rsid w:val="00351072"/>
    <w:rsid w:val="003510EF"/>
    <w:rsid w:val="00352A40"/>
    <w:rsid w:val="00355B9D"/>
    <w:rsid w:val="00356FD8"/>
    <w:rsid w:val="00357968"/>
    <w:rsid w:val="00362034"/>
    <w:rsid w:val="00362C75"/>
    <w:rsid w:val="00362E32"/>
    <w:rsid w:val="00364F1A"/>
    <w:rsid w:val="003654A3"/>
    <w:rsid w:val="00365A5B"/>
    <w:rsid w:val="003732E2"/>
    <w:rsid w:val="0037421C"/>
    <w:rsid w:val="00376205"/>
    <w:rsid w:val="00377EC4"/>
    <w:rsid w:val="003802FA"/>
    <w:rsid w:val="003809D5"/>
    <w:rsid w:val="003810D8"/>
    <w:rsid w:val="0038175D"/>
    <w:rsid w:val="0038260B"/>
    <w:rsid w:val="0038365E"/>
    <w:rsid w:val="00385AC4"/>
    <w:rsid w:val="003861A3"/>
    <w:rsid w:val="00386D53"/>
    <w:rsid w:val="0038795B"/>
    <w:rsid w:val="00387C04"/>
    <w:rsid w:val="00387CCC"/>
    <w:rsid w:val="0039185D"/>
    <w:rsid w:val="003950E7"/>
    <w:rsid w:val="00395F19"/>
    <w:rsid w:val="00397CF8"/>
    <w:rsid w:val="003A04F0"/>
    <w:rsid w:val="003A0769"/>
    <w:rsid w:val="003A1770"/>
    <w:rsid w:val="003A26A0"/>
    <w:rsid w:val="003A3B23"/>
    <w:rsid w:val="003A49DC"/>
    <w:rsid w:val="003A525E"/>
    <w:rsid w:val="003A6F25"/>
    <w:rsid w:val="003A7224"/>
    <w:rsid w:val="003A7A16"/>
    <w:rsid w:val="003B04F5"/>
    <w:rsid w:val="003B0956"/>
    <w:rsid w:val="003B1ECF"/>
    <w:rsid w:val="003B5030"/>
    <w:rsid w:val="003B7778"/>
    <w:rsid w:val="003B79EB"/>
    <w:rsid w:val="003C1987"/>
    <w:rsid w:val="003C2E15"/>
    <w:rsid w:val="003C2F03"/>
    <w:rsid w:val="003C30C2"/>
    <w:rsid w:val="003C441F"/>
    <w:rsid w:val="003C44CB"/>
    <w:rsid w:val="003C50E6"/>
    <w:rsid w:val="003D02AB"/>
    <w:rsid w:val="003D11FD"/>
    <w:rsid w:val="003D1F21"/>
    <w:rsid w:val="003D290C"/>
    <w:rsid w:val="003D2D57"/>
    <w:rsid w:val="003D42D0"/>
    <w:rsid w:val="003D45E8"/>
    <w:rsid w:val="003D4EFE"/>
    <w:rsid w:val="003D5069"/>
    <w:rsid w:val="003D54E8"/>
    <w:rsid w:val="003D5F7D"/>
    <w:rsid w:val="003D778E"/>
    <w:rsid w:val="003E0D7F"/>
    <w:rsid w:val="003E3696"/>
    <w:rsid w:val="003E5533"/>
    <w:rsid w:val="003E60C5"/>
    <w:rsid w:val="003E73DC"/>
    <w:rsid w:val="003F0557"/>
    <w:rsid w:val="003F0DAD"/>
    <w:rsid w:val="003F1FBA"/>
    <w:rsid w:val="003F3FD2"/>
    <w:rsid w:val="003F47E1"/>
    <w:rsid w:val="003F4A2E"/>
    <w:rsid w:val="003F4BC8"/>
    <w:rsid w:val="003F6806"/>
    <w:rsid w:val="003F6947"/>
    <w:rsid w:val="003F6C35"/>
    <w:rsid w:val="00402C13"/>
    <w:rsid w:val="00404E9B"/>
    <w:rsid w:val="004055E0"/>
    <w:rsid w:val="00405683"/>
    <w:rsid w:val="00407CA3"/>
    <w:rsid w:val="00407CA6"/>
    <w:rsid w:val="0041041B"/>
    <w:rsid w:val="00410E90"/>
    <w:rsid w:val="00411A80"/>
    <w:rsid w:val="00411C0B"/>
    <w:rsid w:val="004128AC"/>
    <w:rsid w:val="00413175"/>
    <w:rsid w:val="0041333A"/>
    <w:rsid w:val="00414323"/>
    <w:rsid w:val="00414337"/>
    <w:rsid w:val="00414D97"/>
    <w:rsid w:val="004156BA"/>
    <w:rsid w:val="00421240"/>
    <w:rsid w:val="00422BC5"/>
    <w:rsid w:val="0042482F"/>
    <w:rsid w:val="00430813"/>
    <w:rsid w:val="00433D92"/>
    <w:rsid w:val="00434F02"/>
    <w:rsid w:val="0043750C"/>
    <w:rsid w:val="00437D3D"/>
    <w:rsid w:val="004409A0"/>
    <w:rsid w:val="0044287B"/>
    <w:rsid w:val="00442E14"/>
    <w:rsid w:val="00444EAB"/>
    <w:rsid w:val="004465CC"/>
    <w:rsid w:val="00446BC5"/>
    <w:rsid w:val="0044753E"/>
    <w:rsid w:val="004479A3"/>
    <w:rsid w:val="00450B15"/>
    <w:rsid w:val="00450D8B"/>
    <w:rsid w:val="00451ED4"/>
    <w:rsid w:val="0045247C"/>
    <w:rsid w:val="00452762"/>
    <w:rsid w:val="00453204"/>
    <w:rsid w:val="00453776"/>
    <w:rsid w:val="00453828"/>
    <w:rsid w:val="00453E55"/>
    <w:rsid w:val="004621D4"/>
    <w:rsid w:val="00462618"/>
    <w:rsid w:val="00462A49"/>
    <w:rsid w:val="00465D45"/>
    <w:rsid w:val="0046692B"/>
    <w:rsid w:val="00470058"/>
    <w:rsid w:val="00470CA8"/>
    <w:rsid w:val="00470E21"/>
    <w:rsid w:val="00471A87"/>
    <w:rsid w:val="00473DB4"/>
    <w:rsid w:val="00474B36"/>
    <w:rsid w:val="00475AB3"/>
    <w:rsid w:val="0047600D"/>
    <w:rsid w:val="004767DF"/>
    <w:rsid w:val="0047684F"/>
    <w:rsid w:val="00480C15"/>
    <w:rsid w:val="004837C3"/>
    <w:rsid w:val="00483D31"/>
    <w:rsid w:val="00486722"/>
    <w:rsid w:val="00487A40"/>
    <w:rsid w:val="00490203"/>
    <w:rsid w:val="004924E6"/>
    <w:rsid w:val="004926E5"/>
    <w:rsid w:val="00494148"/>
    <w:rsid w:val="00495604"/>
    <w:rsid w:val="004962BF"/>
    <w:rsid w:val="0049679A"/>
    <w:rsid w:val="00497230"/>
    <w:rsid w:val="004A6353"/>
    <w:rsid w:val="004A6367"/>
    <w:rsid w:val="004A70CC"/>
    <w:rsid w:val="004A722A"/>
    <w:rsid w:val="004A7C89"/>
    <w:rsid w:val="004B076D"/>
    <w:rsid w:val="004B145A"/>
    <w:rsid w:val="004B432F"/>
    <w:rsid w:val="004B5E16"/>
    <w:rsid w:val="004B702E"/>
    <w:rsid w:val="004C46A4"/>
    <w:rsid w:val="004C49BD"/>
    <w:rsid w:val="004C5CA0"/>
    <w:rsid w:val="004C71D5"/>
    <w:rsid w:val="004C7AB1"/>
    <w:rsid w:val="004D02CB"/>
    <w:rsid w:val="004D4213"/>
    <w:rsid w:val="004D5B04"/>
    <w:rsid w:val="004E0C1D"/>
    <w:rsid w:val="004E0E4E"/>
    <w:rsid w:val="004E3892"/>
    <w:rsid w:val="004E3FBD"/>
    <w:rsid w:val="004E7E58"/>
    <w:rsid w:val="004F010B"/>
    <w:rsid w:val="004F2240"/>
    <w:rsid w:val="004F25ED"/>
    <w:rsid w:val="004F57FE"/>
    <w:rsid w:val="004F5927"/>
    <w:rsid w:val="004F68AE"/>
    <w:rsid w:val="004F6945"/>
    <w:rsid w:val="004F798E"/>
    <w:rsid w:val="004F7D19"/>
    <w:rsid w:val="005007B4"/>
    <w:rsid w:val="00500A09"/>
    <w:rsid w:val="00500B1C"/>
    <w:rsid w:val="00501197"/>
    <w:rsid w:val="00501762"/>
    <w:rsid w:val="00505941"/>
    <w:rsid w:val="00510174"/>
    <w:rsid w:val="00514663"/>
    <w:rsid w:val="005148AA"/>
    <w:rsid w:val="0051597B"/>
    <w:rsid w:val="005164A7"/>
    <w:rsid w:val="0051780E"/>
    <w:rsid w:val="00520C7B"/>
    <w:rsid w:val="00521C72"/>
    <w:rsid w:val="0052285A"/>
    <w:rsid w:val="0052422C"/>
    <w:rsid w:val="00524739"/>
    <w:rsid w:val="00525ACC"/>
    <w:rsid w:val="00526C38"/>
    <w:rsid w:val="00533251"/>
    <w:rsid w:val="00540382"/>
    <w:rsid w:val="0054309D"/>
    <w:rsid w:val="00544321"/>
    <w:rsid w:val="00547717"/>
    <w:rsid w:val="00550ECE"/>
    <w:rsid w:val="00551526"/>
    <w:rsid w:val="00552471"/>
    <w:rsid w:val="00552FA1"/>
    <w:rsid w:val="00554328"/>
    <w:rsid w:val="00557E3C"/>
    <w:rsid w:val="00563678"/>
    <w:rsid w:val="00564957"/>
    <w:rsid w:val="00566491"/>
    <w:rsid w:val="00566CAC"/>
    <w:rsid w:val="00567A27"/>
    <w:rsid w:val="005705E0"/>
    <w:rsid w:val="005714D7"/>
    <w:rsid w:val="00572EA0"/>
    <w:rsid w:val="0057365E"/>
    <w:rsid w:val="00574A2F"/>
    <w:rsid w:val="00574CD2"/>
    <w:rsid w:val="00575031"/>
    <w:rsid w:val="005759E1"/>
    <w:rsid w:val="0057693B"/>
    <w:rsid w:val="00577AD4"/>
    <w:rsid w:val="00577C3E"/>
    <w:rsid w:val="0058115B"/>
    <w:rsid w:val="00581B1E"/>
    <w:rsid w:val="00582E15"/>
    <w:rsid w:val="00583124"/>
    <w:rsid w:val="005842A6"/>
    <w:rsid w:val="0058630D"/>
    <w:rsid w:val="00587DE6"/>
    <w:rsid w:val="0059014B"/>
    <w:rsid w:val="005905B7"/>
    <w:rsid w:val="005924B1"/>
    <w:rsid w:val="00593D52"/>
    <w:rsid w:val="00595579"/>
    <w:rsid w:val="00597720"/>
    <w:rsid w:val="005A08C5"/>
    <w:rsid w:val="005A1054"/>
    <w:rsid w:val="005A30EF"/>
    <w:rsid w:val="005A3199"/>
    <w:rsid w:val="005A4532"/>
    <w:rsid w:val="005B0DCE"/>
    <w:rsid w:val="005B1A6E"/>
    <w:rsid w:val="005B3B49"/>
    <w:rsid w:val="005B45A7"/>
    <w:rsid w:val="005B4DC2"/>
    <w:rsid w:val="005C1282"/>
    <w:rsid w:val="005C2436"/>
    <w:rsid w:val="005C73BC"/>
    <w:rsid w:val="005C73C2"/>
    <w:rsid w:val="005D1278"/>
    <w:rsid w:val="005D235A"/>
    <w:rsid w:val="005D3ADC"/>
    <w:rsid w:val="005D3F7E"/>
    <w:rsid w:val="005D43CE"/>
    <w:rsid w:val="005D493B"/>
    <w:rsid w:val="005D49CB"/>
    <w:rsid w:val="005E0BFA"/>
    <w:rsid w:val="005E0D51"/>
    <w:rsid w:val="005E24FE"/>
    <w:rsid w:val="005E332B"/>
    <w:rsid w:val="005E366C"/>
    <w:rsid w:val="005E4BB8"/>
    <w:rsid w:val="005F2574"/>
    <w:rsid w:val="005F2C1A"/>
    <w:rsid w:val="005F383C"/>
    <w:rsid w:val="005F50A4"/>
    <w:rsid w:val="005F6F33"/>
    <w:rsid w:val="0060170C"/>
    <w:rsid w:val="00603877"/>
    <w:rsid w:val="00605CBB"/>
    <w:rsid w:val="00606A08"/>
    <w:rsid w:val="00606BDF"/>
    <w:rsid w:val="00610DE6"/>
    <w:rsid w:val="00613937"/>
    <w:rsid w:val="00613F81"/>
    <w:rsid w:val="006162ED"/>
    <w:rsid w:val="00622513"/>
    <w:rsid w:val="006238DF"/>
    <w:rsid w:val="00625C9C"/>
    <w:rsid w:val="00630B06"/>
    <w:rsid w:val="0063223A"/>
    <w:rsid w:val="00635328"/>
    <w:rsid w:val="0063554F"/>
    <w:rsid w:val="00635A83"/>
    <w:rsid w:val="00635ACC"/>
    <w:rsid w:val="00641D84"/>
    <w:rsid w:val="00641EDD"/>
    <w:rsid w:val="00644F9C"/>
    <w:rsid w:val="006454DF"/>
    <w:rsid w:val="00646098"/>
    <w:rsid w:val="006462F9"/>
    <w:rsid w:val="006468FC"/>
    <w:rsid w:val="00646EEB"/>
    <w:rsid w:val="00646F68"/>
    <w:rsid w:val="0064748E"/>
    <w:rsid w:val="00650B7B"/>
    <w:rsid w:val="00650EC7"/>
    <w:rsid w:val="006516BB"/>
    <w:rsid w:val="006517B6"/>
    <w:rsid w:val="006530AE"/>
    <w:rsid w:val="00653243"/>
    <w:rsid w:val="006543DC"/>
    <w:rsid w:val="006544DB"/>
    <w:rsid w:val="00654509"/>
    <w:rsid w:val="00654835"/>
    <w:rsid w:val="00657458"/>
    <w:rsid w:val="006624C3"/>
    <w:rsid w:val="00662C70"/>
    <w:rsid w:val="00665544"/>
    <w:rsid w:val="00665CC6"/>
    <w:rsid w:val="00666367"/>
    <w:rsid w:val="00674540"/>
    <w:rsid w:val="0067457B"/>
    <w:rsid w:val="00674AA1"/>
    <w:rsid w:val="00674B46"/>
    <w:rsid w:val="00676460"/>
    <w:rsid w:val="006769B1"/>
    <w:rsid w:val="0068044F"/>
    <w:rsid w:val="00682AB9"/>
    <w:rsid w:val="00682CB0"/>
    <w:rsid w:val="00683155"/>
    <w:rsid w:val="006841FE"/>
    <w:rsid w:val="006861D3"/>
    <w:rsid w:val="0068689D"/>
    <w:rsid w:val="0068738C"/>
    <w:rsid w:val="00693841"/>
    <w:rsid w:val="00695724"/>
    <w:rsid w:val="00695C7D"/>
    <w:rsid w:val="00695F4E"/>
    <w:rsid w:val="00696F92"/>
    <w:rsid w:val="006A0755"/>
    <w:rsid w:val="006A183B"/>
    <w:rsid w:val="006A2AED"/>
    <w:rsid w:val="006A3D5C"/>
    <w:rsid w:val="006A536C"/>
    <w:rsid w:val="006A63E8"/>
    <w:rsid w:val="006A7F08"/>
    <w:rsid w:val="006B0154"/>
    <w:rsid w:val="006B1B6D"/>
    <w:rsid w:val="006B232A"/>
    <w:rsid w:val="006B3FE0"/>
    <w:rsid w:val="006B5558"/>
    <w:rsid w:val="006B601A"/>
    <w:rsid w:val="006B68F8"/>
    <w:rsid w:val="006B73DA"/>
    <w:rsid w:val="006B78FC"/>
    <w:rsid w:val="006B7DD5"/>
    <w:rsid w:val="006C12DA"/>
    <w:rsid w:val="006C1BFF"/>
    <w:rsid w:val="006C21FD"/>
    <w:rsid w:val="006C3101"/>
    <w:rsid w:val="006C466E"/>
    <w:rsid w:val="006C6CD2"/>
    <w:rsid w:val="006C797C"/>
    <w:rsid w:val="006D1770"/>
    <w:rsid w:val="006D1CE7"/>
    <w:rsid w:val="006D22DE"/>
    <w:rsid w:val="006D4EC0"/>
    <w:rsid w:val="006D617D"/>
    <w:rsid w:val="006E0D29"/>
    <w:rsid w:val="006E2D91"/>
    <w:rsid w:val="006E41C8"/>
    <w:rsid w:val="006E543A"/>
    <w:rsid w:val="006E688F"/>
    <w:rsid w:val="006F0972"/>
    <w:rsid w:val="006F4907"/>
    <w:rsid w:val="006F51FC"/>
    <w:rsid w:val="006F554D"/>
    <w:rsid w:val="006F5AA6"/>
    <w:rsid w:val="006F7586"/>
    <w:rsid w:val="006F75A9"/>
    <w:rsid w:val="006F7631"/>
    <w:rsid w:val="00700629"/>
    <w:rsid w:val="00701D42"/>
    <w:rsid w:val="00701DA0"/>
    <w:rsid w:val="007020A4"/>
    <w:rsid w:val="007022F1"/>
    <w:rsid w:val="00702640"/>
    <w:rsid w:val="007042DA"/>
    <w:rsid w:val="00704F39"/>
    <w:rsid w:val="0070552E"/>
    <w:rsid w:val="0070611E"/>
    <w:rsid w:val="00710D50"/>
    <w:rsid w:val="00711831"/>
    <w:rsid w:val="007123F6"/>
    <w:rsid w:val="00717199"/>
    <w:rsid w:val="00723967"/>
    <w:rsid w:val="00725A83"/>
    <w:rsid w:val="00725FA9"/>
    <w:rsid w:val="00727A3B"/>
    <w:rsid w:val="00730B9E"/>
    <w:rsid w:val="007324AF"/>
    <w:rsid w:val="0073321A"/>
    <w:rsid w:val="00734D75"/>
    <w:rsid w:val="00735968"/>
    <w:rsid w:val="00736334"/>
    <w:rsid w:val="00742386"/>
    <w:rsid w:val="00742BCA"/>
    <w:rsid w:val="007430F6"/>
    <w:rsid w:val="00744560"/>
    <w:rsid w:val="00746D1C"/>
    <w:rsid w:val="00746EDE"/>
    <w:rsid w:val="00750A2F"/>
    <w:rsid w:val="00750C07"/>
    <w:rsid w:val="00751DBC"/>
    <w:rsid w:val="00755B56"/>
    <w:rsid w:val="007574CF"/>
    <w:rsid w:val="007625D2"/>
    <w:rsid w:val="00762606"/>
    <w:rsid w:val="007651CC"/>
    <w:rsid w:val="00766242"/>
    <w:rsid w:val="0076756B"/>
    <w:rsid w:val="00767F62"/>
    <w:rsid w:val="007703A3"/>
    <w:rsid w:val="00770ADE"/>
    <w:rsid w:val="00771877"/>
    <w:rsid w:val="0077544B"/>
    <w:rsid w:val="00776DF1"/>
    <w:rsid w:val="00780651"/>
    <w:rsid w:val="0078139A"/>
    <w:rsid w:val="007840EA"/>
    <w:rsid w:val="0078530E"/>
    <w:rsid w:val="00786C2B"/>
    <w:rsid w:val="007872CB"/>
    <w:rsid w:val="00790439"/>
    <w:rsid w:val="0079344B"/>
    <w:rsid w:val="00793A0F"/>
    <w:rsid w:val="00793A5F"/>
    <w:rsid w:val="00794FEC"/>
    <w:rsid w:val="0079528C"/>
    <w:rsid w:val="007A0930"/>
    <w:rsid w:val="007A0F94"/>
    <w:rsid w:val="007A1748"/>
    <w:rsid w:val="007A33D0"/>
    <w:rsid w:val="007A355B"/>
    <w:rsid w:val="007A4A10"/>
    <w:rsid w:val="007A5AE3"/>
    <w:rsid w:val="007A6752"/>
    <w:rsid w:val="007A6E90"/>
    <w:rsid w:val="007A785F"/>
    <w:rsid w:val="007A7B29"/>
    <w:rsid w:val="007A7D2E"/>
    <w:rsid w:val="007B1C25"/>
    <w:rsid w:val="007B285F"/>
    <w:rsid w:val="007B332F"/>
    <w:rsid w:val="007B3B93"/>
    <w:rsid w:val="007B3BC5"/>
    <w:rsid w:val="007B6309"/>
    <w:rsid w:val="007C37A2"/>
    <w:rsid w:val="007C3A42"/>
    <w:rsid w:val="007C6A09"/>
    <w:rsid w:val="007D1F75"/>
    <w:rsid w:val="007D4E9C"/>
    <w:rsid w:val="007D70BD"/>
    <w:rsid w:val="007E0987"/>
    <w:rsid w:val="007E260D"/>
    <w:rsid w:val="007E54A1"/>
    <w:rsid w:val="007E6A90"/>
    <w:rsid w:val="007E7721"/>
    <w:rsid w:val="007F276A"/>
    <w:rsid w:val="007F36B5"/>
    <w:rsid w:val="007F4CBB"/>
    <w:rsid w:val="007F5D0D"/>
    <w:rsid w:val="007F5D46"/>
    <w:rsid w:val="00800736"/>
    <w:rsid w:val="008042D7"/>
    <w:rsid w:val="00805DA0"/>
    <w:rsid w:val="0081029D"/>
    <w:rsid w:val="008133B9"/>
    <w:rsid w:val="00815662"/>
    <w:rsid w:val="00815DD5"/>
    <w:rsid w:val="008161ED"/>
    <w:rsid w:val="00816CAF"/>
    <w:rsid w:val="008200FA"/>
    <w:rsid w:val="00820DEC"/>
    <w:rsid w:val="00821B5A"/>
    <w:rsid w:val="00822D70"/>
    <w:rsid w:val="008249E1"/>
    <w:rsid w:val="00824C97"/>
    <w:rsid w:val="00824CAE"/>
    <w:rsid w:val="00825E6D"/>
    <w:rsid w:val="00832A9F"/>
    <w:rsid w:val="00833249"/>
    <w:rsid w:val="00833A00"/>
    <w:rsid w:val="00833D87"/>
    <w:rsid w:val="008342B7"/>
    <w:rsid w:val="00834519"/>
    <w:rsid w:val="00836022"/>
    <w:rsid w:val="008363C2"/>
    <w:rsid w:val="008367E2"/>
    <w:rsid w:val="00837D54"/>
    <w:rsid w:val="00837F50"/>
    <w:rsid w:val="00841CF4"/>
    <w:rsid w:val="008430AA"/>
    <w:rsid w:val="008441C3"/>
    <w:rsid w:val="00844822"/>
    <w:rsid w:val="00844DC0"/>
    <w:rsid w:val="00855627"/>
    <w:rsid w:val="00857399"/>
    <w:rsid w:val="00860E0E"/>
    <w:rsid w:val="00861941"/>
    <w:rsid w:val="008643E0"/>
    <w:rsid w:val="00866FBE"/>
    <w:rsid w:val="008708BB"/>
    <w:rsid w:val="00870AF6"/>
    <w:rsid w:val="008730DB"/>
    <w:rsid w:val="00875BE1"/>
    <w:rsid w:val="00877394"/>
    <w:rsid w:val="00877AE9"/>
    <w:rsid w:val="00881539"/>
    <w:rsid w:val="00882924"/>
    <w:rsid w:val="008848B8"/>
    <w:rsid w:val="00885289"/>
    <w:rsid w:val="008865C1"/>
    <w:rsid w:val="008903A8"/>
    <w:rsid w:val="00891C7B"/>
    <w:rsid w:val="00891DAF"/>
    <w:rsid w:val="00892ADC"/>
    <w:rsid w:val="00893335"/>
    <w:rsid w:val="00894928"/>
    <w:rsid w:val="0089543E"/>
    <w:rsid w:val="008A27C8"/>
    <w:rsid w:val="008A3B95"/>
    <w:rsid w:val="008A5908"/>
    <w:rsid w:val="008B18C7"/>
    <w:rsid w:val="008B2130"/>
    <w:rsid w:val="008B2181"/>
    <w:rsid w:val="008B2A5D"/>
    <w:rsid w:val="008B381A"/>
    <w:rsid w:val="008B4D5C"/>
    <w:rsid w:val="008B529E"/>
    <w:rsid w:val="008B5741"/>
    <w:rsid w:val="008B608A"/>
    <w:rsid w:val="008B6A4D"/>
    <w:rsid w:val="008B70B5"/>
    <w:rsid w:val="008C0128"/>
    <w:rsid w:val="008C6446"/>
    <w:rsid w:val="008C7112"/>
    <w:rsid w:val="008C75FD"/>
    <w:rsid w:val="008C7FF0"/>
    <w:rsid w:val="008D10C7"/>
    <w:rsid w:val="008D1C3F"/>
    <w:rsid w:val="008D30F5"/>
    <w:rsid w:val="008D561D"/>
    <w:rsid w:val="008D5E8B"/>
    <w:rsid w:val="008D67C1"/>
    <w:rsid w:val="008E11C6"/>
    <w:rsid w:val="008E13B2"/>
    <w:rsid w:val="008E2A7F"/>
    <w:rsid w:val="008E346B"/>
    <w:rsid w:val="008E4463"/>
    <w:rsid w:val="008E5EEE"/>
    <w:rsid w:val="008E6A1D"/>
    <w:rsid w:val="008F084D"/>
    <w:rsid w:val="008F13E9"/>
    <w:rsid w:val="008F52F7"/>
    <w:rsid w:val="0090255D"/>
    <w:rsid w:val="00903A0D"/>
    <w:rsid w:val="00904407"/>
    <w:rsid w:val="00905C9F"/>
    <w:rsid w:val="00907F82"/>
    <w:rsid w:val="00910CF6"/>
    <w:rsid w:val="0091172A"/>
    <w:rsid w:val="009119F1"/>
    <w:rsid w:val="009132A7"/>
    <w:rsid w:val="00913766"/>
    <w:rsid w:val="00914380"/>
    <w:rsid w:val="00917120"/>
    <w:rsid w:val="009207DA"/>
    <w:rsid w:val="00922721"/>
    <w:rsid w:val="009228C0"/>
    <w:rsid w:val="00922C2C"/>
    <w:rsid w:val="00923D7C"/>
    <w:rsid w:val="0092542F"/>
    <w:rsid w:val="0093138A"/>
    <w:rsid w:val="009339B8"/>
    <w:rsid w:val="00934E11"/>
    <w:rsid w:val="00935C12"/>
    <w:rsid w:val="009362AC"/>
    <w:rsid w:val="00940F0C"/>
    <w:rsid w:val="00941239"/>
    <w:rsid w:val="00942616"/>
    <w:rsid w:val="00942CF8"/>
    <w:rsid w:val="009435CA"/>
    <w:rsid w:val="0094388D"/>
    <w:rsid w:val="00945A63"/>
    <w:rsid w:val="00946490"/>
    <w:rsid w:val="009465FE"/>
    <w:rsid w:val="00947110"/>
    <w:rsid w:val="00947462"/>
    <w:rsid w:val="00947E50"/>
    <w:rsid w:val="009509EB"/>
    <w:rsid w:val="0095267D"/>
    <w:rsid w:val="00953856"/>
    <w:rsid w:val="00953BD9"/>
    <w:rsid w:val="009559EC"/>
    <w:rsid w:val="00962573"/>
    <w:rsid w:val="00962D86"/>
    <w:rsid w:val="00963160"/>
    <w:rsid w:val="009701A7"/>
    <w:rsid w:val="0097339A"/>
    <w:rsid w:val="00974777"/>
    <w:rsid w:val="009771CD"/>
    <w:rsid w:val="00977BF4"/>
    <w:rsid w:val="00981D49"/>
    <w:rsid w:val="00981F15"/>
    <w:rsid w:val="009826BC"/>
    <w:rsid w:val="00982DC4"/>
    <w:rsid w:val="00983144"/>
    <w:rsid w:val="009833D0"/>
    <w:rsid w:val="009868C1"/>
    <w:rsid w:val="00987330"/>
    <w:rsid w:val="00990516"/>
    <w:rsid w:val="00991498"/>
    <w:rsid w:val="009925FF"/>
    <w:rsid w:val="00993752"/>
    <w:rsid w:val="0099452D"/>
    <w:rsid w:val="00996097"/>
    <w:rsid w:val="00996277"/>
    <w:rsid w:val="00996B2E"/>
    <w:rsid w:val="00997F9D"/>
    <w:rsid w:val="00997FA4"/>
    <w:rsid w:val="009A4C3D"/>
    <w:rsid w:val="009A51FA"/>
    <w:rsid w:val="009A60F7"/>
    <w:rsid w:val="009A7BF7"/>
    <w:rsid w:val="009B115D"/>
    <w:rsid w:val="009B23EB"/>
    <w:rsid w:val="009B4306"/>
    <w:rsid w:val="009B4D01"/>
    <w:rsid w:val="009B4FF2"/>
    <w:rsid w:val="009B63C9"/>
    <w:rsid w:val="009B649D"/>
    <w:rsid w:val="009B7445"/>
    <w:rsid w:val="009C0058"/>
    <w:rsid w:val="009C07EE"/>
    <w:rsid w:val="009C0F55"/>
    <w:rsid w:val="009C1375"/>
    <w:rsid w:val="009C41EB"/>
    <w:rsid w:val="009C4696"/>
    <w:rsid w:val="009C4749"/>
    <w:rsid w:val="009C5B9F"/>
    <w:rsid w:val="009D2CC7"/>
    <w:rsid w:val="009D788E"/>
    <w:rsid w:val="009D7D00"/>
    <w:rsid w:val="009E23A6"/>
    <w:rsid w:val="009E4880"/>
    <w:rsid w:val="009E6B62"/>
    <w:rsid w:val="009E6C35"/>
    <w:rsid w:val="009E6D8C"/>
    <w:rsid w:val="009E7A4C"/>
    <w:rsid w:val="009E7C72"/>
    <w:rsid w:val="009F04D6"/>
    <w:rsid w:val="009F2DB0"/>
    <w:rsid w:val="009F30F5"/>
    <w:rsid w:val="009F4404"/>
    <w:rsid w:val="00A01E0B"/>
    <w:rsid w:val="00A0291D"/>
    <w:rsid w:val="00A04488"/>
    <w:rsid w:val="00A04CBE"/>
    <w:rsid w:val="00A05B32"/>
    <w:rsid w:val="00A07E48"/>
    <w:rsid w:val="00A149B8"/>
    <w:rsid w:val="00A160A6"/>
    <w:rsid w:val="00A16CB2"/>
    <w:rsid w:val="00A16E87"/>
    <w:rsid w:val="00A17421"/>
    <w:rsid w:val="00A204AF"/>
    <w:rsid w:val="00A20754"/>
    <w:rsid w:val="00A237E7"/>
    <w:rsid w:val="00A24F33"/>
    <w:rsid w:val="00A30BCC"/>
    <w:rsid w:val="00A30C2E"/>
    <w:rsid w:val="00A3130B"/>
    <w:rsid w:val="00A331CF"/>
    <w:rsid w:val="00A3402E"/>
    <w:rsid w:val="00A34B33"/>
    <w:rsid w:val="00A34EA7"/>
    <w:rsid w:val="00A35DA5"/>
    <w:rsid w:val="00A36193"/>
    <w:rsid w:val="00A36ABA"/>
    <w:rsid w:val="00A378A6"/>
    <w:rsid w:val="00A37C78"/>
    <w:rsid w:val="00A40069"/>
    <w:rsid w:val="00A40736"/>
    <w:rsid w:val="00A412CC"/>
    <w:rsid w:val="00A41516"/>
    <w:rsid w:val="00A426D9"/>
    <w:rsid w:val="00A438F3"/>
    <w:rsid w:val="00A43DA9"/>
    <w:rsid w:val="00A4467C"/>
    <w:rsid w:val="00A45647"/>
    <w:rsid w:val="00A46BA7"/>
    <w:rsid w:val="00A47318"/>
    <w:rsid w:val="00A47E04"/>
    <w:rsid w:val="00A529D2"/>
    <w:rsid w:val="00A53228"/>
    <w:rsid w:val="00A540EF"/>
    <w:rsid w:val="00A57242"/>
    <w:rsid w:val="00A576ED"/>
    <w:rsid w:val="00A57D99"/>
    <w:rsid w:val="00A6146F"/>
    <w:rsid w:val="00A63FD4"/>
    <w:rsid w:val="00A64F35"/>
    <w:rsid w:val="00A65890"/>
    <w:rsid w:val="00A65BAD"/>
    <w:rsid w:val="00A663DF"/>
    <w:rsid w:val="00A67D22"/>
    <w:rsid w:val="00A740A9"/>
    <w:rsid w:val="00A74933"/>
    <w:rsid w:val="00A77922"/>
    <w:rsid w:val="00A835BA"/>
    <w:rsid w:val="00A85106"/>
    <w:rsid w:val="00A8615E"/>
    <w:rsid w:val="00A864EF"/>
    <w:rsid w:val="00A95434"/>
    <w:rsid w:val="00A966A5"/>
    <w:rsid w:val="00AA0FD2"/>
    <w:rsid w:val="00AA2DFE"/>
    <w:rsid w:val="00AA3682"/>
    <w:rsid w:val="00AA38DD"/>
    <w:rsid w:val="00AA51F7"/>
    <w:rsid w:val="00AB00F5"/>
    <w:rsid w:val="00AB42EA"/>
    <w:rsid w:val="00AB63B2"/>
    <w:rsid w:val="00AB7AD6"/>
    <w:rsid w:val="00AC02C3"/>
    <w:rsid w:val="00AC0478"/>
    <w:rsid w:val="00AC058B"/>
    <w:rsid w:val="00AC0FE8"/>
    <w:rsid w:val="00AC1BC1"/>
    <w:rsid w:val="00AC4285"/>
    <w:rsid w:val="00AD2363"/>
    <w:rsid w:val="00AD3E99"/>
    <w:rsid w:val="00AD7F2A"/>
    <w:rsid w:val="00AE0878"/>
    <w:rsid w:val="00AE1095"/>
    <w:rsid w:val="00AE22E1"/>
    <w:rsid w:val="00AE2850"/>
    <w:rsid w:val="00AE461F"/>
    <w:rsid w:val="00AE485B"/>
    <w:rsid w:val="00AE4DFA"/>
    <w:rsid w:val="00AE4F5C"/>
    <w:rsid w:val="00AE576A"/>
    <w:rsid w:val="00AE6D9C"/>
    <w:rsid w:val="00AE7FC5"/>
    <w:rsid w:val="00AF0F92"/>
    <w:rsid w:val="00AF27C6"/>
    <w:rsid w:val="00AF3526"/>
    <w:rsid w:val="00AF4425"/>
    <w:rsid w:val="00AF5B2D"/>
    <w:rsid w:val="00AF65F6"/>
    <w:rsid w:val="00B0253D"/>
    <w:rsid w:val="00B032EC"/>
    <w:rsid w:val="00B0608D"/>
    <w:rsid w:val="00B06AA6"/>
    <w:rsid w:val="00B07067"/>
    <w:rsid w:val="00B1047A"/>
    <w:rsid w:val="00B10BB0"/>
    <w:rsid w:val="00B10DC2"/>
    <w:rsid w:val="00B11F4F"/>
    <w:rsid w:val="00B12A2B"/>
    <w:rsid w:val="00B12A42"/>
    <w:rsid w:val="00B133F5"/>
    <w:rsid w:val="00B13F87"/>
    <w:rsid w:val="00B150C6"/>
    <w:rsid w:val="00B16BB7"/>
    <w:rsid w:val="00B20605"/>
    <w:rsid w:val="00B2165E"/>
    <w:rsid w:val="00B22920"/>
    <w:rsid w:val="00B26473"/>
    <w:rsid w:val="00B324AB"/>
    <w:rsid w:val="00B32AF9"/>
    <w:rsid w:val="00B3330E"/>
    <w:rsid w:val="00B341DE"/>
    <w:rsid w:val="00B34CEF"/>
    <w:rsid w:val="00B35D55"/>
    <w:rsid w:val="00B37E66"/>
    <w:rsid w:val="00B42513"/>
    <w:rsid w:val="00B42943"/>
    <w:rsid w:val="00B4309D"/>
    <w:rsid w:val="00B43503"/>
    <w:rsid w:val="00B4362B"/>
    <w:rsid w:val="00B43DC6"/>
    <w:rsid w:val="00B507F0"/>
    <w:rsid w:val="00B5245F"/>
    <w:rsid w:val="00B56F71"/>
    <w:rsid w:val="00B57C0D"/>
    <w:rsid w:val="00B61AFD"/>
    <w:rsid w:val="00B620CF"/>
    <w:rsid w:val="00B62C2F"/>
    <w:rsid w:val="00B6536D"/>
    <w:rsid w:val="00B666EE"/>
    <w:rsid w:val="00B678EA"/>
    <w:rsid w:val="00B7088B"/>
    <w:rsid w:val="00B7167E"/>
    <w:rsid w:val="00B7324D"/>
    <w:rsid w:val="00B735C1"/>
    <w:rsid w:val="00B74ADD"/>
    <w:rsid w:val="00B74F86"/>
    <w:rsid w:val="00B7604B"/>
    <w:rsid w:val="00B773E3"/>
    <w:rsid w:val="00B803CF"/>
    <w:rsid w:val="00B830F1"/>
    <w:rsid w:val="00B83F68"/>
    <w:rsid w:val="00B865DA"/>
    <w:rsid w:val="00B86DB3"/>
    <w:rsid w:val="00B95359"/>
    <w:rsid w:val="00B9572E"/>
    <w:rsid w:val="00B96175"/>
    <w:rsid w:val="00BA0C68"/>
    <w:rsid w:val="00BA3D26"/>
    <w:rsid w:val="00BA575E"/>
    <w:rsid w:val="00BA65F1"/>
    <w:rsid w:val="00BB12CD"/>
    <w:rsid w:val="00BB55BE"/>
    <w:rsid w:val="00BB6ED1"/>
    <w:rsid w:val="00BC05BC"/>
    <w:rsid w:val="00BC18A3"/>
    <w:rsid w:val="00BC2978"/>
    <w:rsid w:val="00BC4006"/>
    <w:rsid w:val="00BC5B73"/>
    <w:rsid w:val="00BC616B"/>
    <w:rsid w:val="00BC631D"/>
    <w:rsid w:val="00BC7332"/>
    <w:rsid w:val="00BC7B15"/>
    <w:rsid w:val="00BD0292"/>
    <w:rsid w:val="00BD19B4"/>
    <w:rsid w:val="00BD33B2"/>
    <w:rsid w:val="00BD35C1"/>
    <w:rsid w:val="00BD458F"/>
    <w:rsid w:val="00BE38DB"/>
    <w:rsid w:val="00BE3CBC"/>
    <w:rsid w:val="00BE43D3"/>
    <w:rsid w:val="00BE5864"/>
    <w:rsid w:val="00BE5898"/>
    <w:rsid w:val="00BE5980"/>
    <w:rsid w:val="00BE62C6"/>
    <w:rsid w:val="00BE72BE"/>
    <w:rsid w:val="00BF0D9B"/>
    <w:rsid w:val="00BF1EED"/>
    <w:rsid w:val="00BF24E1"/>
    <w:rsid w:val="00BF4CBB"/>
    <w:rsid w:val="00BF63DB"/>
    <w:rsid w:val="00BF7138"/>
    <w:rsid w:val="00BF7A1F"/>
    <w:rsid w:val="00C001D6"/>
    <w:rsid w:val="00C00C9B"/>
    <w:rsid w:val="00C05436"/>
    <w:rsid w:val="00C14221"/>
    <w:rsid w:val="00C14549"/>
    <w:rsid w:val="00C149DE"/>
    <w:rsid w:val="00C15F2E"/>
    <w:rsid w:val="00C20CA6"/>
    <w:rsid w:val="00C22627"/>
    <w:rsid w:val="00C23B32"/>
    <w:rsid w:val="00C25BFA"/>
    <w:rsid w:val="00C2657B"/>
    <w:rsid w:val="00C30AE6"/>
    <w:rsid w:val="00C314F5"/>
    <w:rsid w:val="00C3216A"/>
    <w:rsid w:val="00C325BC"/>
    <w:rsid w:val="00C32DDF"/>
    <w:rsid w:val="00C34217"/>
    <w:rsid w:val="00C34D32"/>
    <w:rsid w:val="00C35AEB"/>
    <w:rsid w:val="00C362EF"/>
    <w:rsid w:val="00C36F47"/>
    <w:rsid w:val="00C407B2"/>
    <w:rsid w:val="00C41423"/>
    <w:rsid w:val="00C422B7"/>
    <w:rsid w:val="00C435A8"/>
    <w:rsid w:val="00C43F61"/>
    <w:rsid w:val="00C44B60"/>
    <w:rsid w:val="00C4783A"/>
    <w:rsid w:val="00C50793"/>
    <w:rsid w:val="00C53A2E"/>
    <w:rsid w:val="00C53F4F"/>
    <w:rsid w:val="00C56102"/>
    <w:rsid w:val="00C569EF"/>
    <w:rsid w:val="00C57370"/>
    <w:rsid w:val="00C62134"/>
    <w:rsid w:val="00C622B9"/>
    <w:rsid w:val="00C634B7"/>
    <w:rsid w:val="00C64E86"/>
    <w:rsid w:val="00C66081"/>
    <w:rsid w:val="00C7268B"/>
    <w:rsid w:val="00C75446"/>
    <w:rsid w:val="00C7620C"/>
    <w:rsid w:val="00C77243"/>
    <w:rsid w:val="00C7742B"/>
    <w:rsid w:val="00C77E9D"/>
    <w:rsid w:val="00C800B2"/>
    <w:rsid w:val="00C80494"/>
    <w:rsid w:val="00C80567"/>
    <w:rsid w:val="00C87903"/>
    <w:rsid w:val="00C91D4E"/>
    <w:rsid w:val="00C92735"/>
    <w:rsid w:val="00C94D6E"/>
    <w:rsid w:val="00C96E91"/>
    <w:rsid w:val="00CA1003"/>
    <w:rsid w:val="00CA160D"/>
    <w:rsid w:val="00CA2299"/>
    <w:rsid w:val="00CA5BA7"/>
    <w:rsid w:val="00CA63E3"/>
    <w:rsid w:val="00CA7C51"/>
    <w:rsid w:val="00CB0D89"/>
    <w:rsid w:val="00CB6459"/>
    <w:rsid w:val="00CB721D"/>
    <w:rsid w:val="00CC296A"/>
    <w:rsid w:val="00CC2D9A"/>
    <w:rsid w:val="00CC5986"/>
    <w:rsid w:val="00CC6177"/>
    <w:rsid w:val="00CD0A6F"/>
    <w:rsid w:val="00CD1356"/>
    <w:rsid w:val="00CD2286"/>
    <w:rsid w:val="00CD25F2"/>
    <w:rsid w:val="00CD2637"/>
    <w:rsid w:val="00CD3F53"/>
    <w:rsid w:val="00CD4465"/>
    <w:rsid w:val="00CD62EC"/>
    <w:rsid w:val="00CD7671"/>
    <w:rsid w:val="00CD776F"/>
    <w:rsid w:val="00CD7F2E"/>
    <w:rsid w:val="00CE0E3B"/>
    <w:rsid w:val="00CE1CB1"/>
    <w:rsid w:val="00CE47D7"/>
    <w:rsid w:val="00CE5599"/>
    <w:rsid w:val="00CE651C"/>
    <w:rsid w:val="00CE6617"/>
    <w:rsid w:val="00CE7828"/>
    <w:rsid w:val="00CE7B78"/>
    <w:rsid w:val="00CF0D35"/>
    <w:rsid w:val="00CF25CD"/>
    <w:rsid w:val="00CF26B1"/>
    <w:rsid w:val="00CF3C29"/>
    <w:rsid w:val="00CF598C"/>
    <w:rsid w:val="00D00B68"/>
    <w:rsid w:val="00D00B87"/>
    <w:rsid w:val="00D0191F"/>
    <w:rsid w:val="00D025C3"/>
    <w:rsid w:val="00D05B12"/>
    <w:rsid w:val="00D0722A"/>
    <w:rsid w:val="00D07952"/>
    <w:rsid w:val="00D11009"/>
    <w:rsid w:val="00D121CC"/>
    <w:rsid w:val="00D13F92"/>
    <w:rsid w:val="00D1557E"/>
    <w:rsid w:val="00D161CA"/>
    <w:rsid w:val="00D17B1B"/>
    <w:rsid w:val="00D21008"/>
    <w:rsid w:val="00D22422"/>
    <w:rsid w:val="00D23784"/>
    <w:rsid w:val="00D24422"/>
    <w:rsid w:val="00D269A1"/>
    <w:rsid w:val="00D31F06"/>
    <w:rsid w:val="00D35244"/>
    <w:rsid w:val="00D400EC"/>
    <w:rsid w:val="00D4022C"/>
    <w:rsid w:val="00D44538"/>
    <w:rsid w:val="00D46B66"/>
    <w:rsid w:val="00D4774A"/>
    <w:rsid w:val="00D51C2F"/>
    <w:rsid w:val="00D52172"/>
    <w:rsid w:val="00D557EA"/>
    <w:rsid w:val="00D5647D"/>
    <w:rsid w:val="00D57753"/>
    <w:rsid w:val="00D61ADD"/>
    <w:rsid w:val="00D64CE5"/>
    <w:rsid w:val="00D6535D"/>
    <w:rsid w:val="00D66702"/>
    <w:rsid w:val="00D66E5B"/>
    <w:rsid w:val="00D66FFB"/>
    <w:rsid w:val="00D67B01"/>
    <w:rsid w:val="00D71EDC"/>
    <w:rsid w:val="00D724DD"/>
    <w:rsid w:val="00D73A9A"/>
    <w:rsid w:val="00D751D2"/>
    <w:rsid w:val="00D757ED"/>
    <w:rsid w:val="00D80053"/>
    <w:rsid w:val="00D816A1"/>
    <w:rsid w:val="00D82006"/>
    <w:rsid w:val="00D8492A"/>
    <w:rsid w:val="00D856A4"/>
    <w:rsid w:val="00D86762"/>
    <w:rsid w:val="00D9133C"/>
    <w:rsid w:val="00D91B2E"/>
    <w:rsid w:val="00D91E6A"/>
    <w:rsid w:val="00D9233F"/>
    <w:rsid w:val="00D92491"/>
    <w:rsid w:val="00D96CAF"/>
    <w:rsid w:val="00DA1EF6"/>
    <w:rsid w:val="00DA5234"/>
    <w:rsid w:val="00DA61E1"/>
    <w:rsid w:val="00DA71C6"/>
    <w:rsid w:val="00DB2366"/>
    <w:rsid w:val="00DB331F"/>
    <w:rsid w:val="00DB349D"/>
    <w:rsid w:val="00DB3A89"/>
    <w:rsid w:val="00DB67C5"/>
    <w:rsid w:val="00DB6953"/>
    <w:rsid w:val="00DB6CDE"/>
    <w:rsid w:val="00DC088F"/>
    <w:rsid w:val="00DC29D9"/>
    <w:rsid w:val="00DC2FDD"/>
    <w:rsid w:val="00DC4459"/>
    <w:rsid w:val="00DC5624"/>
    <w:rsid w:val="00DC5DED"/>
    <w:rsid w:val="00DC7C47"/>
    <w:rsid w:val="00DD1E02"/>
    <w:rsid w:val="00DD4938"/>
    <w:rsid w:val="00DD57ED"/>
    <w:rsid w:val="00DD6335"/>
    <w:rsid w:val="00DD72A9"/>
    <w:rsid w:val="00DE0EAD"/>
    <w:rsid w:val="00DE1291"/>
    <w:rsid w:val="00DE297D"/>
    <w:rsid w:val="00DE2C07"/>
    <w:rsid w:val="00DE2E2E"/>
    <w:rsid w:val="00DE4E7C"/>
    <w:rsid w:val="00DE6154"/>
    <w:rsid w:val="00DE681F"/>
    <w:rsid w:val="00DE764B"/>
    <w:rsid w:val="00DF1A99"/>
    <w:rsid w:val="00DF2C88"/>
    <w:rsid w:val="00DF5159"/>
    <w:rsid w:val="00DF5295"/>
    <w:rsid w:val="00DF6ABC"/>
    <w:rsid w:val="00E003BE"/>
    <w:rsid w:val="00E02403"/>
    <w:rsid w:val="00E03732"/>
    <w:rsid w:val="00E07F8D"/>
    <w:rsid w:val="00E10048"/>
    <w:rsid w:val="00E1054C"/>
    <w:rsid w:val="00E10D6C"/>
    <w:rsid w:val="00E12650"/>
    <w:rsid w:val="00E14B94"/>
    <w:rsid w:val="00E15425"/>
    <w:rsid w:val="00E2000C"/>
    <w:rsid w:val="00E227B5"/>
    <w:rsid w:val="00E22A8F"/>
    <w:rsid w:val="00E22B75"/>
    <w:rsid w:val="00E2304A"/>
    <w:rsid w:val="00E2444F"/>
    <w:rsid w:val="00E26542"/>
    <w:rsid w:val="00E265B9"/>
    <w:rsid w:val="00E2699E"/>
    <w:rsid w:val="00E26B79"/>
    <w:rsid w:val="00E2782D"/>
    <w:rsid w:val="00E27BD2"/>
    <w:rsid w:val="00E302BB"/>
    <w:rsid w:val="00E3088C"/>
    <w:rsid w:val="00E30F09"/>
    <w:rsid w:val="00E31827"/>
    <w:rsid w:val="00E32F18"/>
    <w:rsid w:val="00E3709B"/>
    <w:rsid w:val="00E37FFD"/>
    <w:rsid w:val="00E40D13"/>
    <w:rsid w:val="00E40E95"/>
    <w:rsid w:val="00E410D3"/>
    <w:rsid w:val="00E41E27"/>
    <w:rsid w:val="00E42F3D"/>
    <w:rsid w:val="00E43482"/>
    <w:rsid w:val="00E43ADE"/>
    <w:rsid w:val="00E44955"/>
    <w:rsid w:val="00E454DB"/>
    <w:rsid w:val="00E47C88"/>
    <w:rsid w:val="00E52909"/>
    <w:rsid w:val="00E5395A"/>
    <w:rsid w:val="00E54494"/>
    <w:rsid w:val="00E554E7"/>
    <w:rsid w:val="00E5555A"/>
    <w:rsid w:val="00E56910"/>
    <w:rsid w:val="00E573CE"/>
    <w:rsid w:val="00E57996"/>
    <w:rsid w:val="00E57AF9"/>
    <w:rsid w:val="00E60017"/>
    <w:rsid w:val="00E60691"/>
    <w:rsid w:val="00E606EB"/>
    <w:rsid w:val="00E60E46"/>
    <w:rsid w:val="00E60F0C"/>
    <w:rsid w:val="00E63668"/>
    <w:rsid w:val="00E6388F"/>
    <w:rsid w:val="00E63CC3"/>
    <w:rsid w:val="00E63F62"/>
    <w:rsid w:val="00E64A29"/>
    <w:rsid w:val="00E65029"/>
    <w:rsid w:val="00E65C94"/>
    <w:rsid w:val="00E75865"/>
    <w:rsid w:val="00E76092"/>
    <w:rsid w:val="00E765F0"/>
    <w:rsid w:val="00E808C2"/>
    <w:rsid w:val="00E84C8C"/>
    <w:rsid w:val="00E8655E"/>
    <w:rsid w:val="00E94459"/>
    <w:rsid w:val="00E96C95"/>
    <w:rsid w:val="00E96EBB"/>
    <w:rsid w:val="00E97307"/>
    <w:rsid w:val="00EA120C"/>
    <w:rsid w:val="00EA4B38"/>
    <w:rsid w:val="00EA52C8"/>
    <w:rsid w:val="00EB0D26"/>
    <w:rsid w:val="00EB0F13"/>
    <w:rsid w:val="00EB19EB"/>
    <w:rsid w:val="00EB1CD2"/>
    <w:rsid w:val="00EB348A"/>
    <w:rsid w:val="00EB4895"/>
    <w:rsid w:val="00EB4A44"/>
    <w:rsid w:val="00EB680D"/>
    <w:rsid w:val="00EC0224"/>
    <w:rsid w:val="00EC263A"/>
    <w:rsid w:val="00EC2757"/>
    <w:rsid w:val="00EC4458"/>
    <w:rsid w:val="00EC79D6"/>
    <w:rsid w:val="00ED46AB"/>
    <w:rsid w:val="00ED5D79"/>
    <w:rsid w:val="00ED6DBA"/>
    <w:rsid w:val="00EE0202"/>
    <w:rsid w:val="00EE115E"/>
    <w:rsid w:val="00EE21DD"/>
    <w:rsid w:val="00EE2222"/>
    <w:rsid w:val="00EE2EE0"/>
    <w:rsid w:val="00EE34A1"/>
    <w:rsid w:val="00EE3E81"/>
    <w:rsid w:val="00EE46DA"/>
    <w:rsid w:val="00EE4E66"/>
    <w:rsid w:val="00EE6F74"/>
    <w:rsid w:val="00EF4E0E"/>
    <w:rsid w:val="00EF5A8B"/>
    <w:rsid w:val="00EF6F4F"/>
    <w:rsid w:val="00EF70EF"/>
    <w:rsid w:val="00EF7F84"/>
    <w:rsid w:val="00F016AF"/>
    <w:rsid w:val="00F029AC"/>
    <w:rsid w:val="00F02B2E"/>
    <w:rsid w:val="00F034AF"/>
    <w:rsid w:val="00F03880"/>
    <w:rsid w:val="00F038BD"/>
    <w:rsid w:val="00F0703D"/>
    <w:rsid w:val="00F07EB0"/>
    <w:rsid w:val="00F10C8A"/>
    <w:rsid w:val="00F11AD9"/>
    <w:rsid w:val="00F1660F"/>
    <w:rsid w:val="00F17D37"/>
    <w:rsid w:val="00F17F51"/>
    <w:rsid w:val="00F20114"/>
    <w:rsid w:val="00F211B5"/>
    <w:rsid w:val="00F242E5"/>
    <w:rsid w:val="00F24B81"/>
    <w:rsid w:val="00F24EA4"/>
    <w:rsid w:val="00F2549C"/>
    <w:rsid w:val="00F2561B"/>
    <w:rsid w:val="00F25C8B"/>
    <w:rsid w:val="00F260E6"/>
    <w:rsid w:val="00F27EAF"/>
    <w:rsid w:val="00F30276"/>
    <w:rsid w:val="00F303F5"/>
    <w:rsid w:val="00F32DD2"/>
    <w:rsid w:val="00F33C61"/>
    <w:rsid w:val="00F35B17"/>
    <w:rsid w:val="00F36FB9"/>
    <w:rsid w:val="00F36FDC"/>
    <w:rsid w:val="00F400CB"/>
    <w:rsid w:val="00F401A0"/>
    <w:rsid w:val="00F41E88"/>
    <w:rsid w:val="00F422FE"/>
    <w:rsid w:val="00F45DA4"/>
    <w:rsid w:val="00F46447"/>
    <w:rsid w:val="00F518CB"/>
    <w:rsid w:val="00F51DE6"/>
    <w:rsid w:val="00F63BE7"/>
    <w:rsid w:val="00F677D5"/>
    <w:rsid w:val="00F713EC"/>
    <w:rsid w:val="00F719B3"/>
    <w:rsid w:val="00F732AA"/>
    <w:rsid w:val="00F74105"/>
    <w:rsid w:val="00F75FE3"/>
    <w:rsid w:val="00F76BFA"/>
    <w:rsid w:val="00F80D88"/>
    <w:rsid w:val="00F83882"/>
    <w:rsid w:val="00F8467A"/>
    <w:rsid w:val="00F85D23"/>
    <w:rsid w:val="00F915CD"/>
    <w:rsid w:val="00F929B9"/>
    <w:rsid w:val="00F93CD1"/>
    <w:rsid w:val="00FA15AE"/>
    <w:rsid w:val="00FA16C0"/>
    <w:rsid w:val="00FA1C22"/>
    <w:rsid w:val="00FA41E7"/>
    <w:rsid w:val="00FA484F"/>
    <w:rsid w:val="00FA54B1"/>
    <w:rsid w:val="00FA584F"/>
    <w:rsid w:val="00FA750B"/>
    <w:rsid w:val="00FA7F2A"/>
    <w:rsid w:val="00FB0FF3"/>
    <w:rsid w:val="00FB100D"/>
    <w:rsid w:val="00FB12C4"/>
    <w:rsid w:val="00FB3286"/>
    <w:rsid w:val="00FB5481"/>
    <w:rsid w:val="00FB7F43"/>
    <w:rsid w:val="00FC1D3C"/>
    <w:rsid w:val="00FC622F"/>
    <w:rsid w:val="00FC692C"/>
    <w:rsid w:val="00FD1F25"/>
    <w:rsid w:val="00FD24CE"/>
    <w:rsid w:val="00FD34AB"/>
    <w:rsid w:val="00FD3AD8"/>
    <w:rsid w:val="00FD57C2"/>
    <w:rsid w:val="00FD656D"/>
    <w:rsid w:val="00FD6590"/>
    <w:rsid w:val="00FD6DBD"/>
    <w:rsid w:val="00FD7206"/>
    <w:rsid w:val="00FD786D"/>
    <w:rsid w:val="00FD7890"/>
    <w:rsid w:val="00FE0214"/>
    <w:rsid w:val="00FE0D53"/>
    <w:rsid w:val="00FE1A7E"/>
    <w:rsid w:val="00FE5137"/>
    <w:rsid w:val="00FE551E"/>
    <w:rsid w:val="00FF1B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49"/>
    <o:shapelayout v:ext="edit">
      <o:idmap v:ext="edit" data="1"/>
    </o:shapelayout>
  </w:shapeDefaults>
  <w:decimalSymbol w:val="."/>
  <w:listSeparator w:val=","/>
  <w14:docId w14:val="4F28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267">
    <w:lsdException w:name="annotation text" w:uiPriority="99"/>
    <w:lsdException w:name="footer" w:uiPriority="99"/>
    <w:lsdException w:name="annotation reference" w:uiPriority="99"/>
    <w:lsdException w:name="List Paragraph" w:uiPriority="99" w:qFormat="1"/>
  </w:latentStyles>
  <w:style w:type="paragraph" w:default="1" w:styleId="Normal">
    <w:name w:val="Normal"/>
    <w:qFormat/>
    <w:rsid w:val="004A722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72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A722A"/>
    <w:rPr>
      <w:rFonts w:cs="Times New Roman"/>
    </w:rPr>
  </w:style>
  <w:style w:type="paragraph" w:styleId="Footer">
    <w:name w:val="footer"/>
    <w:basedOn w:val="Normal"/>
    <w:link w:val="FooterChar"/>
    <w:uiPriority w:val="99"/>
    <w:rsid w:val="004A722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722A"/>
    <w:rPr>
      <w:rFonts w:cs="Times New Roman"/>
    </w:rPr>
  </w:style>
  <w:style w:type="paragraph" w:styleId="BalloonText">
    <w:name w:val="Balloon Text"/>
    <w:basedOn w:val="Normal"/>
    <w:link w:val="BalloonTextChar"/>
    <w:uiPriority w:val="99"/>
    <w:semiHidden/>
    <w:rsid w:val="004A7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722A"/>
    <w:rPr>
      <w:rFonts w:ascii="Tahoma" w:hAnsi="Tahoma" w:cs="Tahoma"/>
      <w:sz w:val="16"/>
      <w:szCs w:val="16"/>
    </w:rPr>
  </w:style>
  <w:style w:type="paragraph" w:styleId="ListParagraph">
    <w:name w:val="List Paragraph"/>
    <w:basedOn w:val="Normal"/>
    <w:uiPriority w:val="99"/>
    <w:qFormat/>
    <w:rsid w:val="004A722A"/>
    <w:pPr>
      <w:ind w:left="720"/>
      <w:contextualSpacing/>
    </w:pPr>
  </w:style>
  <w:style w:type="character" w:styleId="CommentReference">
    <w:name w:val="annotation reference"/>
    <w:basedOn w:val="DefaultParagraphFont"/>
    <w:uiPriority w:val="99"/>
    <w:semiHidden/>
    <w:rsid w:val="001205DA"/>
    <w:rPr>
      <w:rFonts w:cs="Times New Roman"/>
      <w:sz w:val="16"/>
      <w:szCs w:val="16"/>
    </w:rPr>
  </w:style>
  <w:style w:type="paragraph" w:styleId="CommentText">
    <w:name w:val="annotation text"/>
    <w:basedOn w:val="Normal"/>
    <w:link w:val="CommentTextChar"/>
    <w:uiPriority w:val="99"/>
    <w:semiHidden/>
    <w:rsid w:val="001205D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1205DA"/>
    <w:rPr>
      <w:rFonts w:cs="Times New Roman"/>
      <w:sz w:val="20"/>
      <w:szCs w:val="20"/>
    </w:rPr>
  </w:style>
  <w:style w:type="paragraph" w:styleId="CommentSubject">
    <w:name w:val="annotation subject"/>
    <w:basedOn w:val="CommentText"/>
    <w:next w:val="CommentText"/>
    <w:link w:val="CommentSubjectChar"/>
    <w:uiPriority w:val="99"/>
    <w:semiHidden/>
    <w:rsid w:val="001205DA"/>
    <w:rPr>
      <w:b/>
      <w:bCs/>
    </w:rPr>
  </w:style>
  <w:style w:type="character" w:customStyle="1" w:styleId="CommentSubjectChar">
    <w:name w:val="Comment Subject Char"/>
    <w:basedOn w:val="CommentTextChar"/>
    <w:link w:val="CommentSubject"/>
    <w:uiPriority w:val="99"/>
    <w:semiHidden/>
    <w:locked/>
    <w:rsid w:val="001205DA"/>
    <w:rPr>
      <w:rFonts w:cs="Times New Roman"/>
      <w:b/>
      <w:bCs/>
      <w:sz w:val="20"/>
      <w:szCs w:val="20"/>
    </w:rPr>
  </w:style>
  <w:style w:type="paragraph" w:styleId="FootnoteText">
    <w:name w:val="footnote text"/>
    <w:basedOn w:val="Normal"/>
    <w:link w:val="FootnoteTextChar"/>
    <w:uiPriority w:val="99"/>
    <w:semiHidden/>
    <w:rsid w:val="00241D57"/>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41D57"/>
    <w:rPr>
      <w:rFonts w:cs="Times New Roman"/>
      <w:sz w:val="20"/>
      <w:szCs w:val="20"/>
    </w:rPr>
  </w:style>
  <w:style w:type="character" w:styleId="FootnoteReference">
    <w:name w:val="footnote reference"/>
    <w:basedOn w:val="DefaultParagraphFont"/>
    <w:uiPriority w:val="99"/>
    <w:semiHidden/>
    <w:rsid w:val="00241D57"/>
    <w:rPr>
      <w:rFonts w:cs="Times New Roman"/>
      <w:vertAlign w:val="superscript"/>
    </w:rPr>
  </w:style>
  <w:style w:type="paragraph" w:styleId="Revision">
    <w:name w:val="Revision"/>
    <w:hidden/>
    <w:uiPriority w:val="99"/>
    <w:semiHidden/>
    <w:rsid w:val="004D4213"/>
  </w:style>
  <w:style w:type="paragraph" w:styleId="EndnoteText">
    <w:name w:val="endnote text"/>
    <w:basedOn w:val="Normal"/>
    <w:link w:val="EndnoteTextChar"/>
    <w:rsid w:val="00A378A6"/>
    <w:pPr>
      <w:spacing w:after="0" w:line="240" w:lineRule="auto"/>
    </w:pPr>
    <w:rPr>
      <w:sz w:val="20"/>
      <w:szCs w:val="20"/>
    </w:rPr>
  </w:style>
  <w:style w:type="character" w:customStyle="1" w:styleId="EndnoteTextChar">
    <w:name w:val="Endnote Text Char"/>
    <w:basedOn w:val="DefaultParagraphFont"/>
    <w:link w:val="EndnoteText"/>
    <w:rsid w:val="00A378A6"/>
    <w:rPr>
      <w:sz w:val="20"/>
      <w:szCs w:val="20"/>
    </w:rPr>
  </w:style>
  <w:style w:type="character" w:styleId="EndnoteReference">
    <w:name w:val="endnote reference"/>
    <w:basedOn w:val="DefaultParagraphFont"/>
    <w:rsid w:val="00A378A6"/>
    <w:rPr>
      <w:vertAlign w:val="superscript"/>
    </w:rPr>
  </w:style>
  <w:style w:type="character" w:styleId="PlaceholderText">
    <w:name w:val="Placeholder Text"/>
    <w:basedOn w:val="DefaultParagraphFont"/>
    <w:rsid w:val="00B42513"/>
    <w:rPr>
      <w:color w:val="808080"/>
    </w:rPr>
  </w:style>
  <w:style w:type="table" w:styleId="TableGrid">
    <w:name w:val="Table Grid"/>
    <w:basedOn w:val="TableNormal"/>
    <w:rsid w:val="003C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267">
    <w:lsdException w:name="annotation text" w:uiPriority="99"/>
    <w:lsdException w:name="footer" w:uiPriority="99"/>
    <w:lsdException w:name="annotation reference" w:uiPriority="99"/>
    <w:lsdException w:name="List Paragraph" w:uiPriority="99" w:qFormat="1"/>
  </w:latentStyles>
  <w:style w:type="paragraph" w:default="1" w:styleId="Normal">
    <w:name w:val="Normal"/>
    <w:qFormat/>
    <w:rsid w:val="004A722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72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A722A"/>
    <w:rPr>
      <w:rFonts w:cs="Times New Roman"/>
    </w:rPr>
  </w:style>
  <w:style w:type="paragraph" w:styleId="Footer">
    <w:name w:val="footer"/>
    <w:basedOn w:val="Normal"/>
    <w:link w:val="FooterChar"/>
    <w:uiPriority w:val="99"/>
    <w:rsid w:val="004A722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722A"/>
    <w:rPr>
      <w:rFonts w:cs="Times New Roman"/>
    </w:rPr>
  </w:style>
  <w:style w:type="paragraph" w:styleId="BalloonText">
    <w:name w:val="Balloon Text"/>
    <w:basedOn w:val="Normal"/>
    <w:link w:val="BalloonTextChar"/>
    <w:uiPriority w:val="99"/>
    <w:semiHidden/>
    <w:rsid w:val="004A7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722A"/>
    <w:rPr>
      <w:rFonts w:ascii="Tahoma" w:hAnsi="Tahoma" w:cs="Tahoma"/>
      <w:sz w:val="16"/>
      <w:szCs w:val="16"/>
    </w:rPr>
  </w:style>
  <w:style w:type="paragraph" w:styleId="ListParagraph">
    <w:name w:val="List Paragraph"/>
    <w:basedOn w:val="Normal"/>
    <w:uiPriority w:val="99"/>
    <w:qFormat/>
    <w:rsid w:val="004A722A"/>
    <w:pPr>
      <w:ind w:left="720"/>
      <w:contextualSpacing/>
    </w:pPr>
  </w:style>
  <w:style w:type="character" w:styleId="CommentReference">
    <w:name w:val="annotation reference"/>
    <w:basedOn w:val="DefaultParagraphFont"/>
    <w:uiPriority w:val="99"/>
    <w:semiHidden/>
    <w:rsid w:val="001205DA"/>
    <w:rPr>
      <w:rFonts w:cs="Times New Roman"/>
      <w:sz w:val="16"/>
      <w:szCs w:val="16"/>
    </w:rPr>
  </w:style>
  <w:style w:type="paragraph" w:styleId="CommentText">
    <w:name w:val="annotation text"/>
    <w:basedOn w:val="Normal"/>
    <w:link w:val="CommentTextChar"/>
    <w:uiPriority w:val="99"/>
    <w:semiHidden/>
    <w:rsid w:val="001205D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1205DA"/>
    <w:rPr>
      <w:rFonts w:cs="Times New Roman"/>
      <w:sz w:val="20"/>
      <w:szCs w:val="20"/>
    </w:rPr>
  </w:style>
  <w:style w:type="paragraph" w:styleId="CommentSubject">
    <w:name w:val="annotation subject"/>
    <w:basedOn w:val="CommentText"/>
    <w:next w:val="CommentText"/>
    <w:link w:val="CommentSubjectChar"/>
    <w:uiPriority w:val="99"/>
    <w:semiHidden/>
    <w:rsid w:val="001205DA"/>
    <w:rPr>
      <w:b/>
      <w:bCs/>
    </w:rPr>
  </w:style>
  <w:style w:type="character" w:customStyle="1" w:styleId="CommentSubjectChar">
    <w:name w:val="Comment Subject Char"/>
    <w:basedOn w:val="CommentTextChar"/>
    <w:link w:val="CommentSubject"/>
    <w:uiPriority w:val="99"/>
    <w:semiHidden/>
    <w:locked/>
    <w:rsid w:val="001205DA"/>
    <w:rPr>
      <w:rFonts w:cs="Times New Roman"/>
      <w:b/>
      <w:bCs/>
      <w:sz w:val="20"/>
      <w:szCs w:val="20"/>
    </w:rPr>
  </w:style>
  <w:style w:type="paragraph" w:styleId="FootnoteText">
    <w:name w:val="footnote text"/>
    <w:basedOn w:val="Normal"/>
    <w:link w:val="FootnoteTextChar"/>
    <w:uiPriority w:val="99"/>
    <w:semiHidden/>
    <w:rsid w:val="00241D57"/>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41D57"/>
    <w:rPr>
      <w:rFonts w:cs="Times New Roman"/>
      <w:sz w:val="20"/>
      <w:szCs w:val="20"/>
    </w:rPr>
  </w:style>
  <w:style w:type="character" w:styleId="FootnoteReference">
    <w:name w:val="footnote reference"/>
    <w:basedOn w:val="DefaultParagraphFont"/>
    <w:uiPriority w:val="99"/>
    <w:semiHidden/>
    <w:rsid w:val="00241D57"/>
    <w:rPr>
      <w:rFonts w:cs="Times New Roman"/>
      <w:vertAlign w:val="superscript"/>
    </w:rPr>
  </w:style>
  <w:style w:type="paragraph" w:styleId="Revision">
    <w:name w:val="Revision"/>
    <w:hidden/>
    <w:uiPriority w:val="99"/>
    <w:semiHidden/>
    <w:rsid w:val="004D4213"/>
  </w:style>
  <w:style w:type="paragraph" w:styleId="EndnoteText">
    <w:name w:val="endnote text"/>
    <w:basedOn w:val="Normal"/>
    <w:link w:val="EndnoteTextChar"/>
    <w:rsid w:val="00A378A6"/>
    <w:pPr>
      <w:spacing w:after="0" w:line="240" w:lineRule="auto"/>
    </w:pPr>
    <w:rPr>
      <w:sz w:val="20"/>
      <w:szCs w:val="20"/>
    </w:rPr>
  </w:style>
  <w:style w:type="character" w:customStyle="1" w:styleId="EndnoteTextChar">
    <w:name w:val="Endnote Text Char"/>
    <w:basedOn w:val="DefaultParagraphFont"/>
    <w:link w:val="EndnoteText"/>
    <w:rsid w:val="00A378A6"/>
    <w:rPr>
      <w:sz w:val="20"/>
      <w:szCs w:val="20"/>
    </w:rPr>
  </w:style>
  <w:style w:type="character" w:styleId="EndnoteReference">
    <w:name w:val="endnote reference"/>
    <w:basedOn w:val="DefaultParagraphFont"/>
    <w:rsid w:val="00A378A6"/>
    <w:rPr>
      <w:vertAlign w:val="superscript"/>
    </w:rPr>
  </w:style>
  <w:style w:type="character" w:styleId="PlaceholderText">
    <w:name w:val="Placeholder Text"/>
    <w:basedOn w:val="DefaultParagraphFont"/>
    <w:rsid w:val="00B42513"/>
    <w:rPr>
      <w:color w:val="808080"/>
    </w:rPr>
  </w:style>
  <w:style w:type="table" w:styleId="TableGrid">
    <w:name w:val="Table Grid"/>
    <w:basedOn w:val="TableNormal"/>
    <w:rsid w:val="003C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4218">
      <w:bodyDiv w:val="1"/>
      <w:marLeft w:val="0"/>
      <w:marRight w:val="0"/>
      <w:marTop w:val="0"/>
      <w:marBottom w:val="0"/>
      <w:divBdr>
        <w:top w:val="none" w:sz="0" w:space="0" w:color="auto"/>
        <w:left w:val="none" w:sz="0" w:space="0" w:color="auto"/>
        <w:bottom w:val="none" w:sz="0" w:space="0" w:color="auto"/>
        <w:right w:val="none" w:sz="0" w:space="0" w:color="auto"/>
      </w:divBdr>
    </w:div>
    <w:div w:id="399250379">
      <w:bodyDiv w:val="1"/>
      <w:marLeft w:val="0"/>
      <w:marRight w:val="0"/>
      <w:marTop w:val="0"/>
      <w:marBottom w:val="0"/>
      <w:divBdr>
        <w:top w:val="none" w:sz="0" w:space="0" w:color="auto"/>
        <w:left w:val="none" w:sz="0" w:space="0" w:color="auto"/>
        <w:bottom w:val="none" w:sz="0" w:space="0" w:color="auto"/>
        <w:right w:val="none" w:sz="0" w:space="0" w:color="auto"/>
      </w:divBdr>
    </w:div>
    <w:div w:id="520775971">
      <w:bodyDiv w:val="1"/>
      <w:marLeft w:val="0"/>
      <w:marRight w:val="0"/>
      <w:marTop w:val="0"/>
      <w:marBottom w:val="0"/>
      <w:divBdr>
        <w:top w:val="none" w:sz="0" w:space="0" w:color="auto"/>
        <w:left w:val="none" w:sz="0" w:space="0" w:color="auto"/>
        <w:bottom w:val="none" w:sz="0" w:space="0" w:color="auto"/>
        <w:right w:val="none" w:sz="0" w:space="0" w:color="auto"/>
      </w:divBdr>
    </w:div>
    <w:div w:id="844905708">
      <w:bodyDiv w:val="1"/>
      <w:marLeft w:val="0"/>
      <w:marRight w:val="0"/>
      <w:marTop w:val="0"/>
      <w:marBottom w:val="0"/>
      <w:divBdr>
        <w:top w:val="none" w:sz="0" w:space="0" w:color="auto"/>
        <w:left w:val="none" w:sz="0" w:space="0" w:color="auto"/>
        <w:bottom w:val="none" w:sz="0" w:space="0" w:color="auto"/>
        <w:right w:val="none" w:sz="0" w:space="0" w:color="auto"/>
      </w:divBdr>
    </w:div>
    <w:div w:id="870727777">
      <w:bodyDiv w:val="1"/>
      <w:marLeft w:val="0"/>
      <w:marRight w:val="0"/>
      <w:marTop w:val="0"/>
      <w:marBottom w:val="0"/>
      <w:divBdr>
        <w:top w:val="none" w:sz="0" w:space="0" w:color="auto"/>
        <w:left w:val="none" w:sz="0" w:space="0" w:color="auto"/>
        <w:bottom w:val="none" w:sz="0" w:space="0" w:color="auto"/>
        <w:right w:val="none" w:sz="0" w:space="0" w:color="auto"/>
      </w:divBdr>
    </w:div>
    <w:div w:id="1361468942">
      <w:bodyDiv w:val="1"/>
      <w:marLeft w:val="0"/>
      <w:marRight w:val="0"/>
      <w:marTop w:val="0"/>
      <w:marBottom w:val="0"/>
      <w:divBdr>
        <w:top w:val="none" w:sz="0" w:space="0" w:color="auto"/>
        <w:left w:val="none" w:sz="0" w:space="0" w:color="auto"/>
        <w:bottom w:val="none" w:sz="0" w:space="0" w:color="auto"/>
        <w:right w:val="none" w:sz="0" w:space="0" w:color="auto"/>
      </w:divBdr>
    </w:div>
    <w:div w:id="1408960654">
      <w:bodyDiv w:val="1"/>
      <w:marLeft w:val="0"/>
      <w:marRight w:val="0"/>
      <w:marTop w:val="0"/>
      <w:marBottom w:val="0"/>
      <w:divBdr>
        <w:top w:val="none" w:sz="0" w:space="0" w:color="auto"/>
        <w:left w:val="none" w:sz="0" w:space="0" w:color="auto"/>
        <w:bottom w:val="none" w:sz="0" w:space="0" w:color="auto"/>
        <w:right w:val="none" w:sz="0" w:space="0" w:color="auto"/>
      </w:divBdr>
    </w:div>
    <w:div w:id="1416047851">
      <w:bodyDiv w:val="1"/>
      <w:marLeft w:val="0"/>
      <w:marRight w:val="0"/>
      <w:marTop w:val="0"/>
      <w:marBottom w:val="0"/>
      <w:divBdr>
        <w:top w:val="none" w:sz="0" w:space="0" w:color="auto"/>
        <w:left w:val="none" w:sz="0" w:space="0" w:color="auto"/>
        <w:bottom w:val="none" w:sz="0" w:space="0" w:color="auto"/>
        <w:right w:val="none" w:sz="0" w:space="0" w:color="auto"/>
      </w:divBdr>
    </w:div>
    <w:div w:id="1613433996">
      <w:bodyDiv w:val="1"/>
      <w:marLeft w:val="0"/>
      <w:marRight w:val="0"/>
      <w:marTop w:val="0"/>
      <w:marBottom w:val="0"/>
      <w:divBdr>
        <w:top w:val="none" w:sz="0" w:space="0" w:color="auto"/>
        <w:left w:val="none" w:sz="0" w:space="0" w:color="auto"/>
        <w:bottom w:val="none" w:sz="0" w:space="0" w:color="auto"/>
        <w:right w:val="none" w:sz="0" w:space="0" w:color="auto"/>
      </w:divBdr>
    </w:div>
    <w:div w:id="1720978921">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81949470">
      <w:marLeft w:val="0"/>
      <w:marRight w:val="0"/>
      <w:marTop w:val="0"/>
      <w:marBottom w:val="0"/>
      <w:divBdr>
        <w:top w:val="none" w:sz="0" w:space="0" w:color="auto"/>
        <w:left w:val="none" w:sz="0" w:space="0" w:color="auto"/>
        <w:bottom w:val="none" w:sz="0" w:space="0" w:color="auto"/>
        <w:right w:val="none" w:sz="0" w:space="0" w:color="auto"/>
      </w:divBdr>
    </w:div>
    <w:div w:id="2081949471">
      <w:marLeft w:val="0"/>
      <w:marRight w:val="0"/>
      <w:marTop w:val="0"/>
      <w:marBottom w:val="0"/>
      <w:divBdr>
        <w:top w:val="none" w:sz="0" w:space="0" w:color="auto"/>
        <w:left w:val="none" w:sz="0" w:space="0" w:color="auto"/>
        <w:bottom w:val="none" w:sz="0" w:space="0" w:color="auto"/>
        <w:right w:val="none" w:sz="0" w:space="0" w:color="auto"/>
      </w:divBdr>
      <w:divsChild>
        <w:div w:id="2081949472">
          <w:marLeft w:val="0"/>
          <w:marRight w:val="0"/>
          <w:marTop w:val="0"/>
          <w:marBottom w:val="0"/>
          <w:divBdr>
            <w:top w:val="none" w:sz="0" w:space="0" w:color="auto"/>
            <w:left w:val="none" w:sz="0" w:space="0" w:color="auto"/>
            <w:bottom w:val="none" w:sz="0" w:space="0" w:color="auto"/>
            <w:right w:val="none" w:sz="0" w:space="0" w:color="auto"/>
          </w:divBdr>
        </w:div>
      </w:divsChild>
    </w:div>
    <w:div w:id="2081949473">
      <w:marLeft w:val="0"/>
      <w:marRight w:val="0"/>
      <w:marTop w:val="0"/>
      <w:marBottom w:val="0"/>
      <w:divBdr>
        <w:top w:val="none" w:sz="0" w:space="0" w:color="auto"/>
        <w:left w:val="none" w:sz="0" w:space="0" w:color="auto"/>
        <w:bottom w:val="none" w:sz="0" w:space="0" w:color="auto"/>
        <w:right w:val="none" w:sz="0" w:space="0" w:color="auto"/>
      </w:divBdr>
      <w:divsChild>
        <w:div w:id="2081949474">
          <w:marLeft w:val="0"/>
          <w:marRight w:val="0"/>
          <w:marTop w:val="0"/>
          <w:marBottom w:val="0"/>
          <w:divBdr>
            <w:top w:val="none" w:sz="0" w:space="0" w:color="auto"/>
            <w:left w:val="none" w:sz="0" w:space="0" w:color="auto"/>
            <w:bottom w:val="none" w:sz="0" w:space="0" w:color="auto"/>
            <w:right w:val="none" w:sz="0" w:space="0" w:color="auto"/>
          </w:divBdr>
        </w:div>
      </w:divsChild>
    </w:div>
    <w:div w:id="21298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17B20DB5F9624286B280A048C7F165" ma:contentTypeVersion="0" ma:contentTypeDescription="Create a new document." ma:contentTypeScope="" ma:versionID="54450f22a2c07ca9852b8deef7bc093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F3456-4B8B-4628-9C35-55191870A6E0}"/>
</file>

<file path=customXml/itemProps2.xml><?xml version="1.0" encoding="utf-8"?>
<ds:datastoreItem xmlns:ds="http://schemas.openxmlformats.org/officeDocument/2006/customXml" ds:itemID="{1DFC3F6F-3BA8-4148-81E8-12259D0F511C}"/>
</file>

<file path=customXml/itemProps3.xml><?xml version="1.0" encoding="utf-8"?>
<ds:datastoreItem xmlns:ds="http://schemas.openxmlformats.org/officeDocument/2006/customXml" ds:itemID="{78974626-11E1-4BA0-8E1B-40B4964D33D6}"/>
</file>

<file path=customXml/itemProps4.xml><?xml version="1.0" encoding="utf-8"?>
<ds:datastoreItem xmlns:ds="http://schemas.openxmlformats.org/officeDocument/2006/customXml" ds:itemID="{F9CB74E7-43DD-4B52-B0BA-42663FC728CE}"/>
</file>

<file path=docProps/app.xml><?xml version="1.0" encoding="utf-8"?>
<Properties xmlns="http://schemas.openxmlformats.org/officeDocument/2006/extended-properties" xmlns:vt="http://schemas.openxmlformats.org/officeDocument/2006/docPropsVTypes">
  <Template>Normal</Template>
  <TotalTime>149</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Northwest Requirements Utilities</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dc:creator>
  <cp:lastModifiedBy>Daniel Fisher</cp:lastModifiedBy>
  <cp:revision>22</cp:revision>
  <cp:lastPrinted>2016-09-15T00:03:00Z</cp:lastPrinted>
  <dcterms:created xsi:type="dcterms:W3CDTF">2016-08-29T20:19:00Z</dcterms:created>
  <dcterms:modified xsi:type="dcterms:W3CDTF">2016-09-20T04:18:00Z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0x010100E417B20DB5F9624286B280A048C7F165</vt:lpwstr>
  </property>
  <property fmtid="{D5CDD505-2E9C-101B-9397-08002B2CF9AE}" pid="3" name="Order">
    <vt:r8>6300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