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B5E" w:rsidRPr="00D811D2" w:rsidRDefault="000A4D1E" w:rsidP="00D811D2">
      <w:pPr>
        <w:pStyle w:val="Heading1"/>
        <w:jc w:val="center"/>
      </w:pPr>
      <w:r>
        <w:rPr>
          <w:szCs w:val="24"/>
        </w:rPr>
        <w:t>ADVISORY ON</w:t>
      </w:r>
      <w:r w:rsidR="00D811D2">
        <w:t xml:space="preserve"> </w:t>
      </w:r>
      <w:r w:rsidRPr="00D811D2">
        <w:t>INTEREST RATE RISK MANAGEMENT</w:t>
      </w:r>
    </w:p>
    <w:p w:rsidR="000A4D1E" w:rsidRDefault="000C51D0">
      <w:pPr>
        <w:pStyle w:val="Heading1"/>
        <w:jc w:val="center"/>
        <w:rPr>
          <w:szCs w:val="24"/>
        </w:rPr>
      </w:pPr>
      <w:r>
        <w:rPr>
          <w:szCs w:val="24"/>
        </w:rPr>
        <w:t xml:space="preserve">January 6, </w:t>
      </w:r>
      <w:r w:rsidR="000419E6">
        <w:rPr>
          <w:szCs w:val="24"/>
        </w:rPr>
        <w:t>2010</w:t>
      </w:r>
    </w:p>
    <w:p w:rsidR="000A4D1E" w:rsidRDefault="000A4D1E"/>
    <w:p w:rsidR="000A4D1E" w:rsidRDefault="000A4D1E">
      <w:pPr>
        <w:ind w:firstLine="720"/>
      </w:pPr>
      <w:r>
        <w:t>The</w:t>
      </w:r>
      <w:r w:rsidR="00000F4D" w:rsidRPr="00000F4D">
        <w:t xml:space="preserve"> financial regulators</w:t>
      </w:r>
      <w:r w:rsidR="00000F4D">
        <w:rPr>
          <w:rStyle w:val="FootnoteReference"/>
        </w:rPr>
        <w:footnoteReference w:id="1"/>
      </w:r>
      <w:r w:rsidR="00000F4D">
        <w:t xml:space="preserve"> are</w:t>
      </w:r>
      <w:r w:rsidR="0038551C">
        <w:t xml:space="preserve"> </w:t>
      </w:r>
      <w:r>
        <w:t xml:space="preserve">issuing this advisory to remind institutions of supervisory expectations regarding sound practices for managing interest rate risk (IRR). </w:t>
      </w:r>
      <w:r w:rsidR="00CA59AA">
        <w:t xml:space="preserve"> </w:t>
      </w:r>
      <w:r>
        <w:t xml:space="preserve">In the current environment of historically low short-term interest rates, it is important for institutions to have robust processes for measuring and, where necessary, mitigating their exposure to </w:t>
      </w:r>
      <w:r w:rsidR="00105B4E">
        <w:t xml:space="preserve">potential </w:t>
      </w:r>
      <w:r>
        <w:t>increases in interest rates.</w:t>
      </w:r>
    </w:p>
    <w:p w:rsidR="000A4D1E" w:rsidRDefault="000A4D1E">
      <w:pPr>
        <w:ind w:firstLine="720"/>
      </w:pPr>
    </w:p>
    <w:p w:rsidR="000A4D1E" w:rsidRDefault="000A4D1E">
      <w:pPr>
        <w:ind w:firstLine="720"/>
      </w:pPr>
      <w:r>
        <w:t>Current financial market and economic conditions present significant risk management challenges to institutions of all sizes.</w:t>
      </w:r>
      <w:r w:rsidR="00CA59AA">
        <w:t xml:space="preserve"> </w:t>
      </w:r>
      <w:r>
        <w:t xml:space="preserve"> For a number of institutions, </w:t>
      </w:r>
      <w:r w:rsidR="00B716F6" w:rsidRPr="00B716F6">
        <w:t>increased</w:t>
      </w:r>
      <w:r>
        <w:t xml:space="preserve"> loan losses and </w:t>
      </w:r>
      <w:r w:rsidR="00B716F6">
        <w:t xml:space="preserve">sharp declines in the values of </w:t>
      </w:r>
      <w:r>
        <w:t xml:space="preserve">some securities portfolios are </w:t>
      </w:r>
      <w:r w:rsidR="00B716F6">
        <w:t>placing downward pressure on</w:t>
      </w:r>
      <w:r>
        <w:t xml:space="preserve"> capital and earnings. </w:t>
      </w:r>
      <w:r w:rsidR="00CA59AA">
        <w:t xml:space="preserve"> </w:t>
      </w:r>
      <w:r>
        <w:t xml:space="preserve">In this challenging environment, </w:t>
      </w:r>
      <w:r w:rsidR="00B716F6">
        <w:t>funding longer</w:t>
      </w:r>
      <w:r w:rsidR="00B716F6">
        <w:noBreakHyphen/>
        <w:t>term</w:t>
      </w:r>
      <w:r>
        <w:t xml:space="preserve"> assets with shorter-term liabilities can generate earnings, but also </w:t>
      </w:r>
      <w:r w:rsidR="00E0379F">
        <w:t>poses</w:t>
      </w:r>
      <w:r>
        <w:t xml:space="preserve"> risks to an institution’s capital and earnings</w:t>
      </w:r>
      <w:r w:rsidR="00105B4E">
        <w:t>.</w:t>
      </w:r>
      <w:r>
        <w:t xml:space="preserve"> </w:t>
      </w:r>
    </w:p>
    <w:p w:rsidR="000A4D1E" w:rsidRDefault="000A4D1E"/>
    <w:p w:rsidR="000A4D1E" w:rsidRDefault="00573CD4">
      <w:pPr>
        <w:ind w:firstLine="720"/>
      </w:pPr>
      <w:r>
        <w:t>The regulators</w:t>
      </w:r>
      <w:r w:rsidR="000A4D1E">
        <w:t xml:space="preserve"> recognize that some degree of IRR is inherent in the business of banking.  At the same time, however, institutions</w:t>
      </w:r>
      <w:r w:rsidR="000A4D1E">
        <w:rPr>
          <w:rStyle w:val="FootnoteReference"/>
        </w:rPr>
        <w:footnoteReference w:id="2"/>
      </w:r>
      <w:r w:rsidR="000A4D1E">
        <w:t xml:space="preserve"> are expected to have sound risk management practices in place to measure, monitor</w:t>
      </w:r>
      <w:r w:rsidR="00534AAC">
        <w:t>,</w:t>
      </w:r>
      <w:r w:rsidR="000A4D1E">
        <w:t xml:space="preserve"> and control IRR exposures.  Accordingly, each of the </w:t>
      </w:r>
      <w:r>
        <w:t>financial regulator</w:t>
      </w:r>
      <w:r w:rsidR="00131CF4">
        <w:t xml:space="preserve">s </w:t>
      </w:r>
      <w:proofErr w:type="gramStart"/>
      <w:r w:rsidR="000A4D1E">
        <w:t>ha</w:t>
      </w:r>
      <w:r>
        <w:t>ve</w:t>
      </w:r>
      <w:proofErr w:type="gramEnd"/>
      <w:r w:rsidR="000A4D1E">
        <w:t xml:space="preserve"> established guidance on the topic of IRR management (see Appendix A).  Although the </w:t>
      </w:r>
      <w:r w:rsidR="006C5755">
        <w:t xml:space="preserve">specific </w:t>
      </w:r>
      <w:r w:rsidR="000A4D1E">
        <w:t>guidance</w:t>
      </w:r>
      <w:r w:rsidR="006C5755">
        <w:t xml:space="preserve"> issued</w:t>
      </w:r>
      <w:r w:rsidR="00534AAC">
        <w:t xml:space="preserve"> </w:t>
      </w:r>
      <w:r w:rsidR="000A4D1E">
        <w:t xml:space="preserve">and the oversight and surveillance mechanisms </w:t>
      </w:r>
      <w:r w:rsidR="006C5755">
        <w:t xml:space="preserve">used by </w:t>
      </w:r>
      <w:r>
        <w:t>the regulators</w:t>
      </w:r>
      <w:r w:rsidR="006C5755">
        <w:t xml:space="preserve"> </w:t>
      </w:r>
      <w:r w:rsidR="000A4D1E">
        <w:t xml:space="preserve">may differ, supervisory expectations for sound IRR management are </w:t>
      </w:r>
      <w:r w:rsidR="006C5755">
        <w:t xml:space="preserve">broadly </w:t>
      </w:r>
      <w:r w:rsidR="000A4D1E">
        <w:t>consistent</w:t>
      </w:r>
      <w:r w:rsidR="006C5755">
        <w:t xml:space="preserve">. </w:t>
      </w:r>
      <w:r w:rsidR="000A4D1E">
        <w:t xml:space="preserve">  </w:t>
      </w:r>
      <w:r>
        <w:t>The regulators</w:t>
      </w:r>
      <w:r w:rsidR="000A4D1E">
        <w:t xml:space="preserve"> expect all institutions to manage </w:t>
      </w:r>
      <w:r w:rsidR="00B716F6">
        <w:t xml:space="preserve">their </w:t>
      </w:r>
      <w:r w:rsidR="000A4D1E">
        <w:t xml:space="preserve">IRR </w:t>
      </w:r>
      <w:r w:rsidR="00B716F6">
        <w:t xml:space="preserve">exposures </w:t>
      </w:r>
      <w:r w:rsidR="000A4D1E">
        <w:t xml:space="preserve">using processes and systems commensurate with their </w:t>
      </w:r>
      <w:r w:rsidR="0088136A">
        <w:t xml:space="preserve">earnings and capital levels, </w:t>
      </w:r>
      <w:r w:rsidR="000A4D1E">
        <w:t>complexity, business model, risk profile, and scope of operations.</w:t>
      </w:r>
      <w:r w:rsidR="00A76BD1">
        <w:rPr>
          <w:rStyle w:val="FootnoteReference"/>
        </w:rPr>
        <w:footnoteReference w:id="3"/>
      </w:r>
      <w:r w:rsidR="000A4D1E">
        <w:t xml:space="preserve">  Effective IRR management processes are particularly important for those institutions experiencing </w:t>
      </w:r>
      <w:r w:rsidR="00B716F6">
        <w:t xml:space="preserve">downward </w:t>
      </w:r>
      <w:r w:rsidR="000A4D1E">
        <w:t xml:space="preserve">pressure on earnings and capital </w:t>
      </w:r>
      <w:r w:rsidR="00B716F6">
        <w:t>due to lower</w:t>
      </w:r>
      <w:r w:rsidR="000A4D1E">
        <w:t xml:space="preserve"> credit quality and </w:t>
      </w:r>
      <w:r w:rsidR="00B716F6">
        <w:t>market il</w:t>
      </w:r>
      <w:r w:rsidR="000A4D1E">
        <w:t xml:space="preserve">liquidity.  </w:t>
      </w:r>
    </w:p>
    <w:p w:rsidR="000A4D1E" w:rsidRDefault="000A4D1E">
      <w:pPr>
        <w:ind w:firstLine="720"/>
      </w:pPr>
    </w:p>
    <w:p w:rsidR="000A4D1E" w:rsidRDefault="000A4D1E">
      <w:pPr>
        <w:ind w:firstLine="720"/>
      </w:pPr>
      <w:r>
        <w:t>This advisory re</w:t>
      </w:r>
      <w:r w:rsidR="006C5755">
        <w:t xml:space="preserve">-emphasizes </w:t>
      </w:r>
      <w:r>
        <w:t xml:space="preserve">the importance of effective corporate governance, policies and procedures, risk measuring and monitoring systems, stress testing, and internal controls related to the IRR exposures of institutions.  It also clarifies various elements of existing guidance and </w:t>
      </w:r>
      <w:r w:rsidR="00DA6293">
        <w:t>describes</w:t>
      </w:r>
      <w:r>
        <w:t xml:space="preserve"> selected IRR management techniques used by effective risk managers.  More detailed guidelines on the basic </w:t>
      </w:r>
      <w:r w:rsidR="00E944AF">
        <w:t xml:space="preserve">principles </w:t>
      </w:r>
      <w:r>
        <w:t xml:space="preserve">of IRR </w:t>
      </w:r>
      <w:proofErr w:type="gramStart"/>
      <w:r>
        <w:lastRenderedPageBreak/>
        <w:t>management</w:t>
      </w:r>
      <w:proofErr w:type="gramEnd"/>
      <w:r>
        <w:t xml:space="preserve"> discussed in this </w:t>
      </w:r>
      <w:r w:rsidR="00DA6293">
        <w:t>a</w:t>
      </w:r>
      <w:r>
        <w:t xml:space="preserve">dvisory </w:t>
      </w:r>
      <w:r w:rsidR="00B716F6">
        <w:t xml:space="preserve">can be found </w:t>
      </w:r>
      <w:r>
        <w:t xml:space="preserve">in each </w:t>
      </w:r>
      <w:r w:rsidR="00131CF4">
        <w:t xml:space="preserve">regulator’s </w:t>
      </w:r>
      <w:r>
        <w:t>established guidance.</w:t>
      </w:r>
      <w:r w:rsidR="00DA6293">
        <w:rPr>
          <w:rStyle w:val="FootnoteReference"/>
        </w:rPr>
        <w:footnoteReference w:id="4"/>
      </w:r>
      <w:r>
        <w:t xml:space="preserve">    </w:t>
      </w:r>
    </w:p>
    <w:p w:rsidR="000A4D1E" w:rsidRDefault="000A4D1E">
      <w:pPr>
        <w:rPr>
          <w:b/>
        </w:rPr>
      </w:pPr>
    </w:p>
    <w:p w:rsidR="000A4D1E" w:rsidRPr="006C57DC" w:rsidRDefault="000A4D1E">
      <w:pPr>
        <w:ind w:firstLine="720"/>
      </w:pPr>
      <w:r w:rsidRPr="006C57DC">
        <w:t xml:space="preserve">Importantly, effective IRR management not </w:t>
      </w:r>
      <w:r w:rsidR="00B716F6">
        <w:t>only involve</w:t>
      </w:r>
      <w:r w:rsidR="008B729D">
        <w:t>s</w:t>
      </w:r>
      <w:r w:rsidRPr="006C57DC">
        <w:t xml:space="preserve"> the identification and measurement of </w:t>
      </w:r>
      <w:r w:rsidR="00B716F6">
        <w:t>IRR</w:t>
      </w:r>
      <w:r w:rsidRPr="006C57DC">
        <w:t xml:space="preserve">, but </w:t>
      </w:r>
      <w:r w:rsidR="00573CD4">
        <w:t>also provides</w:t>
      </w:r>
      <w:r w:rsidR="00027FBE">
        <w:t xml:space="preserve"> for </w:t>
      </w:r>
      <w:r w:rsidRPr="006C57DC">
        <w:t xml:space="preserve">appropriate actions to control </w:t>
      </w:r>
      <w:r w:rsidR="00B716F6">
        <w:t xml:space="preserve">this </w:t>
      </w:r>
      <w:r w:rsidRPr="006C57DC">
        <w:t xml:space="preserve">risk. </w:t>
      </w:r>
      <w:r w:rsidR="00CA59AA">
        <w:t xml:space="preserve"> </w:t>
      </w:r>
      <w:r w:rsidRPr="006C57DC">
        <w:t>If an institution determines that its core earnings and capital are insufficient to support its</w:t>
      </w:r>
      <w:r w:rsidR="00B716F6">
        <w:t xml:space="preserve"> level of </w:t>
      </w:r>
      <w:r w:rsidRPr="006C57DC">
        <w:t>IRR, it should take steps to mitigate its exposure</w:t>
      </w:r>
      <w:r w:rsidR="00FB2E80">
        <w:t>,</w:t>
      </w:r>
      <w:r w:rsidR="002E2B64">
        <w:t xml:space="preserve"> </w:t>
      </w:r>
      <w:r w:rsidRPr="006C57DC">
        <w:t>increase its capital</w:t>
      </w:r>
      <w:r w:rsidR="00ED4D52">
        <w:t>, or both</w:t>
      </w:r>
      <w:r w:rsidR="00282F2A">
        <w:t>.</w:t>
      </w:r>
    </w:p>
    <w:p w:rsidR="000A4D1E" w:rsidRDefault="000A4D1E">
      <w:pPr>
        <w:rPr>
          <w:b/>
        </w:rPr>
      </w:pPr>
    </w:p>
    <w:p w:rsidR="000A4D1E" w:rsidRDefault="000A4D1E">
      <w:pPr>
        <w:rPr>
          <w:b/>
        </w:rPr>
      </w:pPr>
      <w:r>
        <w:rPr>
          <w:b/>
        </w:rPr>
        <w:t>Corporate Governance</w:t>
      </w:r>
    </w:p>
    <w:p w:rsidR="000A4D1E" w:rsidRDefault="000A4D1E"/>
    <w:p w:rsidR="000A4D1E" w:rsidRDefault="000A4D1E">
      <w:pPr>
        <w:autoSpaceDE w:val="0"/>
        <w:autoSpaceDN w:val="0"/>
        <w:adjustRightInd w:val="0"/>
        <w:ind w:firstLine="720"/>
      </w:pPr>
      <w:r>
        <w:t xml:space="preserve">Existing </w:t>
      </w:r>
      <w:r w:rsidR="0052050E">
        <w:t>inter</w:t>
      </w:r>
      <w:r>
        <w:t xml:space="preserve">agency and </w:t>
      </w:r>
      <w:r>
        <w:rPr>
          <w:color w:val="000000"/>
        </w:rPr>
        <w:t xml:space="preserve">international guidance identifies the </w:t>
      </w:r>
      <w:r>
        <w:t xml:space="preserve">board of directors as having the ultimate responsibility for the risks undertaken by an institution – including IRR.  As a result, </w:t>
      </w:r>
      <w:r w:rsidR="00573CD4">
        <w:t>the regulators</w:t>
      </w:r>
      <w:r>
        <w:t xml:space="preserve"> remind boards of directors that they should understand and be regularly informed </w:t>
      </w:r>
      <w:r w:rsidR="0038551C">
        <w:t xml:space="preserve">about </w:t>
      </w:r>
      <w:r w:rsidR="003974EC">
        <w:t xml:space="preserve">the level and trend of </w:t>
      </w:r>
      <w:r>
        <w:t>their institution</w:t>
      </w:r>
      <w:r w:rsidR="001818A9">
        <w:t>s’</w:t>
      </w:r>
      <w:r>
        <w:t xml:space="preserve"> IRR exposure.  The board of directors or its delegated committee of board members should oversee the establishment, approval, implementation</w:t>
      </w:r>
      <w:r w:rsidR="001818A9">
        <w:t>,</w:t>
      </w:r>
      <w:r>
        <w:t xml:space="preserve"> and annual review of IRR management strategies, policies, procedures</w:t>
      </w:r>
      <w:r w:rsidR="003974EC">
        <w:t>, and limits (or risk tolerances)</w:t>
      </w:r>
      <w:r>
        <w:t xml:space="preserve">.  </w:t>
      </w:r>
      <w:r w:rsidR="002E2B64">
        <w:t xml:space="preserve">Institutions should understand the implications of the IRR strategies they </w:t>
      </w:r>
      <w:r w:rsidR="002A18E9">
        <w:t>pursue</w:t>
      </w:r>
      <w:r w:rsidR="003367AE">
        <w:t xml:space="preserve">, </w:t>
      </w:r>
      <w:r w:rsidR="002A18E9">
        <w:t xml:space="preserve">including their </w:t>
      </w:r>
      <w:r w:rsidR="003367AE">
        <w:t xml:space="preserve">potential </w:t>
      </w:r>
      <w:r w:rsidR="001F0262">
        <w:t xml:space="preserve">impact on </w:t>
      </w:r>
      <w:r w:rsidR="003367AE">
        <w:t>market, liquidity, credit</w:t>
      </w:r>
      <w:r w:rsidR="001818A9">
        <w:t>,</w:t>
      </w:r>
      <w:r w:rsidR="003367AE">
        <w:t xml:space="preserve"> and operating risks.  </w:t>
      </w:r>
    </w:p>
    <w:p w:rsidR="000A4D1E" w:rsidRDefault="000A4D1E">
      <w:pPr>
        <w:autoSpaceDE w:val="0"/>
        <w:autoSpaceDN w:val="0"/>
        <w:adjustRightInd w:val="0"/>
        <w:ind w:firstLine="720"/>
      </w:pPr>
    </w:p>
    <w:p w:rsidR="000A4D1E" w:rsidRDefault="000A4D1E">
      <w:pPr>
        <w:autoSpaceDE w:val="0"/>
        <w:autoSpaceDN w:val="0"/>
        <w:adjustRightInd w:val="0"/>
        <w:ind w:firstLine="720"/>
      </w:pPr>
      <w:r>
        <w:rPr>
          <w:spacing w:val="6"/>
        </w:rPr>
        <w:t>S</w:t>
      </w:r>
      <w:r>
        <w:t>enior management is responsible for ensuring that board-approved strategies, policies</w:t>
      </w:r>
      <w:r w:rsidR="001818A9">
        <w:t>,</w:t>
      </w:r>
      <w:r w:rsidR="00555447">
        <w:t xml:space="preserve"> </w:t>
      </w:r>
      <w:r>
        <w:t xml:space="preserve">and procedures for managing </w:t>
      </w:r>
      <w:r w:rsidR="003974EC">
        <w:t xml:space="preserve">IRR </w:t>
      </w:r>
      <w:r>
        <w:t>are appropriately executed within the designated lines of authority and responsibility.</w:t>
      </w:r>
      <w:r w:rsidR="003974EC">
        <w:t xml:space="preserve">  </w:t>
      </w:r>
      <w:r>
        <w:t xml:space="preserve">Management also </w:t>
      </w:r>
      <w:r w:rsidR="001818A9">
        <w:t xml:space="preserve">is </w:t>
      </w:r>
      <w:r>
        <w:t>responsible for maintaining:</w:t>
      </w:r>
    </w:p>
    <w:p w:rsidR="002E2B64" w:rsidRDefault="002E2B64" w:rsidP="002E2B64">
      <w:pPr>
        <w:autoSpaceDE w:val="0"/>
        <w:autoSpaceDN w:val="0"/>
        <w:adjustRightInd w:val="0"/>
      </w:pPr>
    </w:p>
    <w:p w:rsidR="001818A9" w:rsidRDefault="00E950CE">
      <w:pPr>
        <w:numPr>
          <w:ilvl w:val="0"/>
          <w:numId w:val="1"/>
        </w:numPr>
        <w:autoSpaceDE w:val="0"/>
        <w:autoSpaceDN w:val="0"/>
        <w:adjustRightInd w:val="0"/>
      </w:pPr>
      <w:r>
        <w:t>A</w:t>
      </w:r>
      <w:r w:rsidR="000A4D1E">
        <w:t xml:space="preserve">ppropriate </w:t>
      </w:r>
      <w:r w:rsidR="00E337FC">
        <w:t>policies</w:t>
      </w:r>
      <w:r w:rsidR="00F1586E">
        <w:t>,</w:t>
      </w:r>
      <w:r w:rsidR="00DC6CD4">
        <w:t xml:space="preserve"> p</w:t>
      </w:r>
      <w:r w:rsidR="00E337FC">
        <w:t>rocedures</w:t>
      </w:r>
      <w:r w:rsidR="00F1586E">
        <w:t xml:space="preserve"> and internal controls</w:t>
      </w:r>
      <w:r w:rsidR="00E337FC">
        <w:t xml:space="preserve"> </w:t>
      </w:r>
      <w:r w:rsidR="00DA2FF2">
        <w:t xml:space="preserve">addressing </w:t>
      </w:r>
      <w:r w:rsidR="00E337FC">
        <w:t>IRR management</w:t>
      </w:r>
      <w:r w:rsidR="001818A9">
        <w:t>,</w:t>
      </w:r>
      <w:r w:rsidR="00E337FC">
        <w:t xml:space="preserve"> including </w:t>
      </w:r>
      <w:r w:rsidR="000A4D1E">
        <w:t xml:space="preserve">limits </w:t>
      </w:r>
      <w:r w:rsidR="003974EC">
        <w:t>and control</w:t>
      </w:r>
      <w:r w:rsidR="00E337FC">
        <w:t>s</w:t>
      </w:r>
      <w:r w:rsidR="003974EC">
        <w:t xml:space="preserve"> over</w:t>
      </w:r>
      <w:r w:rsidR="000A4D1E">
        <w:t xml:space="preserve"> risk taking to stay within board-approved tolerances</w:t>
      </w:r>
      <w:r w:rsidR="00224CA6">
        <w:t>;</w:t>
      </w:r>
      <w:r w:rsidR="008F3569">
        <w:t xml:space="preserve"> </w:t>
      </w:r>
    </w:p>
    <w:p w:rsidR="000A4D1E" w:rsidRDefault="00ED4D52">
      <w:pPr>
        <w:numPr>
          <w:ilvl w:val="0"/>
          <w:numId w:val="1"/>
        </w:numPr>
        <w:autoSpaceDE w:val="0"/>
        <w:autoSpaceDN w:val="0"/>
        <w:adjustRightInd w:val="0"/>
      </w:pPr>
      <w:r>
        <w:t xml:space="preserve">Comprehensive </w:t>
      </w:r>
      <w:r w:rsidR="00AE2E42">
        <w:t xml:space="preserve">systems and standards for measuring IRR, valuing positions, and assessing performance, </w:t>
      </w:r>
      <w:r w:rsidR="000A4D1E">
        <w:t xml:space="preserve"> including procedures for updating IRR measurement scenarios and key underlying assumptions driving the institution’s IRR </w:t>
      </w:r>
      <w:r w:rsidR="00544742">
        <w:t>analysis;</w:t>
      </w:r>
    </w:p>
    <w:p w:rsidR="00ED4D52" w:rsidRDefault="00E950CE">
      <w:pPr>
        <w:numPr>
          <w:ilvl w:val="0"/>
          <w:numId w:val="1"/>
        </w:numPr>
        <w:autoSpaceDE w:val="0"/>
        <w:autoSpaceDN w:val="0"/>
        <w:adjustRightInd w:val="0"/>
      </w:pPr>
      <w:r>
        <w:t>S</w:t>
      </w:r>
      <w:r w:rsidR="000A4D1E">
        <w:t xml:space="preserve">ufficiently detailed reporting processes to inform </w:t>
      </w:r>
      <w:r w:rsidR="00B716F6">
        <w:t>senior</w:t>
      </w:r>
      <w:r w:rsidR="000A4D1E">
        <w:t xml:space="preserve"> management and the board</w:t>
      </w:r>
      <w:r w:rsidR="007B4FF1">
        <w:t xml:space="preserve"> </w:t>
      </w:r>
      <w:r w:rsidR="001D395D">
        <w:t>o</w:t>
      </w:r>
      <w:r w:rsidR="00000F4D">
        <w:t>f</w:t>
      </w:r>
      <w:r w:rsidR="007B4FF1">
        <w:t xml:space="preserve"> the level of IRR exposure. </w:t>
      </w:r>
    </w:p>
    <w:p w:rsidR="00F1586E" w:rsidRDefault="00F1586E" w:rsidP="00F1586E">
      <w:pPr>
        <w:autoSpaceDE w:val="0"/>
        <w:autoSpaceDN w:val="0"/>
        <w:adjustRightInd w:val="0"/>
      </w:pPr>
    </w:p>
    <w:p w:rsidR="000A4D1E" w:rsidRDefault="00AD1301" w:rsidP="00D21B04">
      <w:pPr>
        <w:ind w:firstLine="720"/>
      </w:pPr>
      <w:r>
        <w:t xml:space="preserve"> </w:t>
      </w:r>
      <w:r w:rsidR="00FD352A">
        <w:t>A</w:t>
      </w:r>
      <w:r w:rsidR="00B716F6">
        <w:t>n</w:t>
      </w:r>
      <w:r w:rsidR="000A4D1E">
        <w:t xml:space="preserve"> institution’s IRR tolerance </w:t>
      </w:r>
      <w:r w:rsidR="00FD352A">
        <w:t xml:space="preserve">should be </w:t>
      </w:r>
      <w:r w:rsidR="000A4D1E">
        <w:t xml:space="preserve">communicated </w:t>
      </w:r>
      <w:r w:rsidR="00FD352A">
        <w:t xml:space="preserve">so </w:t>
      </w:r>
      <w:r w:rsidR="000A4D1E">
        <w:t xml:space="preserve">that the board of directors and </w:t>
      </w:r>
      <w:r w:rsidR="00B716F6">
        <w:t>senior</w:t>
      </w:r>
      <w:r w:rsidR="000A4D1E">
        <w:t xml:space="preserve"> management clearly understand the institution’s </w:t>
      </w:r>
      <w:r w:rsidR="003974EC">
        <w:t>risk tolerance limits</w:t>
      </w:r>
      <w:r w:rsidR="00FD352A">
        <w:t xml:space="preserve"> and approach</w:t>
      </w:r>
      <w:r w:rsidR="00382F97">
        <w:t xml:space="preserve"> to</w:t>
      </w:r>
      <w:r w:rsidR="003974EC">
        <w:t xml:space="preserve"> </w:t>
      </w:r>
      <w:r w:rsidR="000A4D1E">
        <w:t xml:space="preserve">managing the </w:t>
      </w:r>
      <w:r w:rsidR="003974EC">
        <w:t xml:space="preserve">impact of IRR on </w:t>
      </w:r>
      <w:r w:rsidR="000A4D1E">
        <w:t xml:space="preserve">earnings and capital adequacy.  IRR reports </w:t>
      </w:r>
      <w:r w:rsidR="00E92FD2">
        <w:t xml:space="preserve">distributed </w:t>
      </w:r>
      <w:r w:rsidR="000A4D1E">
        <w:t xml:space="preserve">to senior management and the board should provide aggregate information </w:t>
      </w:r>
      <w:r w:rsidR="00FD352A">
        <w:t xml:space="preserve">and </w:t>
      </w:r>
      <w:r w:rsidR="000A4D1E">
        <w:t xml:space="preserve">supporting detail </w:t>
      </w:r>
      <w:r w:rsidR="00FD352A">
        <w:t xml:space="preserve">that is sufficient </w:t>
      </w:r>
      <w:r w:rsidR="000A4D1E">
        <w:t>to enable them to assess the sensitivity of the institution</w:t>
      </w:r>
      <w:r w:rsidR="003367AE">
        <w:t xml:space="preserve"> </w:t>
      </w:r>
      <w:r w:rsidR="000A4D1E">
        <w:t xml:space="preserve">to changes in market </w:t>
      </w:r>
      <w:r w:rsidR="00382F97">
        <w:t xml:space="preserve">rates </w:t>
      </w:r>
      <w:r w:rsidR="000A4D1E">
        <w:t>and important assumptions</w:t>
      </w:r>
      <w:r w:rsidR="00382F97">
        <w:t xml:space="preserve"> underlying the metrics used. </w:t>
      </w:r>
      <w:r w:rsidR="000A4D1E">
        <w:t xml:space="preserve">  </w:t>
      </w:r>
      <w:r w:rsidR="00382F97">
        <w:t>I</w:t>
      </w:r>
      <w:r w:rsidR="000A4D1E">
        <w:t>nstitution</w:t>
      </w:r>
      <w:r w:rsidR="00382F97">
        <w:t xml:space="preserve">s </w:t>
      </w:r>
      <w:r w:rsidR="0035552A">
        <w:t>with</w:t>
      </w:r>
      <w:r w:rsidR="00382F97">
        <w:t xml:space="preserve"> </w:t>
      </w:r>
      <w:r w:rsidR="000A4D1E">
        <w:t>an Asset/Liability Committee (</w:t>
      </w:r>
      <w:smartTag w:uri="urn:schemas-microsoft-com:office:smarttags" w:element="Street">
        <w:r w:rsidR="000A4D1E">
          <w:t>ALCO</w:t>
        </w:r>
      </w:smartTag>
      <w:r w:rsidR="000A4D1E">
        <w:t>)</w:t>
      </w:r>
      <w:r w:rsidR="0035552A">
        <w:t>,</w:t>
      </w:r>
      <w:r w:rsidR="000A4D1E">
        <w:t xml:space="preserve"> or similar senior management </w:t>
      </w:r>
      <w:r w:rsidR="00952DE6">
        <w:t>committee</w:t>
      </w:r>
      <w:r w:rsidR="0035552A">
        <w:t>,</w:t>
      </w:r>
      <w:r w:rsidR="000A4D1E">
        <w:t xml:space="preserve"> </w:t>
      </w:r>
      <w:r w:rsidR="00382F97">
        <w:t>should ensure</w:t>
      </w:r>
      <w:r w:rsidR="000702F9">
        <w:t xml:space="preserve"> </w:t>
      </w:r>
      <w:r w:rsidR="000A4D1E">
        <w:t>the committee actively monitor</w:t>
      </w:r>
      <w:r w:rsidR="00382F97">
        <w:t>s</w:t>
      </w:r>
      <w:r w:rsidR="000A4D1E">
        <w:t xml:space="preserve"> the IRR profile and ha</w:t>
      </w:r>
      <w:r w:rsidR="00382F97">
        <w:t>s</w:t>
      </w:r>
      <w:r w:rsidR="000A4D1E">
        <w:t xml:space="preserve"> sufficiently broad representation across major functions that can </w:t>
      </w:r>
      <w:r w:rsidR="00DA6293">
        <w:t xml:space="preserve">directly or </w:t>
      </w:r>
      <w:r w:rsidR="00DA6293">
        <w:lastRenderedPageBreak/>
        <w:t xml:space="preserve">indirectly </w:t>
      </w:r>
      <w:r w:rsidR="003367AE">
        <w:t xml:space="preserve">influence </w:t>
      </w:r>
      <w:r w:rsidR="000A4D1E">
        <w:t xml:space="preserve">the institution’s IRR </w:t>
      </w:r>
      <w:r w:rsidR="00FD352A">
        <w:t>exposure</w:t>
      </w:r>
      <w:r w:rsidR="000A4D1E">
        <w:t xml:space="preserve"> (e.g., lending, investment securities, wholesale and retail funding).  </w:t>
      </w:r>
    </w:p>
    <w:p w:rsidR="000A4D1E" w:rsidRDefault="000A4D1E">
      <w:pPr>
        <w:autoSpaceDE w:val="0"/>
        <w:autoSpaceDN w:val="0"/>
        <w:adjustRightInd w:val="0"/>
      </w:pPr>
    </w:p>
    <w:p w:rsidR="000A4D1E" w:rsidRDefault="000A4D1E">
      <w:pPr>
        <w:autoSpaceDE w:val="0"/>
        <w:autoSpaceDN w:val="0"/>
        <w:adjustRightInd w:val="0"/>
        <w:rPr>
          <w:b/>
        </w:rPr>
      </w:pPr>
      <w:r>
        <w:rPr>
          <w:b/>
        </w:rPr>
        <w:t xml:space="preserve">Policies and Procedures </w:t>
      </w:r>
    </w:p>
    <w:p w:rsidR="000A4D1E" w:rsidRDefault="000A4D1E">
      <w:pPr>
        <w:autoSpaceDE w:val="0"/>
        <w:autoSpaceDN w:val="0"/>
        <w:adjustRightInd w:val="0"/>
      </w:pPr>
    </w:p>
    <w:p w:rsidR="00881EB9" w:rsidRDefault="000A4D1E" w:rsidP="00881EB9">
      <w:pPr>
        <w:autoSpaceDE w:val="0"/>
        <w:autoSpaceDN w:val="0"/>
        <w:adjustRightInd w:val="0"/>
        <w:ind w:firstLine="720"/>
      </w:pPr>
      <w:r>
        <w:t>Institutions are expected to have comprehensive policies and procedures governing all aspects of the</w:t>
      </w:r>
      <w:r w:rsidR="00E76A9F">
        <w:t>ir</w:t>
      </w:r>
      <w:r>
        <w:t xml:space="preserve"> IRR management process.  </w:t>
      </w:r>
      <w:r w:rsidR="00FC2BD1">
        <w:t xml:space="preserve">Such policies and procedures should ensure the </w:t>
      </w:r>
      <w:r>
        <w:t xml:space="preserve">IRR implications of </w:t>
      </w:r>
      <w:r w:rsidR="00F1586E">
        <w:t xml:space="preserve">significant </w:t>
      </w:r>
      <w:r>
        <w:t xml:space="preserve">new </w:t>
      </w:r>
      <w:r w:rsidR="00ED4D52">
        <w:t xml:space="preserve">strategies, </w:t>
      </w:r>
      <w:r>
        <w:t xml:space="preserve">products and </w:t>
      </w:r>
      <w:r w:rsidR="00382F97">
        <w:t>businesses</w:t>
      </w:r>
      <w:r w:rsidR="000B1ED5">
        <w:t xml:space="preserve"> </w:t>
      </w:r>
      <w:r w:rsidR="00FC2BD1">
        <w:t xml:space="preserve">are integrated into IRR </w:t>
      </w:r>
      <w:r>
        <w:t xml:space="preserve">management process. </w:t>
      </w:r>
      <w:r w:rsidR="001D395D">
        <w:t xml:space="preserve"> </w:t>
      </w:r>
      <w:r w:rsidR="00881EB9">
        <w:t xml:space="preserve">Policies and procedures also </w:t>
      </w:r>
      <w:r w:rsidR="00B35609">
        <w:t xml:space="preserve">should </w:t>
      </w:r>
      <w:r w:rsidR="00881EB9">
        <w:t xml:space="preserve">document and provide for controls over permissible hedging strategies and hedging instruments. </w:t>
      </w:r>
      <w:r w:rsidR="001D395D">
        <w:t xml:space="preserve"> </w:t>
      </w:r>
      <w:r w:rsidR="00DB611C">
        <w:t xml:space="preserve">Institutions should </w:t>
      </w:r>
      <w:r w:rsidR="00881EB9">
        <w:t>ensure</w:t>
      </w:r>
      <w:r w:rsidR="000702F9">
        <w:t xml:space="preserve"> </w:t>
      </w:r>
      <w:r w:rsidR="00881EB9">
        <w:t xml:space="preserve">the assessment of IRR is </w:t>
      </w:r>
      <w:r w:rsidR="00194EE2">
        <w:t>appropriately incorporated</w:t>
      </w:r>
      <w:r w:rsidR="00881EB9">
        <w:t xml:space="preserve"> in firm-wide risk management efforts</w:t>
      </w:r>
      <w:r w:rsidR="00DA2FF2">
        <w:t xml:space="preserve"> so </w:t>
      </w:r>
      <w:r w:rsidR="00573CD4">
        <w:t>that the</w:t>
      </w:r>
      <w:r w:rsidR="00881EB9">
        <w:t xml:space="preserve"> interrelationships between IRR and other risks are understood.  </w:t>
      </w:r>
    </w:p>
    <w:p w:rsidR="00881EB9" w:rsidRDefault="00881EB9">
      <w:pPr>
        <w:autoSpaceDE w:val="0"/>
        <w:autoSpaceDN w:val="0"/>
        <w:adjustRightInd w:val="0"/>
        <w:ind w:firstLine="720"/>
      </w:pPr>
    </w:p>
    <w:p w:rsidR="0004541B" w:rsidRDefault="000A4D1E">
      <w:pPr>
        <w:autoSpaceDE w:val="0"/>
        <w:autoSpaceDN w:val="0"/>
        <w:adjustRightInd w:val="0"/>
        <w:ind w:firstLine="720"/>
      </w:pPr>
      <w:r>
        <w:t xml:space="preserve">IRR tolerances </w:t>
      </w:r>
      <w:r w:rsidR="00FC2BD1">
        <w:t xml:space="preserve">articulated in an institution’s policies </w:t>
      </w:r>
      <w:r>
        <w:t xml:space="preserve">should be explicit and address the potential impact of changing interest rates </w:t>
      </w:r>
      <w:r w:rsidR="00E76A9F">
        <w:t>on</w:t>
      </w:r>
      <w:r>
        <w:t xml:space="preserve"> earnings and capital from a short</w:t>
      </w:r>
      <w:r w:rsidR="00E76A9F">
        <w:noBreakHyphen/>
        <w:t>term</w:t>
      </w:r>
      <w:r>
        <w:t xml:space="preserve"> and a long</w:t>
      </w:r>
      <w:r w:rsidR="00E76A9F">
        <w:noBreakHyphen/>
      </w:r>
      <w:r>
        <w:t xml:space="preserve">term perspective.  </w:t>
      </w:r>
      <w:r w:rsidR="00FA33FA">
        <w:t>Well-managed</w:t>
      </w:r>
      <w:r>
        <w:t xml:space="preserve"> institutions generally specify IRR tolerances in the context of scenarios of potential changes in market interest rates and a target or range for performance metrics. </w:t>
      </w:r>
      <w:r w:rsidR="00C94B17" w:rsidRPr="00B00AAB">
        <w:t>Institutions with significant exposures to basis risk</w:t>
      </w:r>
      <w:r w:rsidR="00E944AF">
        <w:t>,</w:t>
      </w:r>
      <w:r w:rsidR="00C94B17" w:rsidRPr="00B00AAB">
        <w:t xml:space="preserve"> yield curve risk</w:t>
      </w:r>
      <w:r w:rsidR="00BC6A10">
        <w:t xml:space="preserve"> </w:t>
      </w:r>
      <w:r w:rsidR="00C94B17" w:rsidRPr="00B00AAB">
        <w:t>or positions with explicit or embedded options should establish risk tolerances appropriate for these risks.</w:t>
      </w:r>
      <w:r w:rsidR="00C94B17">
        <w:t xml:space="preserve"> </w:t>
      </w:r>
    </w:p>
    <w:p w:rsidR="0004541B" w:rsidRDefault="0004541B">
      <w:pPr>
        <w:autoSpaceDE w:val="0"/>
        <w:autoSpaceDN w:val="0"/>
        <w:adjustRightInd w:val="0"/>
        <w:ind w:firstLine="720"/>
      </w:pPr>
    </w:p>
    <w:p w:rsidR="000A4D1E" w:rsidRDefault="000A4D1E">
      <w:pPr>
        <w:rPr>
          <w:b/>
        </w:rPr>
      </w:pPr>
      <w:r>
        <w:rPr>
          <w:b/>
        </w:rPr>
        <w:t>Measurement and Monitoring of IRR</w:t>
      </w:r>
    </w:p>
    <w:p w:rsidR="000A4D1E" w:rsidRDefault="000A4D1E"/>
    <w:p w:rsidR="000A4D1E" w:rsidRDefault="000A4D1E">
      <w:pPr>
        <w:ind w:firstLine="720"/>
      </w:pPr>
      <w:r>
        <w:t xml:space="preserve">Existing </w:t>
      </w:r>
      <w:r w:rsidR="0052050E">
        <w:t>inter</w:t>
      </w:r>
      <w:r>
        <w:t>agency guidance articulate</w:t>
      </w:r>
      <w:r w:rsidR="008336D4">
        <w:t>s</w:t>
      </w:r>
      <w:r>
        <w:t xml:space="preserve"> supervisors’ expectations that institutions have robust IRR measurement processes and systems to assess </w:t>
      </w:r>
      <w:r w:rsidR="00A96816">
        <w:t xml:space="preserve">exposures relative to established risk tolerances. </w:t>
      </w:r>
      <w:r>
        <w:t>Such systems should be commensurate with the size and complexity of the institution.  Although institutions may rely on third</w:t>
      </w:r>
      <w:r w:rsidR="008336D4">
        <w:noBreakHyphen/>
      </w:r>
      <w:r>
        <w:t xml:space="preserve">party </w:t>
      </w:r>
      <w:r w:rsidR="00423560">
        <w:t xml:space="preserve">IRR </w:t>
      </w:r>
      <w:r>
        <w:t>models, they are expected to fully understand the underlying analytics, assumptions, and methodologies</w:t>
      </w:r>
      <w:r w:rsidR="00BC6A10">
        <w:t xml:space="preserve"> </w:t>
      </w:r>
      <w:r>
        <w:t xml:space="preserve">and ensure such systems and processes are incorporated </w:t>
      </w:r>
      <w:r w:rsidR="00F3594C">
        <w:t xml:space="preserve">appropriately </w:t>
      </w:r>
      <w:r>
        <w:t>in the strategic (long</w:t>
      </w:r>
      <w:r>
        <w:noBreakHyphen/>
        <w:t xml:space="preserve">term) and tactical (short-term) management of IRR exposures.  </w:t>
      </w:r>
    </w:p>
    <w:p w:rsidR="00E049E4" w:rsidRDefault="00E049E4" w:rsidP="001E1504">
      <w:pPr>
        <w:ind w:firstLine="720"/>
      </w:pPr>
    </w:p>
    <w:p w:rsidR="00E049E4" w:rsidRDefault="00E049E4" w:rsidP="00E049E4">
      <w:pPr>
        <w:rPr>
          <w:b/>
        </w:rPr>
      </w:pPr>
      <w:r>
        <w:rPr>
          <w:b/>
          <w:i/>
        </w:rPr>
        <w:t>Measurement Methodologies</w:t>
      </w:r>
      <w:r>
        <w:rPr>
          <w:b/>
        </w:rPr>
        <w:t xml:space="preserve"> </w:t>
      </w:r>
    </w:p>
    <w:p w:rsidR="00BB7E8B" w:rsidRDefault="00BB7E8B" w:rsidP="00E049E4">
      <w:pPr>
        <w:rPr>
          <w:b/>
        </w:rPr>
      </w:pPr>
    </w:p>
    <w:p w:rsidR="00EF59D1" w:rsidRDefault="00EF59D1" w:rsidP="00EF59D1">
      <w:pPr>
        <w:ind w:firstLine="720"/>
        <w:rPr>
          <w:b/>
        </w:rPr>
      </w:pPr>
      <w:r>
        <w:t xml:space="preserve">Institutions use a variety of techniques to measure IRR exposure.  </w:t>
      </w:r>
      <w:r w:rsidR="00573CD4">
        <w:t>The regulators</w:t>
      </w:r>
      <w:r>
        <w:t xml:space="preserve"> continue to believe that well-managed institutions will consider earnings and economic perspectives when assessing the scope of their IRR exposure. Reduced earnings or outright losses adversely affect an institution’s liquidity and capital adequacy.  Evaluating the impact of adverse changes in an institution’s economic value also is useful as it can signal future earnings and capital problems.</w:t>
      </w:r>
      <w:r>
        <w:rPr>
          <w:rStyle w:val="FootnoteReference"/>
        </w:rPr>
        <w:footnoteReference w:id="5"/>
      </w:r>
      <w:r>
        <w:t xml:space="preserve">       </w:t>
      </w:r>
    </w:p>
    <w:p w:rsidR="00E049E4" w:rsidRDefault="00E049E4" w:rsidP="00E049E4">
      <w:pPr>
        <w:rPr>
          <w:b/>
        </w:rPr>
      </w:pPr>
    </w:p>
    <w:p w:rsidR="001E1504" w:rsidRDefault="00A00F83" w:rsidP="00A00F83">
      <w:r>
        <w:tab/>
      </w:r>
      <w:r w:rsidR="001E1504">
        <w:t>Although</w:t>
      </w:r>
      <w:r w:rsidR="00A322B2">
        <w:t xml:space="preserve"> </w:t>
      </w:r>
      <w:r w:rsidR="001E1504">
        <w:t xml:space="preserve">simple maturity gap analysis </w:t>
      </w:r>
      <w:r w:rsidR="00297085">
        <w:t xml:space="preserve">for assessing the impact of changes in market rates on earnings may continue to be a viable analytical tool for small institutions with less complex IRR profiles, </w:t>
      </w:r>
      <w:r w:rsidR="001E1504">
        <w:t xml:space="preserve">many institutions </w:t>
      </w:r>
      <w:r w:rsidR="00297085">
        <w:t xml:space="preserve">now </w:t>
      </w:r>
      <w:r w:rsidR="001E1504">
        <w:t>us</w:t>
      </w:r>
      <w:r w:rsidR="00816277">
        <w:t>e</w:t>
      </w:r>
      <w:r w:rsidR="001E1504">
        <w:t xml:space="preserve"> some form of simulation </w:t>
      </w:r>
      <w:r w:rsidR="001E1504">
        <w:lastRenderedPageBreak/>
        <w:t xml:space="preserve">modeling to measure </w:t>
      </w:r>
      <w:r w:rsidR="001E1504" w:rsidRPr="00B01CD8">
        <w:t>IRR</w:t>
      </w:r>
      <w:r w:rsidR="001E1504">
        <w:t xml:space="preserve"> exposure.  In fact, </w:t>
      </w:r>
      <w:r w:rsidR="00405445">
        <w:t xml:space="preserve">current </w:t>
      </w:r>
      <w:r w:rsidR="001E1504">
        <w:t xml:space="preserve">computer technology </w:t>
      </w:r>
      <w:r w:rsidR="00405445">
        <w:t>allows</w:t>
      </w:r>
      <w:r w:rsidR="001E1504">
        <w:t xml:space="preserve"> even some </w:t>
      </w:r>
      <w:r w:rsidR="000F3F2F">
        <w:t>smaller</w:t>
      </w:r>
      <w:r w:rsidR="001E1504">
        <w:t xml:space="preserve">, </w:t>
      </w:r>
      <w:r w:rsidR="000F3F2F">
        <w:t xml:space="preserve">less </w:t>
      </w:r>
      <w:r w:rsidR="001E1504">
        <w:t xml:space="preserve">sophisticated institutions to </w:t>
      </w:r>
      <w:r w:rsidR="00405445">
        <w:t>perform comprehensive</w:t>
      </w:r>
      <w:r w:rsidR="001E1504">
        <w:t xml:space="preserve"> simulation</w:t>
      </w:r>
      <w:r w:rsidR="00405445">
        <w:t>s</w:t>
      </w:r>
      <w:r w:rsidR="00281931">
        <w:t xml:space="preserve"> of the </w:t>
      </w:r>
      <w:r w:rsidR="00297085">
        <w:t xml:space="preserve">potential </w:t>
      </w:r>
      <w:r w:rsidR="00281931">
        <w:t xml:space="preserve">impact of changes in market rates on their earnings and capital. </w:t>
      </w:r>
      <w:r w:rsidR="005908BE">
        <w:t xml:space="preserve"> </w:t>
      </w:r>
      <w:r w:rsidR="00297085">
        <w:t xml:space="preserve">Most </w:t>
      </w:r>
      <w:r w:rsidR="005908BE">
        <w:t xml:space="preserve">institutions primarily </w:t>
      </w:r>
      <w:r w:rsidR="00414471">
        <w:t>use</w:t>
      </w:r>
      <w:r w:rsidR="005908BE">
        <w:t xml:space="preserve"> simulations </w:t>
      </w:r>
      <w:r w:rsidR="00414471">
        <w:t>to</w:t>
      </w:r>
      <w:r w:rsidR="00297085">
        <w:t xml:space="preserve"> assess </w:t>
      </w:r>
      <w:r w:rsidR="005908BE">
        <w:t>the impact of changing rates on earnings</w:t>
      </w:r>
      <w:r w:rsidR="00297085">
        <w:t xml:space="preserve">.  However, </w:t>
      </w:r>
      <w:r w:rsidR="005908BE">
        <w:t xml:space="preserve">many simulation models have the capability of forecasting the impacts on </w:t>
      </w:r>
      <w:r w:rsidR="00132DB1">
        <w:t xml:space="preserve">both </w:t>
      </w:r>
      <w:r w:rsidR="005908BE">
        <w:t xml:space="preserve">earnings and capital by generating pro-forma income statements and balance sheets.  </w:t>
      </w:r>
      <w:r w:rsidR="00297085">
        <w:t xml:space="preserve">Most also have </w:t>
      </w:r>
      <w:r w:rsidR="005908BE">
        <w:t xml:space="preserve">capabilities for assessing the impact of </w:t>
      </w:r>
      <w:r w:rsidR="004D24D3">
        <w:t xml:space="preserve">changing </w:t>
      </w:r>
      <w:r w:rsidR="005908BE">
        <w:t xml:space="preserve">rates on the market value of </w:t>
      </w:r>
      <w:r w:rsidR="008B0A97">
        <w:t>the balance sheet</w:t>
      </w:r>
      <w:r w:rsidR="004D24D3">
        <w:t xml:space="preserve">.  </w:t>
      </w:r>
      <w:r w:rsidR="00414471">
        <w:t>I</w:t>
      </w:r>
      <w:r w:rsidR="005908BE">
        <w:t>nstitutions are encouraged to use the full complement of analytical capabilities of the</w:t>
      </w:r>
      <w:r w:rsidR="00120661">
        <w:t>ir</w:t>
      </w:r>
      <w:r w:rsidR="005908BE">
        <w:t xml:space="preserve"> IRR simulation models</w:t>
      </w:r>
      <w:r w:rsidR="00120661">
        <w:t>.</w:t>
      </w:r>
    </w:p>
    <w:p w:rsidR="00881EB9" w:rsidRDefault="00881EB9" w:rsidP="001E1504">
      <w:pPr>
        <w:ind w:firstLine="720"/>
      </w:pPr>
    </w:p>
    <w:p w:rsidR="00405445" w:rsidRDefault="001E1504" w:rsidP="004D24D3">
      <w:pPr>
        <w:autoSpaceDE w:val="0"/>
        <w:autoSpaceDN w:val="0"/>
        <w:adjustRightInd w:val="0"/>
        <w:ind w:firstLine="720"/>
      </w:pPr>
      <w:r>
        <w:t xml:space="preserve">A key aspect </w:t>
      </w:r>
      <w:r w:rsidR="00281931">
        <w:t xml:space="preserve">of </w:t>
      </w:r>
      <w:r w:rsidR="004D24D3">
        <w:t xml:space="preserve">IRR </w:t>
      </w:r>
      <w:r w:rsidR="00281931">
        <w:t xml:space="preserve">simulation </w:t>
      </w:r>
      <w:r>
        <w:t>involves the selection of an appropriate time horizon</w:t>
      </w:r>
      <w:r w:rsidR="00405445">
        <w:t>(s)</w:t>
      </w:r>
      <w:r>
        <w:t xml:space="preserve"> </w:t>
      </w:r>
      <w:r w:rsidR="004D24D3">
        <w:t xml:space="preserve">over which to assess IRR exposures.  </w:t>
      </w:r>
      <w:r w:rsidR="00E11CE6">
        <w:t>S</w:t>
      </w:r>
      <w:r>
        <w:t>imulations can be performed over any time horizon</w:t>
      </w:r>
      <w:r w:rsidR="00120661">
        <w:t xml:space="preserve"> </w:t>
      </w:r>
      <w:r w:rsidR="00E11CE6">
        <w:t xml:space="preserve">and often </w:t>
      </w:r>
      <w:r w:rsidR="00A65521">
        <w:t xml:space="preserve">are </w:t>
      </w:r>
      <w:r w:rsidR="004F219E">
        <w:t>used to analyze</w:t>
      </w:r>
      <w:r w:rsidR="00882ABE">
        <w:t xml:space="preserve"> </w:t>
      </w:r>
      <w:r w:rsidR="00E11CE6">
        <w:t xml:space="preserve">multiple horizons </w:t>
      </w:r>
      <w:r w:rsidR="00000F4D">
        <w:t>identify</w:t>
      </w:r>
      <w:r w:rsidR="004F219E">
        <w:t>ing</w:t>
      </w:r>
      <w:r w:rsidR="00E11CE6">
        <w:t xml:space="preserve"> short-term, intermediate-term, and long-term risk.</w:t>
      </w:r>
      <w:r w:rsidR="004D24D3">
        <w:t xml:space="preserve">  </w:t>
      </w:r>
      <w:r w:rsidR="00613F30">
        <w:t xml:space="preserve">When using earnings simulation models, </w:t>
      </w:r>
      <w:r w:rsidR="004D24D3">
        <w:t xml:space="preserve">IRR exposures are best projected </w:t>
      </w:r>
      <w:r w:rsidR="00613F30">
        <w:t xml:space="preserve">over </w:t>
      </w:r>
      <w:r w:rsidR="004D24D3">
        <w:t>at least</w:t>
      </w:r>
      <w:r w:rsidR="00613F30">
        <w:t xml:space="preserve"> a </w:t>
      </w:r>
      <w:r w:rsidR="004D24D3">
        <w:t>two</w:t>
      </w:r>
      <w:r w:rsidR="00120661">
        <w:t>-</w:t>
      </w:r>
      <w:r w:rsidR="004D24D3">
        <w:t>year</w:t>
      </w:r>
      <w:r w:rsidR="00613F30">
        <w:t xml:space="preserve"> period. Using a two</w:t>
      </w:r>
      <w:r w:rsidR="00120661">
        <w:t>-</w:t>
      </w:r>
      <w:r w:rsidR="00613F30">
        <w:t xml:space="preserve">year time frame will better capture </w:t>
      </w:r>
      <w:r w:rsidR="004D24D3">
        <w:t>the true impact of important transactions, tactics</w:t>
      </w:r>
      <w:r w:rsidR="00120661">
        <w:t>,</w:t>
      </w:r>
      <w:r w:rsidR="004D24D3">
        <w:t xml:space="preserve"> and strategies taken to increase revenues </w:t>
      </w:r>
      <w:r w:rsidR="00613F30">
        <w:t xml:space="preserve">which </w:t>
      </w:r>
      <w:r w:rsidR="004D24D3">
        <w:t xml:space="preserve">can be hidden by viewing projected results within shorter time horizons.  However, to fully assess the </w:t>
      </w:r>
      <w:r w:rsidR="00B62974">
        <w:t xml:space="preserve">impacts </w:t>
      </w:r>
      <w:r w:rsidR="00462EAB">
        <w:t>of</w:t>
      </w:r>
      <w:r w:rsidR="00E049E4">
        <w:t xml:space="preserve"> </w:t>
      </w:r>
      <w:r w:rsidR="00405445">
        <w:t>certain products</w:t>
      </w:r>
      <w:r w:rsidR="005C0CF4">
        <w:t xml:space="preserve"> with embedded options</w:t>
      </w:r>
      <w:r w:rsidR="00877D96">
        <w:t>,</w:t>
      </w:r>
      <w:r w:rsidR="00405445">
        <w:t xml:space="preserve"> </w:t>
      </w:r>
      <w:r w:rsidR="00B62974">
        <w:t xml:space="preserve">longer time horizons of </w:t>
      </w:r>
      <w:r w:rsidR="00613F30">
        <w:t xml:space="preserve">five </w:t>
      </w:r>
      <w:r w:rsidR="00B62974">
        <w:t xml:space="preserve">to seven years </w:t>
      </w:r>
      <w:r w:rsidR="00613F30">
        <w:t xml:space="preserve">are </w:t>
      </w:r>
      <w:r w:rsidR="00414471">
        <w:t>typically</w:t>
      </w:r>
      <w:r w:rsidR="00B62974">
        <w:t xml:space="preserve"> </w:t>
      </w:r>
      <w:r w:rsidR="00613F30">
        <w:t>needed</w:t>
      </w:r>
      <w:r w:rsidR="00B62974">
        <w:t xml:space="preserve">. </w:t>
      </w:r>
    </w:p>
    <w:p w:rsidR="001E1504" w:rsidRDefault="001E1504" w:rsidP="001E1504">
      <w:pPr>
        <w:ind w:firstLine="720"/>
      </w:pPr>
    </w:p>
    <w:p w:rsidR="001E1504" w:rsidRDefault="001E1504" w:rsidP="001E1504">
      <w:pPr>
        <w:ind w:firstLine="720"/>
      </w:pPr>
      <w:r>
        <w:t>In general, simulation models can be either static or dynamic</w:t>
      </w:r>
      <w:r w:rsidR="00120661">
        <w:t>.</w:t>
      </w:r>
      <w:r w:rsidR="004A1E01">
        <w:t xml:space="preserve"> </w:t>
      </w:r>
      <w:r>
        <w:t xml:space="preserve">Static simulation models </w:t>
      </w:r>
      <w:r w:rsidR="00120661">
        <w:t xml:space="preserve">are </w:t>
      </w:r>
      <w:r>
        <w:t>based on current exposures and assume</w:t>
      </w:r>
      <w:r w:rsidR="00882ABE">
        <w:t xml:space="preserve"> </w:t>
      </w:r>
      <w:r w:rsidR="00F46B1B">
        <w:t xml:space="preserve">a constant balance sheet with </w:t>
      </w:r>
      <w:r>
        <w:t xml:space="preserve">no new growth.  In contrast, dynamic simulation models rely on detailed assumptions regarding changes in existing business lines, new business, and changes in management and customer behavior.  </w:t>
      </w:r>
      <w:r w:rsidR="00B62974">
        <w:t>B</w:t>
      </w:r>
      <w:r>
        <w:t>oth techniques are capable of incorporating assumptions about the future path of interest rates using simple deterministic scenario analysis</w:t>
      </w:r>
      <w:r w:rsidR="00E11CE6">
        <w:t>,</w:t>
      </w:r>
      <w:r>
        <w:t xml:space="preserve"> more sophisticated stochastic-path techniques</w:t>
      </w:r>
      <w:r w:rsidR="00E11CE6">
        <w:t>,</w:t>
      </w:r>
      <w:r>
        <w:t xml:space="preserve"> </w:t>
      </w:r>
      <w:r w:rsidR="00E11CE6">
        <w:t xml:space="preserve">or </w:t>
      </w:r>
      <w:smartTag w:uri="urn:schemas-microsoft-com:office:smarttags" w:element="place">
        <w:r>
          <w:t>Monte Carlo</w:t>
        </w:r>
      </w:smartTag>
      <w:r>
        <w:t xml:space="preserve"> simulation</w:t>
      </w:r>
      <w:r w:rsidR="000F3F2F">
        <w:t>s</w:t>
      </w:r>
      <w:r>
        <w:t>.</w:t>
      </w:r>
    </w:p>
    <w:p w:rsidR="001E1504" w:rsidRDefault="001E1504" w:rsidP="001E1504"/>
    <w:p w:rsidR="001E1504" w:rsidRDefault="001E1504" w:rsidP="001E1504">
      <w:pPr>
        <w:ind w:firstLine="720"/>
      </w:pPr>
      <w:r>
        <w:t xml:space="preserve">Dynamic earnings simulation models </w:t>
      </w:r>
      <w:r w:rsidR="001E73AD">
        <w:t xml:space="preserve">can be useful </w:t>
      </w:r>
      <w:r>
        <w:t>for business planning and budgeting purposes.  However, dynamic simulation is highly dependent on key variables and assumptions that are extremely difficult to project with accuracy over an extended period</w:t>
      </w:r>
      <w:r w:rsidR="003B77AD">
        <w:t>.</w:t>
      </w:r>
      <w:r w:rsidR="004A1E01">
        <w:t xml:space="preserve">  </w:t>
      </w:r>
      <w:r>
        <w:t xml:space="preserve">Furthermore, model assumptions can potentially hide certain key underlying risk exposures.  As such, </w:t>
      </w:r>
      <w:r w:rsidR="008B14F0">
        <w:t xml:space="preserve">when performing dynamic simulations, </w:t>
      </w:r>
      <w:r>
        <w:t xml:space="preserve">institutions </w:t>
      </w:r>
      <w:r w:rsidR="00B62974">
        <w:t xml:space="preserve">should </w:t>
      </w:r>
      <w:r w:rsidR="00F46B1B">
        <w:t xml:space="preserve">also </w:t>
      </w:r>
      <w:r w:rsidR="008B14F0">
        <w:t>run</w:t>
      </w:r>
      <w:r>
        <w:t xml:space="preserve"> </w:t>
      </w:r>
      <w:r w:rsidRPr="008B14F0">
        <w:t xml:space="preserve">static </w:t>
      </w:r>
      <w:r>
        <w:t>simulation</w:t>
      </w:r>
      <w:r w:rsidR="008B14F0">
        <w:t>s</w:t>
      </w:r>
      <w:r>
        <w:t xml:space="preserve"> </w:t>
      </w:r>
      <w:r w:rsidR="003B77AD">
        <w:t xml:space="preserve">to </w:t>
      </w:r>
      <w:r>
        <w:t>provide</w:t>
      </w:r>
      <w:r w:rsidR="00777141">
        <w:t xml:space="preserve"> </w:t>
      </w:r>
      <w:r>
        <w:t xml:space="preserve">ALCO </w:t>
      </w:r>
      <w:r w:rsidR="00B62974">
        <w:t xml:space="preserve">or senior </w:t>
      </w:r>
      <w:r w:rsidR="004A1E01">
        <w:t>management a</w:t>
      </w:r>
      <w:r>
        <w:t xml:space="preserve"> complete </w:t>
      </w:r>
      <w:r w:rsidR="00ED3BE8">
        <w:t xml:space="preserve">and </w:t>
      </w:r>
      <w:r w:rsidR="005009A3">
        <w:t xml:space="preserve">comparative </w:t>
      </w:r>
      <w:r>
        <w:t xml:space="preserve">description of </w:t>
      </w:r>
      <w:r w:rsidR="00ED3BE8">
        <w:t>the institution</w:t>
      </w:r>
      <w:r w:rsidR="001E73AD">
        <w:t>’</w:t>
      </w:r>
      <w:r w:rsidR="00ED3BE8">
        <w:t>s IRR exposure</w:t>
      </w:r>
      <w:r w:rsidR="00000F4D">
        <w:t xml:space="preserve">. </w:t>
      </w:r>
      <w:r w:rsidR="00ED3BE8">
        <w:t xml:space="preserve"> </w:t>
      </w:r>
    </w:p>
    <w:p w:rsidR="001E1504" w:rsidRDefault="001E1504" w:rsidP="001E1504">
      <w:pPr>
        <w:autoSpaceDE w:val="0"/>
        <w:autoSpaceDN w:val="0"/>
        <w:adjustRightInd w:val="0"/>
      </w:pPr>
    </w:p>
    <w:p w:rsidR="001E1504" w:rsidRDefault="001E1504" w:rsidP="001E1504">
      <w:pPr>
        <w:ind w:firstLine="720"/>
      </w:pPr>
      <w:r>
        <w:t xml:space="preserve">Despite </w:t>
      </w:r>
      <w:r w:rsidR="005009A3">
        <w:t>their</w:t>
      </w:r>
      <w:r>
        <w:t xml:space="preserve"> many benefits</w:t>
      </w:r>
      <w:r w:rsidR="003B77AD">
        <w:t>,</w:t>
      </w:r>
      <w:r>
        <w:t xml:space="preserve"> </w:t>
      </w:r>
      <w:r w:rsidR="00E944AF">
        <w:t xml:space="preserve">both static and dynamic earnings </w:t>
      </w:r>
      <w:r w:rsidR="00CD1046">
        <w:t>simulations</w:t>
      </w:r>
      <w:r>
        <w:t xml:space="preserve"> </w:t>
      </w:r>
      <w:r w:rsidR="00E944AF">
        <w:t>have</w:t>
      </w:r>
      <w:r>
        <w:t xml:space="preserve"> limitations </w:t>
      </w:r>
      <w:r w:rsidR="00B62974">
        <w:t xml:space="preserve">in quantifying </w:t>
      </w:r>
      <w:r>
        <w:t>IRR</w:t>
      </w:r>
      <w:r w:rsidR="00CD1046">
        <w:t xml:space="preserve"> exposure</w:t>
      </w:r>
      <w:r w:rsidR="00B62974">
        <w:t xml:space="preserve">.  As a result, economic value methodologies should </w:t>
      </w:r>
      <w:r w:rsidR="00CD1046">
        <w:t xml:space="preserve">also </w:t>
      </w:r>
      <w:r w:rsidR="00B62974">
        <w:t xml:space="preserve">be </w:t>
      </w:r>
      <w:r w:rsidR="003B77AD">
        <w:t xml:space="preserve">used </w:t>
      </w:r>
      <w:r w:rsidR="00B62974">
        <w:t>to broaden the assessment of IRR exposure.</w:t>
      </w:r>
      <w:r>
        <w:rPr>
          <w:rStyle w:val="FootnoteReference"/>
        </w:rPr>
        <w:footnoteReference w:id="6"/>
      </w:r>
      <w:r w:rsidR="002C4ACE">
        <w:t xml:space="preserve"> </w:t>
      </w:r>
      <w:r w:rsidR="00837524">
        <w:t xml:space="preserve"> </w:t>
      </w:r>
      <w:r w:rsidR="00777141">
        <w:t>Economic value</w:t>
      </w:r>
      <w:r w:rsidR="00777141">
        <w:noBreakHyphen/>
      </w:r>
      <w:r>
        <w:t>based methodologies measure the degree to which the economic values of an institution’s positions change under different interest rate scenarios.  The economic-value approach focuses on a longer-term time horizon</w:t>
      </w:r>
      <w:r w:rsidR="00E81C36">
        <w:t xml:space="preserve">, </w:t>
      </w:r>
      <w:r>
        <w:t xml:space="preserve">captures all future cash flows expected from </w:t>
      </w:r>
      <w:r>
        <w:lastRenderedPageBreak/>
        <w:t xml:space="preserve">existing assets </w:t>
      </w:r>
      <w:r w:rsidR="00C0072A">
        <w:t xml:space="preserve">and </w:t>
      </w:r>
      <w:r>
        <w:t xml:space="preserve">liabilities, </w:t>
      </w:r>
      <w:r w:rsidR="00C0072A">
        <w:t xml:space="preserve">and </w:t>
      </w:r>
      <w:r w:rsidR="002C7F92">
        <w:t xml:space="preserve">is more effective in considering </w:t>
      </w:r>
      <w:r>
        <w:t xml:space="preserve">embedded options in a typical institution’s portfolio.  </w:t>
      </w:r>
    </w:p>
    <w:p w:rsidR="00E11CE6" w:rsidRDefault="00E11CE6" w:rsidP="001E1504">
      <w:pPr>
        <w:ind w:firstLine="720"/>
      </w:pPr>
    </w:p>
    <w:p w:rsidR="001E1504" w:rsidRDefault="001E1504" w:rsidP="001E1504">
      <w:r>
        <w:tab/>
        <w:t>In general, most economic value models use a static approach in that the analysis typically does not incorporate new business</w:t>
      </w:r>
      <w:r w:rsidR="00777141">
        <w:t>; rather, the analysis</w:t>
      </w:r>
      <w:r>
        <w:t xml:space="preserve"> shows a snapshot in time of the risk inherent in the portfolio or balance sheet.  </w:t>
      </w:r>
      <w:r w:rsidR="003311E7">
        <w:t>However,</w:t>
      </w:r>
      <w:r>
        <w:t xml:space="preserve"> some institutions have started to incorporate dynamic </w:t>
      </w:r>
      <w:r w:rsidR="00E11CE6">
        <w:t>modeling</w:t>
      </w:r>
      <w:r>
        <w:t xml:space="preserve"> techniques that provide forward</w:t>
      </w:r>
      <w:r w:rsidR="00777141">
        <w:noBreakHyphen/>
      </w:r>
      <w:r>
        <w:t xml:space="preserve">looking estimates of economic value.    </w:t>
      </w:r>
    </w:p>
    <w:p w:rsidR="00E049E4" w:rsidRDefault="00E049E4" w:rsidP="001E1504"/>
    <w:p w:rsidR="001E1504" w:rsidRDefault="001E1504" w:rsidP="001216BB">
      <w:pPr>
        <w:autoSpaceDE w:val="0"/>
        <w:autoSpaceDN w:val="0"/>
        <w:adjustRightInd w:val="0"/>
        <w:ind w:firstLine="720"/>
      </w:pPr>
      <w:r>
        <w:t>Institutions are encouraged to use a variety of measurement methods to assess their IRR profile.  Regardless of the method</w:t>
      </w:r>
      <w:r w:rsidR="008C0A1A">
        <w:t>s</w:t>
      </w:r>
      <w:r>
        <w:t xml:space="preserve"> used, an institution’s IRR measurement system should be </w:t>
      </w:r>
      <w:r w:rsidR="00C066F2">
        <w:t xml:space="preserve">sufficiently </w:t>
      </w:r>
      <w:r>
        <w:t>robust</w:t>
      </w:r>
      <w:r w:rsidR="00C066F2">
        <w:t xml:space="preserve"> </w:t>
      </w:r>
      <w:r>
        <w:t xml:space="preserve">to capture all material </w:t>
      </w:r>
      <w:r w:rsidR="00306871">
        <w:t xml:space="preserve">on and off-balance sheet </w:t>
      </w:r>
      <w:r>
        <w:t>positions and incorporate a stress</w:t>
      </w:r>
      <w:r w:rsidR="00C066F2">
        <w:t>-</w:t>
      </w:r>
      <w:r>
        <w:t xml:space="preserve">testing process to identify and quantify the institution’s IRR exposure and potential problem areas.  </w:t>
      </w:r>
    </w:p>
    <w:p w:rsidR="001E1504" w:rsidRDefault="001E1504" w:rsidP="001E1504"/>
    <w:p w:rsidR="000A4D1E" w:rsidRDefault="000A4D1E">
      <w:pPr>
        <w:rPr>
          <w:b/>
        </w:rPr>
      </w:pPr>
      <w:r>
        <w:rPr>
          <w:b/>
          <w:i/>
        </w:rPr>
        <w:t>Stress Testing</w:t>
      </w:r>
      <w:r>
        <w:rPr>
          <w:b/>
        </w:rPr>
        <w:t xml:space="preserve"> </w:t>
      </w:r>
    </w:p>
    <w:p w:rsidR="000A4D1E" w:rsidRDefault="000A4D1E">
      <w:pPr>
        <w:rPr>
          <w:b/>
        </w:rPr>
      </w:pPr>
      <w:r>
        <w:rPr>
          <w:b/>
        </w:rPr>
        <w:t xml:space="preserve"> </w:t>
      </w:r>
    </w:p>
    <w:p w:rsidR="00162F70" w:rsidRDefault="00573CD4" w:rsidP="0082379E">
      <w:pPr>
        <w:ind w:firstLine="720"/>
      </w:pPr>
      <w:r>
        <w:t>The regulators</w:t>
      </w:r>
      <w:r w:rsidR="000A4D1E">
        <w:t xml:space="preserve"> remind institutions that stress testing</w:t>
      </w:r>
      <w:r w:rsidR="00CD1046">
        <w:t xml:space="preserve">, which includes both scenario </w:t>
      </w:r>
      <w:r w:rsidR="001E11EA">
        <w:t>and sensitivity analysis</w:t>
      </w:r>
      <w:r w:rsidR="00CD1046">
        <w:t>,</w:t>
      </w:r>
      <w:r w:rsidR="000A4D1E">
        <w:t xml:space="preserve"> is an integral component of IRR management</w:t>
      </w:r>
      <w:r w:rsidR="006D0565">
        <w:t xml:space="preserve">.  </w:t>
      </w:r>
      <w:r w:rsidR="003244B5">
        <w:t>In general</w:t>
      </w:r>
      <w:r w:rsidR="006D0565">
        <w:t>,</w:t>
      </w:r>
      <w:r w:rsidR="003244B5">
        <w:t xml:space="preserve"> scenario analysis uses the model to predict a possible future outcome giv</w:t>
      </w:r>
      <w:r w:rsidR="006D0565">
        <w:t xml:space="preserve">en an event or series of events, while </w:t>
      </w:r>
      <w:r w:rsidR="003244B5">
        <w:t>sensitivity analysis tests a model’s parameters without relating those changes to an underlying event or real world outcome.</w:t>
      </w:r>
      <w:r w:rsidR="00F40F32">
        <w:rPr>
          <w:rStyle w:val="FootnoteReference"/>
        </w:rPr>
        <w:footnoteReference w:id="7"/>
      </w:r>
      <w:r w:rsidR="003244B5">
        <w:t xml:space="preserve"> </w:t>
      </w:r>
    </w:p>
    <w:p w:rsidR="00162F70" w:rsidRDefault="00162F70" w:rsidP="0082379E">
      <w:pPr>
        <w:ind w:firstLine="720"/>
      </w:pPr>
    </w:p>
    <w:p w:rsidR="000A4D1E" w:rsidRDefault="006D0565" w:rsidP="003244B5">
      <w:pPr>
        <w:ind w:firstLine="720"/>
      </w:pPr>
      <w:r>
        <w:t>When conducting scenario analyses, i</w:t>
      </w:r>
      <w:r w:rsidR="00462EAB">
        <w:t xml:space="preserve">nstitutions should assess a range of alternative future interest rate scenarios in evaluating IRR exposure. This </w:t>
      </w:r>
      <w:r w:rsidR="000A4D1E">
        <w:t xml:space="preserve">range </w:t>
      </w:r>
      <w:r w:rsidR="00462EAB">
        <w:t xml:space="preserve">should be </w:t>
      </w:r>
      <w:r w:rsidR="000A4D1E">
        <w:t xml:space="preserve">sufficiently meaningful to </w:t>
      </w:r>
      <w:r w:rsidR="00462EAB">
        <w:t xml:space="preserve">fully </w:t>
      </w:r>
      <w:r w:rsidR="000A4D1E">
        <w:t>identify basis risk</w:t>
      </w:r>
      <w:r w:rsidR="00CD1046">
        <w:t xml:space="preserve">, yield curve risk </w:t>
      </w:r>
      <w:r w:rsidR="000A4D1E">
        <w:t xml:space="preserve">and the risks of embedded options.  </w:t>
      </w:r>
      <w:r w:rsidR="000A4D1E" w:rsidRPr="00132DB1">
        <w:t xml:space="preserve">In many cases, static interest rate shocks consisting of parallel shifts in the yield curve of </w:t>
      </w:r>
      <w:r w:rsidR="00B1492F" w:rsidRPr="00132DB1">
        <w:t xml:space="preserve">plus and minus </w:t>
      </w:r>
      <w:r w:rsidR="000A4D1E" w:rsidRPr="00132DB1">
        <w:t xml:space="preserve">200 basis points </w:t>
      </w:r>
      <w:r w:rsidR="00B1492F" w:rsidRPr="00132DB1">
        <w:t xml:space="preserve">may </w:t>
      </w:r>
      <w:r w:rsidR="000A4D1E" w:rsidRPr="00132DB1">
        <w:t xml:space="preserve">not be sufficient to </w:t>
      </w:r>
      <w:r w:rsidR="001E16C9" w:rsidRPr="00132DB1">
        <w:t>adequately</w:t>
      </w:r>
      <w:r w:rsidR="000A4D1E" w:rsidRPr="00132DB1">
        <w:t xml:space="preserve"> assess an institution’s IRR exposure.  As a result,</w:t>
      </w:r>
      <w:r w:rsidR="000A4D1E">
        <w:t xml:space="preserve"> institutions should regularly assess IRR exposures beyond </w:t>
      </w:r>
      <w:r w:rsidR="000F3F2F" w:rsidRPr="000F3F2F">
        <w:t xml:space="preserve">typical </w:t>
      </w:r>
      <w:r w:rsidR="000A4D1E" w:rsidRPr="000F3F2F">
        <w:t>industry convention</w:t>
      </w:r>
      <w:r w:rsidR="000F3F2F" w:rsidRPr="000F3F2F">
        <w:t>s</w:t>
      </w:r>
      <w:r w:rsidR="000A4D1E" w:rsidRPr="000F3F2F">
        <w:t xml:space="preserve">, </w:t>
      </w:r>
      <w:r w:rsidR="00B1492F" w:rsidRPr="000F3F2F">
        <w:t xml:space="preserve">including changes in rates </w:t>
      </w:r>
      <w:r w:rsidR="000A4D1E" w:rsidRPr="000F3F2F">
        <w:t>of greater magnitude (e.g., up and down</w:t>
      </w:r>
      <w:r w:rsidR="000A4D1E">
        <w:t xml:space="preserve"> 300 and 400 basis points)</w:t>
      </w:r>
      <w:r w:rsidR="00132DB1">
        <w:t xml:space="preserve"> </w:t>
      </w:r>
      <w:r w:rsidR="00B1492F">
        <w:t xml:space="preserve">across different tenors to reflect changing slopes </w:t>
      </w:r>
      <w:r w:rsidR="001E16C9">
        <w:t xml:space="preserve">and twists </w:t>
      </w:r>
      <w:r w:rsidR="00B1492F">
        <w:t xml:space="preserve">of the </w:t>
      </w:r>
      <w:r w:rsidR="000A4D1E">
        <w:t xml:space="preserve">yield curve.  </w:t>
      </w:r>
      <w:r w:rsidR="008C5626">
        <w:t>Institutions should ensure the</w:t>
      </w:r>
      <w:r w:rsidR="0002617B">
        <w:t>ir</w:t>
      </w:r>
      <w:r w:rsidR="008C5626">
        <w:t xml:space="preserve"> scenarios</w:t>
      </w:r>
      <w:r w:rsidR="0002617B">
        <w:t xml:space="preserve"> </w:t>
      </w:r>
      <w:r w:rsidR="008C5626">
        <w:t xml:space="preserve">are </w:t>
      </w:r>
      <w:r w:rsidR="006015C6">
        <w:t>severe but plausible</w:t>
      </w:r>
      <w:r w:rsidR="008C5626">
        <w:t xml:space="preserve"> in light of the existing level of rates and the interest rate cycle.  For example, in low</w:t>
      </w:r>
      <w:r w:rsidR="0002617B">
        <w:t>-</w:t>
      </w:r>
      <w:r w:rsidR="008C5626">
        <w:t>rate environments, scenarios involving significant declines in market rates can be deemphasized in favor of increasing the number and size of alternative rising</w:t>
      </w:r>
      <w:r w:rsidR="0002617B">
        <w:t>-</w:t>
      </w:r>
      <w:r w:rsidR="008C5626">
        <w:t xml:space="preserve">rate scenarios. </w:t>
      </w:r>
    </w:p>
    <w:p w:rsidR="000A4D1E" w:rsidRDefault="000A4D1E">
      <w:pPr>
        <w:ind w:firstLine="360"/>
      </w:pPr>
    </w:p>
    <w:p w:rsidR="000A4D1E" w:rsidRDefault="000A4D1E" w:rsidP="00E950CE">
      <w:pPr>
        <w:ind w:firstLine="720"/>
      </w:pPr>
      <w:r>
        <w:t xml:space="preserve">Depending on </w:t>
      </w:r>
      <w:r w:rsidR="003060D6">
        <w:t xml:space="preserve">an </w:t>
      </w:r>
      <w:r>
        <w:t xml:space="preserve">institution’s </w:t>
      </w:r>
      <w:r w:rsidR="001E16C9">
        <w:t xml:space="preserve">IRR </w:t>
      </w:r>
      <w:r>
        <w:t>profile, stress scenarios should include</w:t>
      </w:r>
      <w:r w:rsidR="008C5626">
        <w:t xml:space="preserve"> but not be limited </w:t>
      </w:r>
      <w:r w:rsidR="008B0A97">
        <w:t>to</w:t>
      </w:r>
      <w:r>
        <w:t>:</w:t>
      </w:r>
    </w:p>
    <w:p w:rsidR="000A4D1E" w:rsidRDefault="000A4D1E">
      <w:r>
        <w:t xml:space="preserve"> </w:t>
      </w:r>
    </w:p>
    <w:p w:rsidR="000A4D1E" w:rsidRDefault="00414471">
      <w:pPr>
        <w:numPr>
          <w:ilvl w:val="0"/>
          <w:numId w:val="2"/>
        </w:numPr>
      </w:pPr>
      <w:r>
        <w:t>Instantaneous and significant</w:t>
      </w:r>
      <w:r w:rsidR="00DF3F12">
        <w:t xml:space="preserve"> </w:t>
      </w:r>
      <w:r w:rsidR="000A4D1E">
        <w:t>changes in the level of interest rates (instantaneous rate shocks);</w:t>
      </w:r>
    </w:p>
    <w:p w:rsidR="000A4D1E" w:rsidRDefault="00414471">
      <w:pPr>
        <w:numPr>
          <w:ilvl w:val="0"/>
          <w:numId w:val="2"/>
        </w:numPr>
      </w:pPr>
      <w:r>
        <w:t xml:space="preserve">Substantial </w:t>
      </w:r>
      <w:r w:rsidR="000A4D1E">
        <w:t>changes in rates over time (prolonged rate shocks);</w:t>
      </w:r>
    </w:p>
    <w:p w:rsidR="000A4D1E" w:rsidRDefault="00E60B3B">
      <w:pPr>
        <w:numPr>
          <w:ilvl w:val="0"/>
          <w:numId w:val="2"/>
        </w:numPr>
      </w:pPr>
      <w:r>
        <w:t>C</w:t>
      </w:r>
      <w:r w:rsidR="000A4D1E">
        <w:t xml:space="preserve">hanges in the relationships </w:t>
      </w:r>
      <w:r w:rsidR="008C5626">
        <w:t>between</w:t>
      </w:r>
      <w:r w:rsidR="000A4D1E">
        <w:t xml:space="preserve"> key market rates (i.e.</w:t>
      </w:r>
      <w:r w:rsidR="00A61FF2">
        <w:t>,</w:t>
      </w:r>
      <w:r w:rsidR="000A4D1E">
        <w:t xml:space="preserve"> basis risk);</w:t>
      </w:r>
      <w:r w:rsidR="00C40747">
        <w:t xml:space="preserve"> and</w:t>
      </w:r>
      <w:r w:rsidR="000A4D1E">
        <w:t xml:space="preserve"> </w:t>
      </w:r>
    </w:p>
    <w:p w:rsidR="00C40747" w:rsidRDefault="00E60B3B">
      <w:pPr>
        <w:numPr>
          <w:ilvl w:val="0"/>
          <w:numId w:val="2"/>
        </w:numPr>
      </w:pPr>
      <w:r>
        <w:lastRenderedPageBreak/>
        <w:t>C</w:t>
      </w:r>
      <w:r w:rsidR="000A4D1E">
        <w:t>hanges in the slope and the shape of the yield curve (i.e.</w:t>
      </w:r>
      <w:r w:rsidR="00A61FF2">
        <w:t>,</w:t>
      </w:r>
      <w:r w:rsidR="000A4D1E">
        <w:t xml:space="preserve"> yield curve risk)</w:t>
      </w:r>
      <w:r w:rsidR="00C40747">
        <w:t>.</w:t>
      </w:r>
    </w:p>
    <w:p w:rsidR="00470E9E" w:rsidRDefault="00470E9E" w:rsidP="00470E9E"/>
    <w:p w:rsidR="00470E9E" w:rsidRDefault="00573CD4" w:rsidP="00470E9E">
      <w:pPr>
        <w:ind w:firstLine="720"/>
      </w:pPr>
      <w:r>
        <w:t>The regulators</w:t>
      </w:r>
      <w:r w:rsidR="00470E9E">
        <w:t xml:space="preserve"> recognize that not all financial institutions will require the full range of the scenarios discussed above.  Non-complex institutions (e.g., institutions with limited embedded options or structured products on their balance sheet) may be able to justify running fewer or less intricate scenarios, depending on their IRR profile.  However, interest rate shocks of sufficient magnitude should be run, regardless of the institution’s size or complexity.  </w:t>
      </w:r>
      <w:r w:rsidR="00470E9E">
        <w:rPr>
          <w:rFonts w:cs="Arial"/>
          <w:szCs w:val="20"/>
        </w:rPr>
        <w:t>Institutions should ensure IRR exposures are incorporated and evaluated as part of the enterprise-wide risk identification and analysis process.</w:t>
      </w:r>
    </w:p>
    <w:p w:rsidR="000A4D1E" w:rsidRDefault="000A4D1E" w:rsidP="00C40747"/>
    <w:p w:rsidR="001D395D" w:rsidRDefault="00DE4EAF" w:rsidP="008B0A97">
      <w:pPr>
        <w:ind w:firstLine="720"/>
      </w:pPr>
      <w:r>
        <w:t>In addition</w:t>
      </w:r>
      <w:r w:rsidR="00470E9E">
        <w:t xml:space="preserve"> to scenario analysis</w:t>
      </w:r>
      <w:r>
        <w:t xml:space="preserve">, stress testing should include </w:t>
      </w:r>
      <w:r w:rsidR="00162F70">
        <w:t xml:space="preserve">a sensitivity analysis </w:t>
      </w:r>
      <w:r w:rsidR="00F40F32">
        <w:t>to help determine</w:t>
      </w:r>
      <w:r w:rsidR="00162F70">
        <w:t xml:space="preserve"> which assumptions have the most influence </w:t>
      </w:r>
      <w:r w:rsidR="00F40F32">
        <w:t>on</w:t>
      </w:r>
      <w:r w:rsidR="00162F70">
        <w:t xml:space="preserve"> model output. Institutions will generally focus more of their efforts in verifying the most influential assumption</w:t>
      </w:r>
      <w:r w:rsidR="00FF7070">
        <w:t>s.</w:t>
      </w:r>
      <w:r w:rsidR="00162F70">
        <w:t xml:space="preserve"> </w:t>
      </w:r>
      <w:r w:rsidR="004905EA">
        <w:t xml:space="preserve">Additionally, </w:t>
      </w:r>
      <w:r w:rsidR="00162F70">
        <w:t xml:space="preserve">sensitivity analysis </w:t>
      </w:r>
      <w:r w:rsidR="004905EA">
        <w:t xml:space="preserve">can be used </w:t>
      </w:r>
      <w:r>
        <w:t>to determine the conditions under which key business assumptions and model parameters break down or when IRR may be exacerbated by other risks</w:t>
      </w:r>
      <w:r w:rsidR="00F92610">
        <w:t xml:space="preserve"> </w:t>
      </w:r>
      <w:r>
        <w:t xml:space="preserve">or </w:t>
      </w:r>
      <w:r w:rsidR="00F92610">
        <w:t>earnings pressure</w:t>
      </w:r>
      <w:r w:rsidR="005009A3">
        <w:t>s</w:t>
      </w:r>
      <w:r w:rsidR="00F92610">
        <w:t>.</w:t>
      </w:r>
      <w:r w:rsidR="00877D96">
        <w:t xml:space="preserve"> </w:t>
      </w:r>
      <w:r w:rsidR="001D395D">
        <w:t xml:space="preserve"> </w:t>
      </w:r>
    </w:p>
    <w:p w:rsidR="001D395D" w:rsidRDefault="001D395D" w:rsidP="008B0A97">
      <w:pPr>
        <w:ind w:firstLine="720"/>
      </w:pPr>
    </w:p>
    <w:p w:rsidR="004A74F9" w:rsidRDefault="007B477F" w:rsidP="008B0A97">
      <w:pPr>
        <w:ind w:firstLine="720"/>
      </w:pPr>
      <w:r w:rsidRPr="001D395D">
        <w:t xml:space="preserve">At well-managed institutions, management compares </w:t>
      </w:r>
      <w:r w:rsidR="00623104">
        <w:t xml:space="preserve">stress test </w:t>
      </w:r>
      <w:r w:rsidRPr="001D395D">
        <w:t>results against approved tolerance</w:t>
      </w:r>
      <w:r w:rsidR="001D395D" w:rsidRPr="001D395D">
        <w:t>s</w:t>
      </w:r>
      <w:r w:rsidRPr="001D395D">
        <w:t xml:space="preserve"> limits.  Such reviews enable institutions to properly estimate and monitor key variables whose volatility will significantly affect IRR exposure.</w:t>
      </w:r>
      <w:r>
        <w:t xml:space="preserve">  </w:t>
      </w:r>
      <w:r w:rsidR="001D395D">
        <w:t>Moreover, i</w:t>
      </w:r>
      <w:r w:rsidR="00DE4EAF">
        <w:t xml:space="preserve">n conducting stress tests, special consideration should be given to instruments or markets in which concentrations exist </w:t>
      </w:r>
      <w:r w:rsidR="0002617B">
        <w:t xml:space="preserve">as </w:t>
      </w:r>
      <w:r w:rsidR="00DE4EAF">
        <w:t xml:space="preserve">such positions may be more difficult to unwind or hedge during periods of market stress. </w:t>
      </w:r>
    </w:p>
    <w:p w:rsidR="00017030" w:rsidRDefault="00017030">
      <w:pPr>
        <w:rPr>
          <w:b/>
          <w:i/>
        </w:rPr>
      </w:pPr>
    </w:p>
    <w:p w:rsidR="000A4D1E" w:rsidRDefault="000A4D1E">
      <w:pPr>
        <w:rPr>
          <w:b/>
        </w:rPr>
      </w:pPr>
      <w:r>
        <w:rPr>
          <w:b/>
          <w:i/>
        </w:rPr>
        <w:t xml:space="preserve">Assumptions </w:t>
      </w:r>
    </w:p>
    <w:p w:rsidR="000A4D1E" w:rsidRDefault="000A4D1E">
      <w:pPr>
        <w:ind w:firstLine="360"/>
      </w:pPr>
    </w:p>
    <w:p w:rsidR="000A4D1E" w:rsidRDefault="000A4D1E">
      <w:pPr>
        <w:ind w:firstLine="720"/>
      </w:pPr>
      <w:r>
        <w:t xml:space="preserve">Proper measurement of IRR requires regularly assessing the reasonableness of assumptions that underlie an institution’s IRR exposure estimates.  </w:t>
      </w:r>
      <w:r w:rsidR="00573CD4">
        <w:t>The regulators</w:t>
      </w:r>
      <w:r>
        <w:t xml:space="preserve"> remind institutions to </w:t>
      </w:r>
      <w:r w:rsidR="006015C6">
        <w:t xml:space="preserve">document, </w:t>
      </w:r>
      <w:r>
        <w:t>monitor</w:t>
      </w:r>
      <w:r w:rsidR="004219EF">
        <w:t>,</w:t>
      </w:r>
      <w:r>
        <w:t xml:space="preserve"> and regularly update key assumptions used in IRR measurement models.  At a minimum, institutions </w:t>
      </w:r>
      <w:r w:rsidR="00A76BD1">
        <w:t>should</w:t>
      </w:r>
      <w:r>
        <w:t xml:space="preserve"> ensure the reasonableness of asset prepayments, non-maturity deposit price sensitivity and decay rates, and key rate drivers for each interest rate shock scenario.  Assumptions about non-maturity deposits are critical, particularly in </w:t>
      </w:r>
      <w:r w:rsidR="00A76BD1">
        <w:t>market</w:t>
      </w:r>
      <w:r>
        <w:t xml:space="preserve"> environment</w:t>
      </w:r>
      <w:r w:rsidR="00A76BD1">
        <w:t>s</w:t>
      </w:r>
      <w:r>
        <w:t xml:space="preserve"> </w:t>
      </w:r>
      <w:r w:rsidR="00E60B3B">
        <w:t>in which</w:t>
      </w:r>
      <w:r>
        <w:t xml:space="preserve"> customer behaviors may not reflect long-term </w:t>
      </w:r>
      <w:r w:rsidR="001E16C9">
        <w:t xml:space="preserve">economic </w:t>
      </w:r>
      <w:r>
        <w:t xml:space="preserve">fundamentals, </w:t>
      </w:r>
      <w:r w:rsidR="00A76BD1">
        <w:t xml:space="preserve">or in which </w:t>
      </w:r>
      <w:r>
        <w:t xml:space="preserve">institutions are subject to heightened competition for </w:t>
      </w:r>
      <w:r w:rsidR="00A76BD1">
        <w:t>such</w:t>
      </w:r>
      <w:r>
        <w:t xml:space="preserve"> deposits. </w:t>
      </w:r>
      <w:r w:rsidR="00841D97">
        <w:t xml:space="preserve"> Generally, rate</w:t>
      </w:r>
      <w:r w:rsidR="004219EF">
        <w:t>-</w:t>
      </w:r>
      <w:r w:rsidR="00841D97">
        <w:t>sensitive and higher-cost deposits</w:t>
      </w:r>
      <w:r w:rsidR="004219EF">
        <w:t>,</w:t>
      </w:r>
      <w:r w:rsidR="00841D97">
        <w:t xml:space="preserve"> such as brokered and </w:t>
      </w:r>
      <w:r w:rsidR="004219EF">
        <w:t>I</w:t>
      </w:r>
      <w:r w:rsidR="00841D97">
        <w:t>nternet deposits</w:t>
      </w:r>
      <w:r w:rsidR="004219EF">
        <w:t>,</w:t>
      </w:r>
      <w:r w:rsidR="00841D97">
        <w:t xml:space="preserve"> would reflect higher decay rates</w:t>
      </w:r>
      <w:r w:rsidR="00DF3F12">
        <w:t xml:space="preserve"> than other types of deposits</w:t>
      </w:r>
      <w:r w:rsidR="00414471">
        <w:t>.</w:t>
      </w:r>
      <w:r w:rsidR="00DF3F12">
        <w:t xml:space="preserve"> </w:t>
      </w:r>
      <w:r w:rsidR="00841D97">
        <w:t xml:space="preserve"> </w:t>
      </w:r>
      <w:r>
        <w:t>Also, institutions experiencing or projecting capital levels that trigger brokered and high interest rate deposit restrictions should adjust deposit assumptions accordingly.</w:t>
      </w:r>
      <w:r>
        <w:rPr>
          <w:rStyle w:val="FootnoteReference"/>
        </w:rPr>
        <w:footnoteReference w:id="8"/>
      </w:r>
      <w:r>
        <w:t xml:space="preserve">  </w:t>
      </w:r>
    </w:p>
    <w:p w:rsidR="000A4D1E" w:rsidRDefault="000A4D1E"/>
    <w:p w:rsidR="000A4D1E" w:rsidRDefault="000A4D1E">
      <w:pPr>
        <w:ind w:firstLine="720"/>
      </w:pPr>
      <w:r>
        <w:t>When dynamic simulations of future growth and business assumptions are used, assessment of consistent replacement growth rate assumptions is particularly important.  Customer behaviors can differ in various markets</w:t>
      </w:r>
      <w:r w:rsidR="00101A59">
        <w:t>.</w:t>
      </w:r>
      <w:r>
        <w:t xml:space="preserve"> </w:t>
      </w:r>
      <w:r w:rsidR="00101A59">
        <w:t>F</w:t>
      </w:r>
      <w:r>
        <w:t>inancial institutions should perform</w:t>
      </w:r>
      <w:r w:rsidR="004A1E01">
        <w:t xml:space="preserve"> </w:t>
      </w:r>
      <w:r>
        <w:t>historical and forward-looking analyses to develop supportable assumptions and models relevant to their market and business plan</w:t>
      </w:r>
      <w:r w:rsidR="00E60B3B">
        <w:t>s</w:t>
      </w:r>
      <w:r>
        <w:t>.</w:t>
      </w:r>
    </w:p>
    <w:p w:rsidR="000A4D1E" w:rsidRDefault="000A4D1E"/>
    <w:p w:rsidR="000A4D1E" w:rsidRDefault="000A4D1E">
      <w:pPr>
        <w:ind w:firstLine="720"/>
      </w:pPr>
      <w:r>
        <w:t xml:space="preserve">Proper measurement of IRR also requires sensitivity testing of key assumptions that </w:t>
      </w:r>
      <w:r w:rsidR="002825EB">
        <w:t>exert</w:t>
      </w:r>
      <w:r>
        <w:t xml:space="preserve"> the </w:t>
      </w:r>
      <w:r w:rsidR="002825EB">
        <w:t>greatest</w:t>
      </w:r>
      <w:r>
        <w:t xml:space="preserve"> impact on measurement results.  When actual experience differs significantly from past assumptions and expectations, institutions should use a range of assumptions</w:t>
      </w:r>
      <w:r w:rsidR="00512AD6">
        <w:t xml:space="preserve"> </w:t>
      </w:r>
      <w:r>
        <w:t xml:space="preserve">to </w:t>
      </w:r>
      <w:r w:rsidR="00512AD6">
        <w:t xml:space="preserve">appropriately </w:t>
      </w:r>
      <w:r>
        <w:t>reflect this uncertainty</w:t>
      </w:r>
      <w:r w:rsidR="00512AD6">
        <w:t>.</w:t>
      </w:r>
      <w:r w:rsidR="00E11CE6">
        <w:t xml:space="preserve">  </w:t>
      </w:r>
      <w:r w:rsidR="00E11CE6" w:rsidRPr="00E11CE6">
        <w:t>When assumptions are adjusted from prior reporting periods, the changes and their effect</w:t>
      </w:r>
      <w:r w:rsidR="00512AD6">
        <w:t>s</w:t>
      </w:r>
      <w:r w:rsidR="00E11CE6" w:rsidRPr="00E11CE6">
        <w:t xml:space="preserve"> on model outputs should be documented and clearly identified.</w:t>
      </w:r>
    </w:p>
    <w:p w:rsidR="000A4D1E" w:rsidRDefault="000A4D1E">
      <w:pPr>
        <w:tabs>
          <w:tab w:val="num" w:pos="540"/>
        </w:tabs>
      </w:pPr>
    </w:p>
    <w:p w:rsidR="000A4D1E" w:rsidRDefault="000A4D1E">
      <w:pPr>
        <w:rPr>
          <w:b/>
        </w:rPr>
      </w:pPr>
      <w:r>
        <w:rPr>
          <w:b/>
        </w:rPr>
        <w:t>Risk Mitigating Steps</w:t>
      </w:r>
    </w:p>
    <w:p w:rsidR="00DB7E11" w:rsidRDefault="00DB7E11"/>
    <w:p w:rsidR="004A74F9" w:rsidRDefault="00837524" w:rsidP="00077692">
      <w:pPr>
        <w:ind w:firstLine="720"/>
      </w:pPr>
      <w:r w:rsidRPr="00623104">
        <w:t xml:space="preserve">Limit controls should </w:t>
      </w:r>
      <w:r w:rsidR="00623104" w:rsidRPr="00623104">
        <w:t xml:space="preserve">be in place to </w:t>
      </w:r>
      <w:r w:rsidRPr="00623104">
        <w:t>ensure positions that exceed certain predetermined levels receive prompt management attention.  An appropriate limit system should permit management to identify IRR exposures, initiate discussions</w:t>
      </w:r>
      <w:r>
        <w:t xml:space="preserve"> about risk</w:t>
      </w:r>
      <w:r w:rsidR="001908FD">
        <w:t>,</w:t>
      </w:r>
      <w:r>
        <w:t xml:space="preserve"> and take appropriate action as identified in IRR policies and procedures.  </w:t>
      </w:r>
      <w:r w:rsidR="00077692">
        <w:t xml:space="preserve">Further, </w:t>
      </w:r>
      <w:r w:rsidR="00A839FA">
        <w:t>a</w:t>
      </w:r>
      <w:r w:rsidR="00077692">
        <w:t xml:space="preserve"> well</w:t>
      </w:r>
      <w:r w:rsidR="001908FD">
        <w:t>-</w:t>
      </w:r>
      <w:r w:rsidR="00077692">
        <w:t xml:space="preserve">managed institution will find a balance </w:t>
      </w:r>
      <w:r w:rsidR="00A839FA">
        <w:t xml:space="preserve">between </w:t>
      </w:r>
      <w:r w:rsidR="00246D1E">
        <w:t xml:space="preserve">establishing </w:t>
      </w:r>
      <w:r w:rsidR="00077692">
        <w:t xml:space="preserve">limits </w:t>
      </w:r>
      <w:r w:rsidR="00246D1E">
        <w:t xml:space="preserve">that </w:t>
      </w:r>
      <w:r w:rsidR="00077692">
        <w:t xml:space="preserve">are neither so high that they are never breached nor so low that exceeding the limits is considered routine and not worthy of action.  </w:t>
      </w:r>
    </w:p>
    <w:p w:rsidR="004A74F9" w:rsidRDefault="004A74F9" w:rsidP="00077692">
      <w:pPr>
        <w:ind w:firstLine="720"/>
      </w:pPr>
    </w:p>
    <w:p w:rsidR="000A4D1E" w:rsidRDefault="00077692" w:rsidP="00077692">
      <w:pPr>
        <w:ind w:firstLine="720"/>
      </w:pPr>
      <w:r>
        <w:t xml:space="preserve">Should </w:t>
      </w:r>
      <w:r w:rsidR="000A4D1E">
        <w:t xml:space="preserve">IRR exposure </w:t>
      </w:r>
      <w:r>
        <w:t xml:space="preserve">exceed or approach these limits, institutions can </w:t>
      </w:r>
      <w:r w:rsidR="004F0FF8">
        <w:t>mitigate</w:t>
      </w:r>
      <w:r>
        <w:t xml:space="preserve"> their risk </w:t>
      </w:r>
      <w:r w:rsidR="004F0FF8">
        <w:t xml:space="preserve">through </w:t>
      </w:r>
      <w:r w:rsidR="000A4D1E">
        <w:t>balance sheet alteration and hedging.</w:t>
      </w:r>
      <w:r w:rsidR="00B67D46">
        <w:t xml:space="preserve">  </w:t>
      </w:r>
      <w:r w:rsidR="000A4D1E">
        <w:t xml:space="preserve">The most common way to control IRR is through the balance sheet mix of assets and liabilities. </w:t>
      </w:r>
      <w:r w:rsidR="00B67D46">
        <w:t xml:space="preserve"> </w:t>
      </w:r>
      <w:r w:rsidR="000A4D1E">
        <w:t xml:space="preserve">This involves achieving an appropriate distribution of asset maturities or repricing </w:t>
      </w:r>
      <w:r w:rsidR="00A80152">
        <w:t>structures</w:t>
      </w:r>
      <w:r w:rsidR="000A4D1E">
        <w:t>, with the maturity or repricing mix of liabilities</w:t>
      </w:r>
      <w:r w:rsidR="001908FD">
        <w:t xml:space="preserve"> that will </w:t>
      </w:r>
      <w:r w:rsidR="000A4D1E">
        <w:t>avoid the potential for severe maturity or duration mismatches between assets and liabilities</w:t>
      </w:r>
      <w:r w:rsidR="00A80152">
        <w:t>.</w:t>
      </w:r>
    </w:p>
    <w:p w:rsidR="000A4D1E" w:rsidRDefault="000A4D1E">
      <w:pPr>
        <w:rPr>
          <w:i/>
          <w:u w:val="single"/>
        </w:rPr>
      </w:pPr>
    </w:p>
    <w:p w:rsidR="00D37661" w:rsidRDefault="00D37661" w:rsidP="00D37661">
      <w:pPr>
        <w:ind w:firstLine="720"/>
      </w:pPr>
      <w:r>
        <w:rPr>
          <w:iCs/>
        </w:rPr>
        <w:t xml:space="preserve">Using derivative instruments </w:t>
      </w:r>
      <w:r w:rsidR="000A4D1E">
        <w:t xml:space="preserve">to mitigate </w:t>
      </w:r>
      <w:r w:rsidR="001E16C9">
        <w:t xml:space="preserve">IRR </w:t>
      </w:r>
      <w:r w:rsidR="000A4D1E">
        <w:t>exposures may be appropriate for institutions with the knowledge and expertise</w:t>
      </w:r>
      <w:r w:rsidR="00A80152">
        <w:t xml:space="preserve"> in the</w:t>
      </w:r>
      <w:r w:rsidR="001908FD">
        <w:t>se</w:t>
      </w:r>
      <w:r w:rsidR="00A80152">
        <w:t xml:space="preserve"> instruments</w:t>
      </w:r>
      <w:r w:rsidR="001908FD">
        <w:t>.</w:t>
      </w:r>
      <w:r w:rsidR="004A1E01">
        <w:t xml:space="preserve"> </w:t>
      </w:r>
      <w:r w:rsidR="000A4D1E">
        <w:t>Hedging with interest rate derivatives is a potentially complex activity that can have unintended consequences, including compounding losses, if used incorrectly.</w:t>
      </w:r>
      <w:r w:rsidR="00EC45C7">
        <w:rPr>
          <w:rStyle w:val="FootnoteReference"/>
        </w:rPr>
        <w:footnoteReference w:id="9"/>
      </w:r>
      <w:r w:rsidR="00B2297D">
        <w:t xml:space="preserve"> Each institution using derivatives </w:t>
      </w:r>
      <w:r w:rsidR="001F5827">
        <w:t xml:space="preserve">should </w:t>
      </w:r>
      <w:r w:rsidR="00B2297D">
        <w:t xml:space="preserve">establish an effective process for managing interest rate risk. The level of structure and formality in this process should be commensurate with the activities and level of risk approved by senior management and the board. </w:t>
      </w:r>
      <w:r w:rsidR="000C51D0">
        <w:t xml:space="preserve"> </w:t>
      </w:r>
      <w:r w:rsidR="00D811D2">
        <w:t>Institutions</w:t>
      </w:r>
      <w:r w:rsidR="000A4D1E">
        <w:t xml:space="preserve"> should not undertake this activity unless the board and senior management understand the </w:t>
      </w:r>
      <w:r w:rsidR="001E16C9">
        <w:t>institution</w:t>
      </w:r>
      <w:r w:rsidR="000A4D1E">
        <w:t xml:space="preserve">’s </w:t>
      </w:r>
      <w:r w:rsidR="001E16C9">
        <w:t xml:space="preserve">hedging </w:t>
      </w:r>
      <w:r w:rsidR="000A4D1E">
        <w:t xml:space="preserve">strategy when using these instruments, including the potential risks and benefits of the strategy. </w:t>
      </w:r>
      <w:r w:rsidR="00DB3685">
        <w:t xml:space="preserve"> </w:t>
      </w:r>
      <w:r w:rsidR="00356468">
        <w:t xml:space="preserve">Reliance on outside consultants to assist in the establishment of such a strategy </w:t>
      </w:r>
      <w:r w:rsidR="00356468">
        <w:lastRenderedPageBreak/>
        <w:t xml:space="preserve">does not absolve the board and senior management of their responsibility to fully understand the risks of the derivatives hedging strategy. </w:t>
      </w:r>
      <w:r w:rsidR="000A4D1E">
        <w:t xml:space="preserve">Hedging strategies should be designed </w:t>
      </w:r>
      <w:r w:rsidR="001908FD">
        <w:t xml:space="preserve">to </w:t>
      </w:r>
      <w:r>
        <w:t>limit downside earnings exposure</w:t>
      </w:r>
      <w:r w:rsidR="004A1E01">
        <w:t xml:space="preserve"> </w:t>
      </w:r>
      <w:r>
        <w:t xml:space="preserve">or </w:t>
      </w:r>
      <w:r w:rsidR="001F5827">
        <w:t xml:space="preserve">manage </w:t>
      </w:r>
      <w:r>
        <w:t xml:space="preserve">income or economic value of equity (EVE) volatility.  </w:t>
      </w:r>
    </w:p>
    <w:p w:rsidR="001F5827" w:rsidRDefault="001F5827" w:rsidP="00D37661">
      <w:pPr>
        <w:ind w:firstLine="720"/>
      </w:pPr>
    </w:p>
    <w:p w:rsidR="00E950CE" w:rsidRDefault="00C97BD4" w:rsidP="00E950CE">
      <w:pPr>
        <w:rPr>
          <w:b/>
        </w:rPr>
      </w:pPr>
      <w:r>
        <w:rPr>
          <w:b/>
        </w:rPr>
        <w:t xml:space="preserve">Internal </w:t>
      </w:r>
      <w:r w:rsidR="00E950CE">
        <w:rPr>
          <w:b/>
        </w:rPr>
        <w:t>Controls and Validation</w:t>
      </w:r>
    </w:p>
    <w:p w:rsidR="00E950CE" w:rsidRDefault="00E950CE" w:rsidP="00E950CE">
      <w:pPr>
        <w:rPr>
          <w:b/>
        </w:rPr>
      </w:pPr>
    </w:p>
    <w:p w:rsidR="00E950CE" w:rsidRDefault="00573CD4" w:rsidP="00E950CE">
      <w:pPr>
        <w:ind w:firstLine="720"/>
      </w:pPr>
      <w:r>
        <w:t>The regulators</w:t>
      </w:r>
      <w:r w:rsidR="00E950CE">
        <w:t xml:space="preserve"> expect institutions to have an adequate system of internal controls to ensure the integrity of all elements of their IRR management process</w:t>
      </w:r>
      <w:r w:rsidR="00073F4C">
        <w:t>,</w:t>
      </w:r>
      <w:r w:rsidR="00E950CE">
        <w:t xml:space="preserve"> including the adequacy of corporate governance, compliance with policies and procedures, and the comprehensiveness of IRR measurement and management information systems.  These controls should be an integral part of the institution’s overall system of internal controls</w:t>
      </w:r>
      <w:r w:rsidR="00073F4C">
        <w:t xml:space="preserve"> and should </w:t>
      </w:r>
      <w:r w:rsidR="00E950CE">
        <w:t xml:space="preserve">promote effective and efficient operations, reliable financial and regulatory reporting, and compliance with relevant laws, regulations, and institution policies.  </w:t>
      </w:r>
    </w:p>
    <w:p w:rsidR="00E950CE" w:rsidRDefault="00E950CE" w:rsidP="00E950CE">
      <w:pPr>
        <w:ind w:firstLine="720"/>
      </w:pPr>
    </w:p>
    <w:p w:rsidR="00C97BD4" w:rsidRPr="009A6936" w:rsidRDefault="00C97BD4" w:rsidP="00C97BD4">
      <w:pPr>
        <w:rPr>
          <w:b/>
          <w:i/>
        </w:rPr>
      </w:pPr>
      <w:r w:rsidRPr="009A6936">
        <w:rPr>
          <w:b/>
          <w:i/>
        </w:rPr>
        <w:t>Model Validation</w:t>
      </w:r>
    </w:p>
    <w:p w:rsidR="00C97BD4" w:rsidRDefault="00C97BD4" w:rsidP="00C97BD4">
      <w:pPr>
        <w:ind w:firstLine="720"/>
      </w:pPr>
    </w:p>
    <w:p w:rsidR="00E950CE" w:rsidRPr="000A771C" w:rsidRDefault="00E600DA" w:rsidP="0011263E">
      <w:r>
        <w:tab/>
      </w:r>
      <w:r w:rsidR="00C97BD4">
        <w:t xml:space="preserve">Validating </w:t>
      </w:r>
      <w:r w:rsidR="00686433">
        <w:t xml:space="preserve">IRR </w:t>
      </w:r>
      <w:r w:rsidR="00C97BD4">
        <w:t xml:space="preserve">models is a fundamental part of any institution’s system of internal controls.  </w:t>
      </w:r>
      <w:r w:rsidR="00686433">
        <w:t xml:space="preserve">An important element of model validation </w:t>
      </w:r>
      <w:r w:rsidR="0011263E">
        <w:t xml:space="preserve">is </w:t>
      </w:r>
      <w:r w:rsidR="00C97BD4" w:rsidRPr="00A67CBC">
        <w:t>independent review of the logical and conceptual soundness</w:t>
      </w:r>
      <w:r w:rsidR="0011263E">
        <w:t xml:space="preserve">. </w:t>
      </w:r>
      <w:r w:rsidR="00E950CE" w:rsidRPr="000A771C">
        <w:t xml:space="preserve">The scope of the independent review should </w:t>
      </w:r>
      <w:r w:rsidR="001E16C9" w:rsidRPr="000A771C">
        <w:t>involve</w:t>
      </w:r>
      <w:r w:rsidR="00E950CE" w:rsidRPr="000A771C">
        <w:t xml:space="preserve"> assessing the </w:t>
      </w:r>
      <w:r w:rsidR="001E16C9" w:rsidRPr="000A771C">
        <w:t>institution</w:t>
      </w:r>
      <w:r w:rsidR="00E950CE" w:rsidRPr="000A771C">
        <w:t>’s measurement of IRR</w:t>
      </w:r>
      <w:r w:rsidR="00CE6867">
        <w:t>,</w:t>
      </w:r>
      <w:r w:rsidR="00E950CE" w:rsidRPr="000A771C">
        <w:t xml:space="preserve"> including the reasonableness of assumptions, the process used in determining assumptions, </w:t>
      </w:r>
      <w:r w:rsidR="001E16C9" w:rsidRPr="000A771C">
        <w:t>and</w:t>
      </w:r>
      <w:r w:rsidR="00E950CE" w:rsidRPr="000A771C">
        <w:t xml:space="preserve"> the </w:t>
      </w:r>
      <w:proofErr w:type="spellStart"/>
      <w:r w:rsidR="00E950CE" w:rsidRPr="000A771C">
        <w:t>bac</w:t>
      </w:r>
      <w:r w:rsidR="00CE6867">
        <w:t>k</w:t>
      </w:r>
      <w:r w:rsidR="00E950CE" w:rsidRPr="000A771C">
        <w:t>testing</w:t>
      </w:r>
      <w:proofErr w:type="spellEnd"/>
      <w:r w:rsidR="00E950CE" w:rsidRPr="000A771C">
        <w:t xml:space="preserve"> of assumptions and results. </w:t>
      </w:r>
      <w:r w:rsidR="000A771C">
        <w:t xml:space="preserve">Management </w:t>
      </w:r>
      <w:r w:rsidR="00CE6867">
        <w:t xml:space="preserve">also </w:t>
      </w:r>
      <w:r w:rsidR="000C51D0">
        <w:t xml:space="preserve">should </w:t>
      </w:r>
      <w:r w:rsidR="00CE6867">
        <w:t xml:space="preserve">implement </w:t>
      </w:r>
      <w:r w:rsidR="000A771C">
        <w:t>adequate follow</w:t>
      </w:r>
      <w:r w:rsidR="00CE6867">
        <w:t>-</w:t>
      </w:r>
      <w:r w:rsidR="000A771C">
        <w:t xml:space="preserve">up </w:t>
      </w:r>
      <w:r w:rsidR="00E950CE" w:rsidRPr="000A771C">
        <w:t xml:space="preserve">procedures to monitor management’s corrective actions.  The results of these reviews should be available for the relevant supervisory authorities.  </w:t>
      </w:r>
    </w:p>
    <w:p w:rsidR="00E950CE" w:rsidRPr="000A771C" w:rsidRDefault="00E950CE" w:rsidP="00E950CE">
      <w:pPr>
        <w:ind w:firstLine="360"/>
      </w:pPr>
    </w:p>
    <w:p w:rsidR="003E0397" w:rsidRPr="000A771C" w:rsidRDefault="00E950CE" w:rsidP="003E0397">
      <w:pPr>
        <w:ind w:firstLine="720"/>
      </w:pPr>
      <w:r w:rsidRPr="000A771C">
        <w:rPr>
          <w:bCs/>
        </w:rPr>
        <w:t>Smaller institutions that do not have the resources to staff an independent review function should have processes in place to ensure the integrity of the various elements of their IRR management processes.  Often, smaller institutions will use an internal party that is sufficiently removed from the primary IRR functions or an external audit</w:t>
      </w:r>
      <w:r w:rsidR="001F0262" w:rsidRPr="000A771C">
        <w:rPr>
          <w:bCs/>
        </w:rPr>
        <w:t>or</w:t>
      </w:r>
      <w:r w:rsidRPr="000A771C">
        <w:rPr>
          <w:bCs/>
        </w:rPr>
        <w:t xml:space="preserve"> to ensure the integrity of their risk management process.  </w:t>
      </w:r>
    </w:p>
    <w:p w:rsidR="00E950CE" w:rsidRPr="000A771C" w:rsidRDefault="00E950CE" w:rsidP="003E0397">
      <w:pPr>
        <w:ind w:firstLine="720"/>
      </w:pPr>
      <w:r w:rsidRPr="000A771C">
        <w:tab/>
      </w:r>
    </w:p>
    <w:p w:rsidR="00E950CE" w:rsidRDefault="00C80B98" w:rsidP="00E950CE">
      <w:pPr>
        <w:ind w:firstLine="720"/>
      </w:pPr>
      <w:r>
        <w:t>I</w:t>
      </w:r>
      <w:r w:rsidR="00E950CE" w:rsidRPr="000A771C">
        <w:t>nstitutions that use vendor-supplied models are not required to test the mechanics and mathematics of the measurement model</w:t>
      </w:r>
      <w:r w:rsidR="00F878E7" w:rsidRPr="000A771C">
        <w:t xml:space="preserve">. </w:t>
      </w:r>
      <w:r w:rsidR="00E950CE" w:rsidRPr="000A771C">
        <w:t xml:space="preserve"> </w:t>
      </w:r>
      <w:r w:rsidR="00F878E7" w:rsidRPr="000A771C">
        <w:t>H</w:t>
      </w:r>
      <w:r w:rsidR="00A76BD1" w:rsidRPr="000A771C">
        <w:t>owever</w:t>
      </w:r>
      <w:r w:rsidR="00F878E7" w:rsidRPr="000A771C">
        <w:t>,</w:t>
      </w:r>
      <w:r w:rsidR="00E950CE" w:rsidRPr="000A771C">
        <w:t xml:space="preserve"> the vendor </w:t>
      </w:r>
      <w:r w:rsidR="00A76BD1" w:rsidRPr="000A771C">
        <w:t xml:space="preserve">should provide </w:t>
      </w:r>
      <w:r w:rsidR="00E950CE" w:rsidRPr="000A771C">
        <w:t xml:space="preserve">documentation </w:t>
      </w:r>
      <w:r w:rsidR="00A32C21">
        <w:t xml:space="preserve">showing </w:t>
      </w:r>
      <w:r w:rsidR="00E950CE" w:rsidRPr="000A771C">
        <w:t xml:space="preserve">a credible independent third party has performed such </w:t>
      </w:r>
      <w:r w:rsidR="003477BE" w:rsidRPr="000A771C">
        <w:t xml:space="preserve">a </w:t>
      </w:r>
      <w:r w:rsidR="00E950CE" w:rsidRPr="000A771C">
        <w:t>function.</w:t>
      </w:r>
      <w:r w:rsidR="00E950CE" w:rsidRPr="000A771C">
        <w:rPr>
          <w:rStyle w:val="FootnoteReference"/>
        </w:rPr>
        <w:footnoteReference w:id="10"/>
      </w:r>
      <w:r w:rsidR="00E950CE" w:rsidRPr="000A771C">
        <w:t xml:space="preserve"> Large and complex institutions</w:t>
      </w:r>
      <w:r w:rsidR="00A32C21">
        <w:t>,</w:t>
      </w:r>
      <w:r w:rsidR="00E950CE">
        <w:t xml:space="preserve"> or those with significant IRR exposures</w:t>
      </w:r>
      <w:r w:rsidR="00A32C21">
        <w:t>,</w:t>
      </w:r>
      <w:r w:rsidR="00E950CE">
        <w:t xml:space="preserve"> may need to perform more in-depth validation procedures of the underlying mathematics.  Validation practices could include constructing an identical model to test assumptions and outcomes or using an existing, well-validated “benchmark” model, which is often a less costly alternative.  The benchmark model should have theoretical underpinnings, methodologies</w:t>
      </w:r>
      <w:r w:rsidR="00A32C21">
        <w:t>,</w:t>
      </w:r>
      <w:r w:rsidR="00E950CE">
        <w:t xml:space="preserve"> and inputs that are as close as possible to t</w:t>
      </w:r>
      <w:r w:rsidR="003477BE">
        <w:t>hose used in the</w:t>
      </w:r>
      <w:r w:rsidR="00E950CE">
        <w:t xml:space="preserve"> model being validated.  Large and more complex institutions have used “benchmarking” </w:t>
      </w:r>
      <w:r w:rsidR="00E60B3B">
        <w:t xml:space="preserve">effectively </w:t>
      </w:r>
      <w:r w:rsidR="00E950CE">
        <w:t xml:space="preserve">to identify model errors that could distort IRR measurements.  The depth and extent of the </w:t>
      </w:r>
      <w:r w:rsidR="00E950CE">
        <w:lastRenderedPageBreak/>
        <w:t xml:space="preserve">validation process should be consistent with the materiality and complexity of the risk being managed.  </w:t>
      </w:r>
    </w:p>
    <w:p w:rsidR="00E950CE" w:rsidRDefault="00E950CE" w:rsidP="00E950CE"/>
    <w:p w:rsidR="000A4D1E" w:rsidRDefault="000A4D1E">
      <w:r>
        <w:rPr>
          <w:b/>
        </w:rPr>
        <w:t>Conclusion</w:t>
      </w:r>
    </w:p>
    <w:p w:rsidR="000A4D1E" w:rsidRDefault="000A4D1E"/>
    <w:p w:rsidR="000A4D1E" w:rsidRDefault="000A4D1E">
      <w:pPr>
        <w:ind w:firstLine="720"/>
      </w:pPr>
      <w:r>
        <w:t xml:space="preserve">The adequacy and effectiveness of an institution’s IRR management process and the level of its IRR exposure are critical factors in </w:t>
      </w:r>
      <w:r w:rsidR="00573CD4">
        <w:t>the regulators</w:t>
      </w:r>
      <w:r>
        <w:t xml:space="preserve">’ evaluation of an institution’s </w:t>
      </w:r>
      <w:r w:rsidR="003477BE">
        <w:t xml:space="preserve">sensitivity to changes in interest rates and </w:t>
      </w:r>
      <w:r>
        <w:t>capital adequacy.</w:t>
      </w:r>
      <w:r w:rsidR="005A6B7D">
        <w:t xml:space="preserve"> </w:t>
      </w:r>
      <w:r>
        <w:t xml:space="preserve"> When evaluating the applicability of specific guidelines provided in this advisory and the level of capital needed for </w:t>
      </w:r>
      <w:r w:rsidR="003477BE">
        <w:t xml:space="preserve">the level of </w:t>
      </w:r>
      <w:r>
        <w:t xml:space="preserve">IRR, </w:t>
      </w:r>
      <w:r w:rsidR="003477BE">
        <w:t xml:space="preserve">the </w:t>
      </w:r>
      <w:r>
        <w:t>institution</w:t>
      </w:r>
      <w:r w:rsidR="003477BE">
        <w:t>’s</w:t>
      </w:r>
      <w:r>
        <w:t xml:space="preserve"> management and </w:t>
      </w:r>
      <w:r w:rsidR="00131CF4">
        <w:t>regulators</w:t>
      </w:r>
      <w:r>
        <w:t xml:space="preserve"> should consider factors</w:t>
      </w:r>
      <w:r w:rsidR="0064170D">
        <w:t>,</w:t>
      </w:r>
      <w:r>
        <w:t xml:space="preserve"> such as the size of the institution, the nature and complexity of its activities</w:t>
      </w:r>
      <w:r w:rsidR="0064170D">
        <w:t>,</w:t>
      </w:r>
      <w:r>
        <w:t xml:space="preserve"> and the adequacy of its </w:t>
      </w:r>
      <w:r w:rsidR="003477BE">
        <w:t xml:space="preserve">level of </w:t>
      </w:r>
      <w:r>
        <w:t xml:space="preserve">capital and earnings in relation to its overall </w:t>
      </w:r>
      <w:r w:rsidR="003477BE">
        <w:t>IRR</w:t>
      </w:r>
      <w:r>
        <w:t xml:space="preserve"> profile. </w:t>
      </w:r>
      <w:r w:rsidR="005A6B7D">
        <w:t xml:space="preserve"> </w:t>
      </w:r>
      <w:r>
        <w:t xml:space="preserve">Material weaknesses in risk management processes or high levels of </w:t>
      </w:r>
      <w:r w:rsidR="003477BE">
        <w:t xml:space="preserve">IRR </w:t>
      </w:r>
      <w:r>
        <w:t>exposure relative to capital will require corrective action.  Such actions could include recommendations or directives to:</w:t>
      </w:r>
    </w:p>
    <w:p w:rsidR="000A4D1E" w:rsidRDefault="000A4D1E"/>
    <w:p w:rsidR="000A4D1E" w:rsidRDefault="00DA6293">
      <w:pPr>
        <w:numPr>
          <w:ilvl w:val="0"/>
          <w:numId w:val="3"/>
        </w:numPr>
      </w:pPr>
      <w:r>
        <w:t>R</w:t>
      </w:r>
      <w:r w:rsidR="000A4D1E">
        <w:t>aise additional capital;</w:t>
      </w:r>
    </w:p>
    <w:p w:rsidR="000A4D1E" w:rsidRDefault="00DA6293">
      <w:pPr>
        <w:numPr>
          <w:ilvl w:val="0"/>
          <w:numId w:val="3"/>
        </w:numPr>
      </w:pPr>
      <w:r>
        <w:t>R</w:t>
      </w:r>
      <w:r w:rsidR="000A4D1E">
        <w:t xml:space="preserve">educe levels of </w:t>
      </w:r>
      <w:r w:rsidR="003477BE">
        <w:t xml:space="preserve">IRR </w:t>
      </w:r>
      <w:r w:rsidR="000A4D1E">
        <w:t>exposure;</w:t>
      </w:r>
    </w:p>
    <w:p w:rsidR="000A4D1E" w:rsidRDefault="00DA6293">
      <w:pPr>
        <w:numPr>
          <w:ilvl w:val="0"/>
          <w:numId w:val="3"/>
        </w:numPr>
      </w:pPr>
      <w:r>
        <w:t>S</w:t>
      </w:r>
      <w:r w:rsidR="000A4D1E">
        <w:t xml:space="preserve">trengthen </w:t>
      </w:r>
      <w:r w:rsidR="003477BE">
        <w:t xml:space="preserve">IRR </w:t>
      </w:r>
      <w:r w:rsidR="000A4D1E">
        <w:t>management expertise;</w:t>
      </w:r>
    </w:p>
    <w:p w:rsidR="000A4D1E" w:rsidRDefault="00DA6293">
      <w:pPr>
        <w:numPr>
          <w:ilvl w:val="0"/>
          <w:numId w:val="3"/>
        </w:numPr>
      </w:pPr>
      <w:r>
        <w:t>I</w:t>
      </w:r>
      <w:r w:rsidR="000A4D1E">
        <w:t>mprove</w:t>
      </w:r>
      <w:r w:rsidR="003477BE">
        <w:t xml:space="preserve"> IRR</w:t>
      </w:r>
      <w:r w:rsidR="000A4D1E">
        <w:t xml:space="preserve"> management information and measurement systems; or</w:t>
      </w:r>
    </w:p>
    <w:p w:rsidR="000A4D1E" w:rsidRDefault="00DA6293">
      <w:pPr>
        <w:numPr>
          <w:ilvl w:val="0"/>
          <w:numId w:val="3"/>
        </w:numPr>
      </w:pPr>
      <w:r>
        <w:t>T</w:t>
      </w:r>
      <w:r w:rsidR="000A4D1E">
        <w:t xml:space="preserve">ake other measures or some combination of actions, depending on the facts and circumstances of the individual institution. </w:t>
      </w:r>
    </w:p>
    <w:p w:rsidR="001F0262" w:rsidRDefault="001F0262" w:rsidP="00DA6293">
      <w:pPr>
        <w:ind w:firstLine="720"/>
      </w:pPr>
    </w:p>
    <w:p w:rsidR="00DA6293" w:rsidRPr="004A1119" w:rsidRDefault="00DA6293" w:rsidP="00DA6293">
      <w:pPr>
        <w:ind w:firstLine="720"/>
      </w:pPr>
      <w:r>
        <w:t xml:space="preserve">IRR management should be an integral component of an institution’s risk management infrastructure.  Management should assess the need to strengthen existing IRR practices by incorporating the supervisory expectations and management techniques highlighted in this advisory.    </w:t>
      </w:r>
    </w:p>
    <w:p w:rsidR="000A4D1E" w:rsidRPr="001E2533" w:rsidRDefault="000A4D1E">
      <w:pPr>
        <w:jc w:val="center"/>
        <w:rPr>
          <w:b/>
          <w:sz w:val="28"/>
          <w:szCs w:val="28"/>
        </w:rPr>
      </w:pPr>
      <w:r>
        <w:br w:type="page"/>
      </w:r>
      <w:r w:rsidRPr="001E2533">
        <w:rPr>
          <w:b/>
          <w:sz w:val="28"/>
          <w:szCs w:val="28"/>
        </w:rPr>
        <w:lastRenderedPageBreak/>
        <w:t>APPENDIX A</w:t>
      </w:r>
    </w:p>
    <w:p w:rsidR="000A4D1E" w:rsidRDefault="000A4D1E"/>
    <w:p w:rsidR="000A4D1E" w:rsidRDefault="00131CF4" w:rsidP="001E2533">
      <w:pPr>
        <w:jc w:val="center"/>
        <w:rPr>
          <w:b/>
        </w:rPr>
      </w:pPr>
      <w:r>
        <w:rPr>
          <w:b/>
        </w:rPr>
        <w:t xml:space="preserve">REGULATORY </w:t>
      </w:r>
      <w:r w:rsidR="001E2533">
        <w:rPr>
          <w:b/>
        </w:rPr>
        <w:t>GUIDANCE ON INTEREST RATE RISK</w:t>
      </w:r>
    </w:p>
    <w:p w:rsidR="001E2533" w:rsidRDefault="001E2533"/>
    <w:p w:rsidR="000A4D1E" w:rsidRPr="001E2533" w:rsidRDefault="000A4D1E">
      <w:pPr>
        <w:pStyle w:val="FootnoteText"/>
        <w:rPr>
          <w:b/>
          <w:sz w:val="24"/>
          <w:szCs w:val="24"/>
          <w:u w:val="single"/>
        </w:rPr>
      </w:pPr>
      <w:r w:rsidRPr="001E2533">
        <w:rPr>
          <w:b/>
          <w:sz w:val="24"/>
          <w:szCs w:val="24"/>
          <w:u w:val="single"/>
        </w:rPr>
        <w:t>F</w:t>
      </w:r>
      <w:r w:rsidR="00614807">
        <w:rPr>
          <w:b/>
          <w:sz w:val="24"/>
          <w:szCs w:val="24"/>
          <w:u w:val="single"/>
        </w:rPr>
        <w:t xml:space="preserve">ederal </w:t>
      </w:r>
      <w:r w:rsidRPr="001E2533">
        <w:rPr>
          <w:b/>
          <w:sz w:val="24"/>
          <w:szCs w:val="24"/>
          <w:u w:val="single"/>
        </w:rPr>
        <w:t>D</w:t>
      </w:r>
      <w:r w:rsidR="00614807">
        <w:rPr>
          <w:b/>
          <w:sz w:val="24"/>
          <w:szCs w:val="24"/>
          <w:u w:val="single"/>
        </w:rPr>
        <w:t xml:space="preserve">eposit </w:t>
      </w:r>
      <w:r w:rsidRPr="001E2533">
        <w:rPr>
          <w:b/>
          <w:sz w:val="24"/>
          <w:szCs w:val="24"/>
          <w:u w:val="single"/>
        </w:rPr>
        <w:t>I</w:t>
      </w:r>
      <w:r w:rsidR="00614807">
        <w:rPr>
          <w:b/>
          <w:sz w:val="24"/>
          <w:szCs w:val="24"/>
          <w:u w:val="single"/>
        </w:rPr>
        <w:t xml:space="preserve">nsurance </w:t>
      </w:r>
      <w:r w:rsidRPr="001E2533">
        <w:rPr>
          <w:b/>
          <w:sz w:val="24"/>
          <w:szCs w:val="24"/>
          <w:u w:val="single"/>
        </w:rPr>
        <w:t>C</w:t>
      </w:r>
      <w:r w:rsidR="00614807">
        <w:rPr>
          <w:b/>
          <w:sz w:val="24"/>
          <w:szCs w:val="24"/>
          <w:u w:val="single"/>
        </w:rPr>
        <w:t>orporation</w:t>
      </w:r>
      <w:r w:rsidRPr="001E2533">
        <w:rPr>
          <w:b/>
          <w:sz w:val="24"/>
          <w:szCs w:val="24"/>
          <w:u w:val="single"/>
        </w:rPr>
        <w:t>, F</w:t>
      </w:r>
      <w:r w:rsidR="00614807">
        <w:rPr>
          <w:b/>
          <w:sz w:val="24"/>
          <w:szCs w:val="24"/>
          <w:u w:val="single"/>
        </w:rPr>
        <w:t xml:space="preserve">ederal </w:t>
      </w:r>
      <w:r w:rsidRPr="001E2533">
        <w:rPr>
          <w:b/>
          <w:sz w:val="24"/>
          <w:szCs w:val="24"/>
          <w:u w:val="single"/>
        </w:rPr>
        <w:t>R</w:t>
      </w:r>
      <w:r w:rsidR="00614807">
        <w:rPr>
          <w:b/>
          <w:sz w:val="24"/>
          <w:szCs w:val="24"/>
          <w:u w:val="single"/>
        </w:rPr>
        <w:t xml:space="preserve">eserve </w:t>
      </w:r>
      <w:r w:rsidRPr="001E2533">
        <w:rPr>
          <w:b/>
          <w:sz w:val="24"/>
          <w:szCs w:val="24"/>
          <w:u w:val="single"/>
        </w:rPr>
        <w:t>B</w:t>
      </w:r>
      <w:r w:rsidR="00614807">
        <w:rPr>
          <w:b/>
          <w:sz w:val="24"/>
          <w:szCs w:val="24"/>
          <w:u w:val="single"/>
        </w:rPr>
        <w:t>oard</w:t>
      </w:r>
      <w:r w:rsidRPr="001E2533">
        <w:rPr>
          <w:b/>
          <w:sz w:val="24"/>
          <w:szCs w:val="24"/>
          <w:u w:val="single"/>
        </w:rPr>
        <w:t xml:space="preserve"> and </w:t>
      </w:r>
      <w:r w:rsidR="00614807" w:rsidRPr="001E2533">
        <w:rPr>
          <w:b/>
          <w:sz w:val="24"/>
          <w:szCs w:val="24"/>
          <w:u w:val="single"/>
        </w:rPr>
        <w:t>O</w:t>
      </w:r>
      <w:r w:rsidR="00614807">
        <w:rPr>
          <w:b/>
          <w:sz w:val="24"/>
          <w:szCs w:val="24"/>
          <w:u w:val="single"/>
        </w:rPr>
        <w:t xml:space="preserve">ffice of the </w:t>
      </w:r>
      <w:r w:rsidRPr="001E2533">
        <w:rPr>
          <w:b/>
          <w:sz w:val="24"/>
          <w:szCs w:val="24"/>
          <w:u w:val="single"/>
        </w:rPr>
        <w:t>C</w:t>
      </w:r>
      <w:r w:rsidR="00614807">
        <w:rPr>
          <w:b/>
          <w:sz w:val="24"/>
          <w:szCs w:val="24"/>
          <w:u w:val="single"/>
        </w:rPr>
        <w:t xml:space="preserve">omptroller of the </w:t>
      </w:r>
      <w:r w:rsidRPr="001E2533">
        <w:rPr>
          <w:b/>
          <w:sz w:val="24"/>
          <w:szCs w:val="24"/>
          <w:u w:val="single"/>
        </w:rPr>
        <w:t>C</w:t>
      </w:r>
      <w:r w:rsidR="00614807">
        <w:rPr>
          <w:b/>
          <w:sz w:val="24"/>
          <w:szCs w:val="24"/>
          <w:u w:val="single"/>
        </w:rPr>
        <w:t>urrency</w:t>
      </w:r>
      <w:r w:rsidR="001E2533" w:rsidRPr="001E2533">
        <w:rPr>
          <w:b/>
          <w:sz w:val="24"/>
          <w:szCs w:val="24"/>
          <w:u w:val="single"/>
        </w:rPr>
        <w:t>:</w:t>
      </w:r>
      <w:r w:rsidRPr="001E2533">
        <w:rPr>
          <w:b/>
          <w:sz w:val="24"/>
          <w:szCs w:val="24"/>
          <w:u w:val="single"/>
        </w:rPr>
        <w:t xml:space="preserve">  </w:t>
      </w:r>
    </w:p>
    <w:p w:rsidR="000A4D1E" w:rsidRDefault="000A4D1E">
      <w:pPr>
        <w:pStyle w:val="FootnoteText"/>
        <w:ind w:right="-990"/>
        <w:rPr>
          <w:sz w:val="24"/>
          <w:szCs w:val="24"/>
        </w:rPr>
      </w:pPr>
      <w:r>
        <w:rPr>
          <w:i/>
          <w:sz w:val="24"/>
          <w:szCs w:val="24"/>
        </w:rPr>
        <w:t xml:space="preserve">Interagency Policy Statement on Interest Rate Risk   </w:t>
      </w:r>
      <w:hyperlink r:id="rId7" w:history="1">
        <w:r>
          <w:rPr>
            <w:rStyle w:val="Hyperlink"/>
            <w:sz w:val="24"/>
            <w:szCs w:val="24"/>
          </w:rPr>
          <w:t>http://www.fdic.gov/news/news/financial/1996/fil9652.pdf</w:t>
        </w:r>
      </w:hyperlink>
      <w:r>
        <w:rPr>
          <w:sz w:val="24"/>
          <w:szCs w:val="24"/>
        </w:rPr>
        <w:t xml:space="preserve">   </w:t>
      </w:r>
    </w:p>
    <w:p w:rsidR="001F0C78" w:rsidRDefault="001F0C78">
      <w:pPr>
        <w:pStyle w:val="FootnoteText"/>
        <w:rPr>
          <w:b/>
          <w:sz w:val="24"/>
          <w:szCs w:val="24"/>
          <w:u w:val="single"/>
        </w:rPr>
      </w:pPr>
    </w:p>
    <w:p w:rsidR="000A4D1E" w:rsidRPr="001E2533" w:rsidRDefault="000A4D1E">
      <w:pPr>
        <w:pStyle w:val="FootnoteText"/>
        <w:rPr>
          <w:b/>
          <w:sz w:val="24"/>
          <w:szCs w:val="24"/>
          <w:u w:val="single"/>
        </w:rPr>
      </w:pPr>
      <w:r w:rsidRPr="001E2533">
        <w:rPr>
          <w:b/>
          <w:sz w:val="24"/>
          <w:szCs w:val="24"/>
          <w:u w:val="single"/>
        </w:rPr>
        <w:t xml:space="preserve">Additional </w:t>
      </w:r>
      <w:r w:rsidR="00614807" w:rsidRPr="001E2533">
        <w:rPr>
          <w:b/>
          <w:sz w:val="24"/>
          <w:szCs w:val="24"/>
          <w:u w:val="single"/>
        </w:rPr>
        <w:t>F</w:t>
      </w:r>
      <w:r w:rsidR="00614807">
        <w:rPr>
          <w:b/>
          <w:sz w:val="24"/>
          <w:szCs w:val="24"/>
          <w:u w:val="single"/>
        </w:rPr>
        <w:t xml:space="preserve">ederal </w:t>
      </w:r>
      <w:r w:rsidR="00614807" w:rsidRPr="001E2533">
        <w:rPr>
          <w:b/>
          <w:sz w:val="24"/>
          <w:szCs w:val="24"/>
          <w:u w:val="single"/>
        </w:rPr>
        <w:t>D</w:t>
      </w:r>
      <w:r w:rsidR="00614807">
        <w:rPr>
          <w:b/>
          <w:sz w:val="24"/>
          <w:szCs w:val="24"/>
          <w:u w:val="single"/>
        </w:rPr>
        <w:t xml:space="preserve">eposit </w:t>
      </w:r>
      <w:r w:rsidR="00614807" w:rsidRPr="001E2533">
        <w:rPr>
          <w:b/>
          <w:sz w:val="24"/>
          <w:szCs w:val="24"/>
          <w:u w:val="single"/>
        </w:rPr>
        <w:t>I</w:t>
      </w:r>
      <w:r w:rsidR="00614807">
        <w:rPr>
          <w:b/>
          <w:sz w:val="24"/>
          <w:szCs w:val="24"/>
          <w:u w:val="single"/>
        </w:rPr>
        <w:t xml:space="preserve">nsurance </w:t>
      </w:r>
      <w:r w:rsidR="00614807" w:rsidRPr="001E2533">
        <w:rPr>
          <w:b/>
          <w:sz w:val="24"/>
          <w:szCs w:val="24"/>
          <w:u w:val="single"/>
        </w:rPr>
        <w:t>C</w:t>
      </w:r>
      <w:r w:rsidR="00614807">
        <w:rPr>
          <w:b/>
          <w:sz w:val="24"/>
          <w:szCs w:val="24"/>
          <w:u w:val="single"/>
        </w:rPr>
        <w:t>orporation</w:t>
      </w:r>
      <w:r w:rsidR="001E2533" w:rsidRPr="001E2533">
        <w:rPr>
          <w:b/>
          <w:sz w:val="24"/>
          <w:szCs w:val="24"/>
          <w:u w:val="single"/>
        </w:rPr>
        <w:t>:</w:t>
      </w:r>
      <w:r w:rsidRPr="001E2533">
        <w:rPr>
          <w:b/>
          <w:sz w:val="24"/>
          <w:szCs w:val="24"/>
          <w:u w:val="single"/>
        </w:rPr>
        <w:t xml:space="preserve"> </w:t>
      </w:r>
    </w:p>
    <w:p w:rsidR="000A4D1E" w:rsidRDefault="000A4D1E">
      <w:pPr>
        <w:pStyle w:val="FootnoteText"/>
        <w:ind w:right="-990"/>
        <w:rPr>
          <w:sz w:val="24"/>
          <w:szCs w:val="24"/>
        </w:rPr>
      </w:pPr>
      <w:r>
        <w:rPr>
          <w:i/>
          <w:sz w:val="24"/>
          <w:szCs w:val="24"/>
        </w:rPr>
        <w:t xml:space="preserve">Risk Management Manual of Examination Policies </w:t>
      </w:r>
      <w:r>
        <w:rPr>
          <w:sz w:val="24"/>
          <w:szCs w:val="24"/>
        </w:rPr>
        <w:t xml:space="preserve">(section 7.1) </w:t>
      </w:r>
      <w:hyperlink r:id="rId8" w:history="1">
        <w:r>
          <w:rPr>
            <w:rStyle w:val="Hyperlink"/>
            <w:sz w:val="24"/>
            <w:szCs w:val="24"/>
          </w:rPr>
          <w:t>http://www.fdic.gov/regulations/safety/manual/section7-1_toc.html</w:t>
        </w:r>
      </w:hyperlink>
    </w:p>
    <w:p w:rsidR="001F0C78" w:rsidRDefault="001F0C78">
      <w:pPr>
        <w:pStyle w:val="FootnoteText"/>
        <w:rPr>
          <w:b/>
          <w:sz w:val="24"/>
          <w:szCs w:val="24"/>
          <w:u w:val="single"/>
        </w:rPr>
      </w:pPr>
    </w:p>
    <w:p w:rsidR="000A4D1E" w:rsidRPr="001E2533" w:rsidRDefault="000A4D1E">
      <w:pPr>
        <w:pStyle w:val="FootnoteText"/>
        <w:rPr>
          <w:b/>
          <w:sz w:val="24"/>
          <w:szCs w:val="24"/>
          <w:u w:val="single"/>
        </w:rPr>
      </w:pPr>
      <w:r w:rsidRPr="001E2533">
        <w:rPr>
          <w:b/>
          <w:sz w:val="24"/>
          <w:szCs w:val="24"/>
          <w:u w:val="single"/>
        </w:rPr>
        <w:t xml:space="preserve">Additional </w:t>
      </w:r>
      <w:r w:rsidR="00614807" w:rsidRPr="001E2533">
        <w:rPr>
          <w:b/>
          <w:sz w:val="24"/>
          <w:szCs w:val="24"/>
          <w:u w:val="single"/>
        </w:rPr>
        <w:t>F</w:t>
      </w:r>
      <w:r w:rsidR="00614807">
        <w:rPr>
          <w:b/>
          <w:sz w:val="24"/>
          <w:szCs w:val="24"/>
          <w:u w:val="single"/>
        </w:rPr>
        <w:t xml:space="preserve">ederal </w:t>
      </w:r>
      <w:r w:rsidR="00614807" w:rsidRPr="001E2533">
        <w:rPr>
          <w:b/>
          <w:sz w:val="24"/>
          <w:szCs w:val="24"/>
          <w:u w:val="single"/>
        </w:rPr>
        <w:t>R</w:t>
      </w:r>
      <w:r w:rsidR="00614807">
        <w:rPr>
          <w:b/>
          <w:sz w:val="24"/>
          <w:szCs w:val="24"/>
          <w:u w:val="single"/>
        </w:rPr>
        <w:t xml:space="preserve">eserve </w:t>
      </w:r>
      <w:proofErr w:type="gramStart"/>
      <w:r w:rsidR="00614807" w:rsidRPr="001E2533">
        <w:rPr>
          <w:b/>
          <w:sz w:val="24"/>
          <w:szCs w:val="24"/>
          <w:u w:val="single"/>
        </w:rPr>
        <w:t>B</w:t>
      </w:r>
      <w:r w:rsidR="00614807">
        <w:rPr>
          <w:b/>
          <w:sz w:val="24"/>
          <w:szCs w:val="24"/>
          <w:u w:val="single"/>
        </w:rPr>
        <w:t>oard</w:t>
      </w:r>
      <w:r w:rsidR="00614807" w:rsidRPr="001E2533">
        <w:rPr>
          <w:b/>
          <w:sz w:val="24"/>
          <w:szCs w:val="24"/>
          <w:u w:val="single"/>
        </w:rPr>
        <w:t xml:space="preserve"> </w:t>
      </w:r>
      <w:r w:rsidR="001E2533" w:rsidRPr="001E2533">
        <w:rPr>
          <w:b/>
          <w:sz w:val="24"/>
          <w:szCs w:val="24"/>
          <w:u w:val="single"/>
        </w:rPr>
        <w:t>:</w:t>
      </w:r>
      <w:proofErr w:type="gramEnd"/>
      <w:r w:rsidRPr="001E2533">
        <w:rPr>
          <w:b/>
          <w:sz w:val="24"/>
          <w:szCs w:val="24"/>
          <w:u w:val="single"/>
        </w:rPr>
        <w:t xml:space="preserve"> </w:t>
      </w:r>
    </w:p>
    <w:p w:rsidR="009D1D0F" w:rsidRDefault="000A4D1E">
      <w:pPr>
        <w:pStyle w:val="FootnoteText"/>
        <w:ind w:right="-1440"/>
        <w:rPr>
          <w:sz w:val="24"/>
          <w:szCs w:val="24"/>
        </w:rPr>
      </w:pPr>
      <w:r>
        <w:rPr>
          <w:i/>
          <w:iCs/>
          <w:sz w:val="24"/>
          <w:szCs w:val="24"/>
        </w:rPr>
        <w:t>Commercial Bank Examination Manual</w:t>
      </w:r>
      <w:r>
        <w:rPr>
          <w:sz w:val="24"/>
          <w:szCs w:val="24"/>
        </w:rPr>
        <w:t xml:space="preserve"> (section 4090)</w:t>
      </w:r>
    </w:p>
    <w:p w:rsidR="000A4D1E" w:rsidRDefault="00D71AD6">
      <w:pPr>
        <w:pStyle w:val="FootnoteText"/>
        <w:ind w:right="-1440"/>
        <w:rPr>
          <w:sz w:val="24"/>
          <w:szCs w:val="24"/>
        </w:rPr>
      </w:pPr>
      <w:hyperlink r:id="rId9" w:anchor="cbem" w:history="1">
        <w:r w:rsidR="00643347" w:rsidRPr="00A04AF0">
          <w:rPr>
            <w:rStyle w:val="Hyperlink"/>
            <w:sz w:val="24"/>
            <w:szCs w:val="24"/>
          </w:rPr>
          <w:t>http://www.federalreserve.gov/boarddocs/supmanual/default.htm#cbem</w:t>
        </w:r>
      </w:hyperlink>
    </w:p>
    <w:p w:rsidR="000A4D1E" w:rsidRDefault="000A4D1E">
      <w:pPr>
        <w:pStyle w:val="FootnoteText"/>
        <w:rPr>
          <w:sz w:val="24"/>
          <w:szCs w:val="24"/>
        </w:rPr>
      </w:pPr>
      <w:r>
        <w:rPr>
          <w:i/>
          <w:iCs/>
          <w:sz w:val="24"/>
          <w:szCs w:val="24"/>
        </w:rPr>
        <w:t xml:space="preserve">Bank Holding Company Supervision Manual </w:t>
      </w:r>
      <w:r>
        <w:rPr>
          <w:sz w:val="24"/>
          <w:szCs w:val="24"/>
        </w:rPr>
        <w:t>(section 2127)</w:t>
      </w:r>
    </w:p>
    <w:p w:rsidR="00643347" w:rsidRDefault="00D71AD6">
      <w:pPr>
        <w:pStyle w:val="FootnoteText"/>
        <w:rPr>
          <w:sz w:val="24"/>
          <w:szCs w:val="24"/>
        </w:rPr>
      </w:pPr>
      <w:hyperlink r:id="rId10" w:anchor="bhcsm" w:history="1">
        <w:r w:rsidR="00643347" w:rsidRPr="00A04AF0">
          <w:rPr>
            <w:rStyle w:val="Hyperlink"/>
            <w:sz w:val="24"/>
            <w:szCs w:val="24"/>
          </w:rPr>
          <w:t>http://www.federalreserve.gov/boarddocs/supmanual/default.htm#bhcsm</w:t>
        </w:r>
      </w:hyperlink>
    </w:p>
    <w:p w:rsidR="000A4D1E" w:rsidRDefault="000A4D1E">
      <w:pPr>
        <w:pStyle w:val="FootnoteText"/>
        <w:rPr>
          <w:sz w:val="24"/>
          <w:szCs w:val="24"/>
        </w:rPr>
      </w:pPr>
      <w:r>
        <w:rPr>
          <w:i/>
          <w:iCs/>
          <w:sz w:val="24"/>
          <w:szCs w:val="24"/>
        </w:rPr>
        <w:t>Trading and Capital Markets Activities Manual</w:t>
      </w:r>
      <w:r>
        <w:rPr>
          <w:sz w:val="24"/>
          <w:szCs w:val="24"/>
        </w:rPr>
        <w:t xml:space="preserve"> (section 3010) </w:t>
      </w:r>
    </w:p>
    <w:p w:rsidR="00643347" w:rsidRDefault="00D71AD6">
      <w:pPr>
        <w:pStyle w:val="FootnoteText"/>
        <w:rPr>
          <w:sz w:val="24"/>
          <w:szCs w:val="24"/>
        </w:rPr>
      </w:pPr>
      <w:hyperlink r:id="rId11" w:anchor="trading" w:history="1">
        <w:r w:rsidR="00643347" w:rsidRPr="00A04AF0">
          <w:rPr>
            <w:rStyle w:val="Hyperlink"/>
            <w:sz w:val="24"/>
            <w:szCs w:val="24"/>
          </w:rPr>
          <w:t>http://www.federalreserve.gov/boarddocs/supmanual/default.htm#trading</w:t>
        </w:r>
      </w:hyperlink>
    </w:p>
    <w:p w:rsidR="001F0C78" w:rsidRDefault="001F0C78">
      <w:pPr>
        <w:pStyle w:val="FootnoteText"/>
        <w:rPr>
          <w:b/>
          <w:sz w:val="24"/>
          <w:szCs w:val="24"/>
          <w:u w:val="single"/>
        </w:rPr>
      </w:pPr>
    </w:p>
    <w:p w:rsidR="00614807" w:rsidRPr="001E2533" w:rsidRDefault="000A4D1E" w:rsidP="00614807">
      <w:pPr>
        <w:pStyle w:val="FootnoteText"/>
        <w:rPr>
          <w:b/>
          <w:sz w:val="24"/>
          <w:szCs w:val="24"/>
          <w:u w:val="single"/>
        </w:rPr>
      </w:pPr>
      <w:r w:rsidRPr="001E2533">
        <w:rPr>
          <w:b/>
          <w:sz w:val="24"/>
          <w:szCs w:val="24"/>
          <w:u w:val="single"/>
        </w:rPr>
        <w:t xml:space="preserve">Additional </w:t>
      </w:r>
      <w:r w:rsidR="00614807" w:rsidRPr="001E2533">
        <w:rPr>
          <w:b/>
          <w:sz w:val="24"/>
          <w:szCs w:val="24"/>
          <w:u w:val="single"/>
        </w:rPr>
        <w:t>O</w:t>
      </w:r>
      <w:r w:rsidR="00614807">
        <w:rPr>
          <w:b/>
          <w:sz w:val="24"/>
          <w:szCs w:val="24"/>
          <w:u w:val="single"/>
        </w:rPr>
        <w:t xml:space="preserve">ffice of the </w:t>
      </w:r>
      <w:r w:rsidR="00614807" w:rsidRPr="001E2533">
        <w:rPr>
          <w:b/>
          <w:sz w:val="24"/>
          <w:szCs w:val="24"/>
          <w:u w:val="single"/>
        </w:rPr>
        <w:t>C</w:t>
      </w:r>
      <w:r w:rsidR="00614807">
        <w:rPr>
          <w:b/>
          <w:sz w:val="24"/>
          <w:szCs w:val="24"/>
          <w:u w:val="single"/>
        </w:rPr>
        <w:t xml:space="preserve">omptroller of the </w:t>
      </w:r>
      <w:r w:rsidR="00614807" w:rsidRPr="001E2533">
        <w:rPr>
          <w:b/>
          <w:sz w:val="24"/>
          <w:szCs w:val="24"/>
          <w:u w:val="single"/>
        </w:rPr>
        <w:t>C</w:t>
      </w:r>
      <w:r w:rsidR="00614807">
        <w:rPr>
          <w:b/>
          <w:sz w:val="24"/>
          <w:szCs w:val="24"/>
          <w:u w:val="single"/>
        </w:rPr>
        <w:t>urrency</w:t>
      </w:r>
      <w:r w:rsidR="00614807" w:rsidRPr="001E2533">
        <w:rPr>
          <w:b/>
          <w:sz w:val="24"/>
          <w:szCs w:val="24"/>
          <w:u w:val="single"/>
        </w:rPr>
        <w:t xml:space="preserve">:  </w:t>
      </w:r>
    </w:p>
    <w:p w:rsidR="00B15A24" w:rsidRDefault="00B15A24">
      <w:pPr>
        <w:pStyle w:val="FootnoteText"/>
        <w:ind w:right="-1080"/>
        <w:rPr>
          <w:i/>
          <w:iCs/>
          <w:sz w:val="24"/>
          <w:szCs w:val="24"/>
        </w:rPr>
      </w:pPr>
    </w:p>
    <w:p w:rsidR="000A4D1E" w:rsidRDefault="000A4D1E">
      <w:pPr>
        <w:pStyle w:val="FootnoteText"/>
        <w:ind w:right="-1080"/>
        <w:rPr>
          <w:sz w:val="24"/>
          <w:szCs w:val="24"/>
        </w:rPr>
      </w:pPr>
      <w:r>
        <w:rPr>
          <w:i/>
          <w:iCs/>
          <w:sz w:val="24"/>
          <w:szCs w:val="24"/>
        </w:rPr>
        <w:t>Comptroller’s Handbook on Interest Rate Risk</w:t>
      </w:r>
      <w:r>
        <w:rPr>
          <w:sz w:val="24"/>
          <w:szCs w:val="24"/>
        </w:rPr>
        <w:t xml:space="preserve"> </w:t>
      </w:r>
    </w:p>
    <w:p w:rsidR="009F0BED" w:rsidRDefault="00D71AD6" w:rsidP="009F0BED">
      <w:pPr>
        <w:pStyle w:val="FootnoteText"/>
        <w:rPr>
          <w:rStyle w:val="Emphasis"/>
          <w:sz w:val="24"/>
          <w:szCs w:val="24"/>
        </w:rPr>
      </w:pPr>
      <w:hyperlink r:id="rId12" w:history="1">
        <w:r w:rsidR="009F0BED">
          <w:rPr>
            <w:rStyle w:val="Hyperlink"/>
            <w:sz w:val="24"/>
            <w:szCs w:val="24"/>
          </w:rPr>
          <w:t>http://www.occ.treas.gov/handbook/irr.pdf</w:t>
        </w:r>
      </w:hyperlink>
    </w:p>
    <w:p w:rsidR="009F0BED" w:rsidRDefault="000A4D1E">
      <w:pPr>
        <w:pStyle w:val="FootnoteText"/>
        <w:rPr>
          <w:rFonts w:cs="Arial"/>
          <w:color w:val="000000"/>
          <w:sz w:val="24"/>
          <w:szCs w:val="24"/>
        </w:rPr>
      </w:pPr>
      <w:r>
        <w:rPr>
          <w:rFonts w:cs="Arial"/>
          <w:i/>
          <w:color w:val="000000"/>
          <w:sz w:val="24"/>
          <w:szCs w:val="24"/>
        </w:rPr>
        <w:t>Model Validation</w:t>
      </w:r>
      <w:r>
        <w:rPr>
          <w:rFonts w:ascii="Arial" w:hAnsi="Arial" w:cs="Arial"/>
          <w:color w:val="000000"/>
          <w:sz w:val="24"/>
          <w:szCs w:val="24"/>
        </w:rPr>
        <w:t xml:space="preserve"> (</w:t>
      </w:r>
      <w:r>
        <w:rPr>
          <w:rFonts w:cs="Arial"/>
          <w:color w:val="000000"/>
          <w:sz w:val="24"/>
          <w:szCs w:val="24"/>
        </w:rPr>
        <w:t>Bulletin 2000-16)</w:t>
      </w:r>
    </w:p>
    <w:p w:rsidR="009F0BED" w:rsidRDefault="00D71AD6" w:rsidP="009F0BED">
      <w:pPr>
        <w:pStyle w:val="FootnoteText"/>
        <w:ind w:right="-1080"/>
        <w:rPr>
          <w:rStyle w:val="Emphasis"/>
          <w:i w:val="0"/>
          <w:color w:val="000000"/>
          <w:sz w:val="24"/>
          <w:szCs w:val="24"/>
        </w:rPr>
      </w:pPr>
      <w:hyperlink r:id="rId13" w:tooltip="http://www.occ.treas.gov/ftp/bulletin/2000-16.doc" w:history="1">
        <w:r w:rsidR="009F0BED">
          <w:rPr>
            <w:rStyle w:val="Hyperlink"/>
            <w:iCs/>
            <w:sz w:val="24"/>
            <w:szCs w:val="24"/>
          </w:rPr>
          <w:t>http://www.occ.treas.gov/ftp/bulletin/2000-16.doc</w:t>
        </w:r>
      </w:hyperlink>
    </w:p>
    <w:p w:rsidR="000A4D1E" w:rsidRPr="001E2533" w:rsidRDefault="001E2533">
      <w:pPr>
        <w:pStyle w:val="FootnoteText"/>
        <w:rPr>
          <w:rFonts w:cs="Arial"/>
          <w:i/>
          <w:color w:val="000000"/>
          <w:sz w:val="24"/>
          <w:szCs w:val="24"/>
        </w:rPr>
      </w:pPr>
      <w:r w:rsidRPr="001E2533">
        <w:rPr>
          <w:rFonts w:cs="Arial"/>
          <w:i/>
          <w:color w:val="000000"/>
          <w:sz w:val="24"/>
          <w:szCs w:val="24"/>
        </w:rPr>
        <w:t>Risk Management of Financial Derivatives</w:t>
      </w:r>
    </w:p>
    <w:p w:rsidR="001E2533" w:rsidRPr="001E2533" w:rsidRDefault="00D71AD6">
      <w:pPr>
        <w:pStyle w:val="FootnoteText"/>
        <w:rPr>
          <w:rFonts w:cs="Arial"/>
          <w:color w:val="000000"/>
          <w:sz w:val="24"/>
          <w:szCs w:val="24"/>
        </w:rPr>
      </w:pPr>
      <w:hyperlink r:id="rId14" w:history="1">
        <w:r w:rsidR="001E2533" w:rsidRPr="001E2533">
          <w:rPr>
            <w:rStyle w:val="Hyperlink"/>
            <w:rFonts w:cs="Arial"/>
            <w:sz w:val="24"/>
            <w:szCs w:val="24"/>
          </w:rPr>
          <w:t>http://www.occ.treas.gov/handbook/deriv.pdf</w:t>
        </w:r>
      </w:hyperlink>
    </w:p>
    <w:p w:rsidR="001E2533" w:rsidRPr="001E2533" w:rsidRDefault="001E2533">
      <w:pPr>
        <w:pStyle w:val="FootnoteText"/>
        <w:rPr>
          <w:rFonts w:ascii="Arial" w:hAnsi="Arial" w:cs="Arial"/>
          <w:color w:val="000000"/>
          <w:sz w:val="24"/>
          <w:szCs w:val="24"/>
        </w:rPr>
      </w:pPr>
    </w:p>
    <w:p w:rsidR="000A4D1E" w:rsidRPr="001E2533" w:rsidRDefault="000A4D1E">
      <w:pPr>
        <w:pStyle w:val="FootnoteText"/>
        <w:rPr>
          <w:b/>
          <w:sz w:val="24"/>
          <w:szCs w:val="24"/>
          <w:u w:val="single"/>
        </w:rPr>
      </w:pPr>
      <w:r w:rsidRPr="001E2533">
        <w:rPr>
          <w:b/>
          <w:sz w:val="24"/>
          <w:szCs w:val="24"/>
          <w:u w:val="single"/>
        </w:rPr>
        <w:t>O</w:t>
      </w:r>
      <w:r w:rsidR="00614807">
        <w:rPr>
          <w:b/>
          <w:sz w:val="24"/>
          <w:szCs w:val="24"/>
          <w:u w:val="single"/>
        </w:rPr>
        <w:t xml:space="preserve">ffice of </w:t>
      </w:r>
      <w:r w:rsidRPr="001E2533">
        <w:rPr>
          <w:b/>
          <w:sz w:val="24"/>
          <w:szCs w:val="24"/>
          <w:u w:val="single"/>
        </w:rPr>
        <w:t>T</w:t>
      </w:r>
      <w:r w:rsidR="00614807">
        <w:rPr>
          <w:b/>
          <w:sz w:val="24"/>
          <w:szCs w:val="24"/>
          <w:u w:val="single"/>
        </w:rPr>
        <w:t xml:space="preserve">hrift </w:t>
      </w:r>
      <w:r w:rsidRPr="001E2533">
        <w:rPr>
          <w:b/>
          <w:sz w:val="24"/>
          <w:szCs w:val="24"/>
          <w:u w:val="single"/>
        </w:rPr>
        <w:t>S</w:t>
      </w:r>
      <w:r w:rsidR="00614807">
        <w:rPr>
          <w:b/>
          <w:sz w:val="24"/>
          <w:szCs w:val="24"/>
          <w:u w:val="single"/>
        </w:rPr>
        <w:t>upervision</w:t>
      </w:r>
      <w:r w:rsidR="001E2533">
        <w:rPr>
          <w:b/>
          <w:sz w:val="24"/>
          <w:szCs w:val="24"/>
          <w:u w:val="single"/>
        </w:rPr>
        <w:t>:</w:t>
      </w:r>
    </w:p>
    <w:p w:rsidR="000A4D1E" w:rsidRDefault="000A4D1E">
      <w:pPr>
        <w:pStyle w:val="FootnoteText"/>
        <w:rPr>
          <w:sz w:val="24"/>
          <w:szCs w:val="24"/>
        </w:rPr>
      </w:pPr>
      <w:r>
        <w:rPr>
          <w:i/>
          <w:sz w:val="24"/>
          <w:szCs w:val="24"/>
        </w:rPr>
        <w:t>Management of Interest Rate Risk; Investment Securities and Derivatives Activities</w:t>
      </w:r>
      <w:r>
        <w:rPr>
          <w:sz w:val="24"/>
          <w:szCs w:val="24"/>
        </w:rPr>
        <w:t xml:space="preserve"> (TB</w:t>
      </w:r>
      <w:r w:rsidR="00DA6293">
        <w:rPr>
          <w:sz w:val="24"/>
          <w:szCs w:val="24"/>
        </w:rPr>
        <w:noBreakHyphen/>
      </w:r>
      <w:r>
        <w:rPr>
          <w:sz w:val="24"/>
          <w:szCs w:val="24"/>
        </w:rPr>
        <w:t xml:space="preserve">13a) </w:t>
      </w:r>
      <w:hyperlink r:id="rId15" w:history="1">
        <w:r>
          <w:rPr>
            <w:rStyle w:val="Hyperlink"/>
            <w:sz w:val="24"/>
            <w:szCs w:val="24"/>
          </w:rPr>
          <w:t>http://files.ots.treas.gov/84074.pdf</w:t>
        </w:r>
      </w:hyperlink>
      <w:r>
        <w:rPr>
          <w:sz w:val="24"/>
          <w:szCs w:val="24"/>
        </w:rPr>
        <w:t xml:space="preserve">  </w:t>
      </w:r>
    </w:p>
    <w:p w:rsidR="000A4D1E" w:rsidRDefault="000A4D1E">
      <w:pPr>
        <w:pStyle w:val="FootnoteText"/>
        <w:rPr>
          <w:sz w:val="24"/>
          <w:szCs w:val="24"/>
        </w:rPr>
      </w:pPr>
      <w:r>
        <w:rPr>
          <w:i/>
          <w:sz w:val="24"/>
          <w:szCs w:val="24"/>
        </w:rPr>
        <w:t>Risk Management Practices in the Current Interest Rate Environment</w:t>
      </w:r>
      <w:r>
        <w:rPr>
          <w:sz w:val="24"/>
          <w:szCs w:val="24"/>
        </w:rPr>
        <w:t xml:space="preserve"> </w:t>
      </w:r>
    </w:p>
    <w:p w:rsidR="000A4D1E" w:rsidRDefault="00D71AD6">
      <w:pPr>
        <w:pStyle w:val="FootnoteText"/>
        <w:rPr>
          <w:sz w:val="24"/>
          <w:szCs w:val="24"/>
        </w:rPr>
      </w:pPr>
      <w:hyperlink r:id="rId16" w:history="1">
        <w:r w:rsidR="000A4D1E">
          <w:rPr>
            <w:rStyle w:val="Hyperlink"/>
            <w:sz w:val="24"/>
            <w:szCs w:val="24"/>
          </w:rPr>
          <w:t>http://files.ots.treas.gov/25195.pdf</w:t>
        </w:r>
      </w:hyperlink>
      <w:r w:rsidR="000A4D1E">
        <w:rPr>
          <w:sz w:val="24"/>
          <w:szCs w:val="24"/>
        </w:rPr>
        <w:t xml:space="preserve">  </w:t>
      </w:r>
    </w:p>
    <w:p w:rsidR="000A4D1E" w:rsidRDefault="000A4D1E">
      <w:pPr>
        <w:pStyle w:val="FootnoteText"/>
        <w:rPr>
          <w:sz w:val="24"/>
          <w:szCs w:val="24"/>
        </w:rPr>
      </w:pPr>
    </w:p>
    <w:p w:rsidR="000A4D1E" w:rsidRPr="001E2533" w:rsidRDefault="000A4D1E">
      <w:pPr>
        <w:pStyle w:val="FootnoteText"/>
        <w:rPr>
          <w:b/>
          <w:sz w:val="24"/>
          <w:szCs w:val="24"/>
          <w:u w:val="single"/>
        </w:rPr>
      </w:pPr>
      <w:r w:rsidRPr="001E2533">
        <w:rPr>
          <w:b/>
          <w:sz w:val="24"/>
          <w:szCs w:val="24"/>
          <w:u w:val="single"/>
        </w:rPr>
        <w:t>N</w:t>
      </w:r>
      <w:r w:rsidR="00614807">
        <w:rPr>
          <w:b/>
          <w:sz w:val="24"/>
          <w:szCs w:val="24"/>
          <w:u w:val="single"/>
        </w:rPr>
        <w:t xml:space="preserve">ational </w:t>
      </w:r>
      <w:r w:rsidRPr="001E2533">
        <w:rPr>
          <w:b/>
          <w:sz w:val="24"/>
          <w:szCs w:val="24"/>
          <w:u w:val="single"/>
        </w:rPr>
        <w:t>C</w:t>
      </w:r>
      <w:r w:rsidR="00614807">
        <w:rPr>
          <w:b/>
          <w:sz w:val="24"/>
          <w:szCs w:val="24"/>
          <w:u w:val="single"/>
        </w:rPr>
        <w:t xml:space="preserve">redit </w:t>
      </w:r>
      <w:r w:rsidRPr="001E2533">
        <w:rPr>
          <w:b/>
          <w:sz w:val="24"/>
          <w:szCs w:val="24"/>
          <w:u w:val="single"/>
        </w:rPr>
        <w:t>U</w:t>
      </w:r>
      <w:r w:rsidR="00614807">
        <w:rPr>
          <w:b/>
          <w:sz w:val="24"/>
          <w:szCs w:val="24"/>
          <w:u w:val="single"/>
        </w:rPr>
        <w:t xml:space="preserve">nion </w:t>
      </w:r>
      <w:r w:rsidR="00614807" w:rsidRPr="001E2533">
        <w:rPr>
          <w:b/>
          <w:sz w:val="24"/>
          <w:szCs w:val="24"/>
          <w:u w:val="single"/>
        </w:rPr>
        <w:t>A</w:t>
      </w:r>
      <w:r w:rsidR="00614807">
        <w:rPr>
          <w:b/>
          <w:sz w:val="24"/>
          <w:szCs w:val="24"/>
          <w:u w:val="single"/>
        </w:rPr>
        <w:t>dministration</w:t>
      </w:r>
      <w:r w:rsidR="001E2533" w:rsidRPr="001E2533">
        <w:rPr>
          <w:b/>
          <w:sz w:val="24"/>
          <w:szCs w:val="24"/>
          <w:u w:val="single"/>
        </w:rPr>
        <w:t>:</w:t>
      </w:r>
      <w:r w:rsidRPr="001E2533">
        <w:rPr>
          <w:b/>
          <w:sz w:val="24"/>
          <w:szCs w:val="24"/>
          <w:u w:val="single"/>
        </w:rPr>
        <w:t xml:space="preserve"> </w:t>
      </w:r>
    </w:p>
    <w:p w:rsidR="000A4D1E" w:rsidRDefault="000A4D1E">
      <w:pPr>
        <w:pStyle w:val="FootnoteText"/>
        <w:rPr>
          <w:sz w:val="24"/>
          <w:szCs w:val="24"/>
        </w:rPr>
      </w:pPr>
      <w:r>
        <w:rPr>
          <w:i/>
          <w:sz w:val="24"/>
          <w:szCs w:val="24"/>
        </w:rPr>
        <w:t xml:space="preserve">Real Estate Lending and Balance sheet Management </w:t>
      </w:r>
      <w:r>
        <w:rPr>
          <w:sz w:val="24"/>
          <w:szCs w:val="24"/>
        </w:rPr>
        <w:t xml:space="preserve">(99-CU-12) </w:t>
      </w:r>
    </w:p>
    <w:p w:rsidR="000A4D1E" w:rsidRDefault="000A4D1E">
      <w:pPr>
        <w:pStyle w:val="FootnoteText"/>
        <w:rPr>
          <w:sz w:val="24"/>
          <w:szCs w:val="24"/>
        </w:rPr>
      </w:pPr>
      <w:r>
        <w:rPr>
          <w:i/>
          <w:sz w:val="24"/>
          <w:szCs w:val="24"/>
        </w:rPr>
        <w:t xml:space="preserve">Asset Liability Management Procedures </w:t>
      </w:r>
      <w:r w:rsidRPr="00643347">
        <w:rPr>
          <w:sz w:val="24"/>
          <w:szCs w:val="24"/>
        </w:rPr>
        <w:t>(</w:t>
      </w:r>
      <w:r>
        <w:rPr>
          <w:sz w:val="24"/>
          <w:szCs w:val="24"/>
        </w:rPr>
        <w:t>00</w:t>
      </w:r>
      <w:r>
        <w:rPr>
          <w:sz w:val="24"/>
          <w:szCs w:val="24"/>
        </w:rPr>
        <w:noBreakHyphen/>
        <w:t>CU</w:t>
      </w:r>
      <w:r>
        <w:rPr>
          <w:sz w:val="24"/>
          <w:szCs w:val="24"/>
        </w:rPr>
        <w:noBreakHyphen/>
        <w:t>10)</w:t>
      </w:r>
    </w:p>
    <w:p w:rsidR="000A4D1E" w:rsidRDefault="000A4D1E">
      <w:pPr>
        <w:pStyle w:val="FootnoteText"/>
        <w:rPr>
          <w:i/>
          <w:sz w:val="24"/>
          <w:szCs w:val="24"/>
        </w:rPr>
      </w:pPr>
      <w:r>
        <w:rPr>
          <w:i/>
          <w:sz w:val="24"/>
          <w:szCs w:val="24"/>
        </w:rPr>
        <w:t xml:space="preserve">Liability Management - Rate-Sensitive and Volatile Funding Sources </w:t>
      </w:r>
      <w:r w:rsidRPr="00643347">
        <w:rPr>
          <w:sz w:val="24"/>
          <w:szCs w:val="24"/>
        </w:rPr>
        <w:t>(</w:t>
      </w:r>
      <w:r w:rsidRPr="00DA6293">
        <w:rPr>
          <w:sz w:val="24"/>
          <w:szCs w:val="24"/>
        </w:rPr>
        <w:t>01</w:t>
      </w:r>
      <w:r>
        <w:rPr>
          <w:sz w:val="24"/>
          <w:szCs w:val="24"/>
        </w:rPr>
        <w:t>-CU-08)</w:t>
      </w:r>
    </w:p>
    <w:p w:rsidR="000A4D1E" w:rsidRDefault="000A4D1E">
      <w:pPr>
        <w:pStyle w:val="FootnoteText"/>
        <w:rPr>
          <w:sz w:val="24"/>
          <w:szCs w:val="24"/>
        </w:rPr>
      </w:pPr>
      <w:r>
        <w:rPr>
          <w:i/>
          <w:sz w:val="24"/>
          <w:szCs w:val="24"/>
        </w:rPr>
        <w:t xml:space="preserve">Managing Share Inflows in Uncertain Times </w:t>
      </w:r>
      <w:r w:rsidRPr="00643347">
        <w:rPr>
          <w:sz w:val="24"/>
          <w:szCs w:val="24"/>
        </w:rPr>
        <w:t>(</w:t>
      </w:r>
      <w:r>
        <w:rPr>
          <w:sz w:val="24"/>
          <w:szCs w:val="24"/>
        </w:rPr>
        <w:t>01-CU-19)</w:t>
      </w:r>
    </w:p>
    <w:p w:rsidR="000A4D1E" w:rsidRDefault="000A4D1E">
      <w:pPr>
        <w:pStyle w:val="FootnoteText"/>
        <w:rPr>
          <w:i/>
          <w:sz w:val="24"/>
          <w:szCs w:val="24"/>
        </w:rPr>
      </w:pPr>
      <w:r>
        <w:rPr>
          <w:i/>
          <w:sz w:val="24"/>
          <w:szCs w:val="24"/>
        </w:rPr>
        <w:t>Non-maturity Shares and Balance Sheet Risk</w:t>
      </w:r>
      <w:r>
        <w:rPr>
          <w:sz w:val="24"/>
          <w:szCs w:val="24"/>
        </w:rPr>
        <w:t xml:space="preserve"> (</w:t>
      </w:r>
      <w:r w:rsidRPr="00DA6293">
        <w:rPr>
          <w:sz w:val="24"/>
          <w:szCs w:val="24"/>
        </w:rPr>
        <w:t>03</w:t>
      </w:r>
      <w:r>
        <w:rPr>
          <w:sz w:val="24"/>
          <w:szCs w:val="24"/>
        </w:rPr>
        <w:t>-CU-11)</w:t>
      </w:r>
    </w:p>
    <w:p w:rsidR="000A4D1E" w:rsidRDefault="000A4D1E">
      <w:pPr>
        <w:pStyle w:val="FootnoteText"/>
        <w:rPr>
          <w:sz w:val="24"/>
          <w:szCs w:val="24"/>
        </w:rPr>
      </w:pPr>
      <w:r>
        <w:rPr>
          <w:i/>
          <w:sz w:val="24"/>
          <w:szCs w:val="24"/>
        </w:rPr>
        <w:t xml:space="preserve">Real Estate Concentrations and Interest Rate Risk Management for Credit Unions with Large Positions in Fixed Rate Mortgages </w:t>
      </w:r>
      <w:r w:rsidRPr="00643347">
        <w:rPr>
          <w:sz w:val="24"/>
          <w:szCs w:val="24"/>
        </w:rPr>
        <w:t>(</w:t>
      </w:r>
      <w:r>
        <w:rPr>
          <w:sz w:val="24"/>
          <w:szCs w:val="24"/>
        </w:rPr>
        <w:t>03-CU-15)</w:t>
      </w:r>
    </w:p>
    <w:p w:rsidR="000A4D1E" w:rsidRDefault="00D71AD6">
      <w:pPr>
        <w:pStyle w:val="FootnoteText"/>
        <w:rPr>
          <w:sz w:val="24"/>
          <w:szCs w:val="24"/>
        </w:rPr>
      </w:pPr>
      <w:hyperlink r:id="rId17" w:history="1">
        <w:r w:rsidR="000A4D1E">
          <w:rPr>
            <w:rStyle w:val="Hyperlink"/>
            <w:sz w:val="24"/>
            <w:szCs w:val="24"/>
          </w:rPr>
          <w:t>http://www.ncua.gov/Resources/LettersCreditUnion.aspx</w:t>
        </w:r>
      </w:hyperlink>
    </w:p>
    <w:p w:rsidR="000A4D1E" w:rsidRDefault="000A4D1E">
      <w:pPr>
        <w:pStyle w:val="FootnoteText"/>
        <w:rPr>
          <w:sz w:val="24"/>
          <w:szCs w:val="24"/>
          <w:u w:val="single"/>
        </w:rPr>
      </w:pPr>
    </w:p>
    <w:p w:rsidR="000A4D1E" w:rsidRPr="001E2533" w:rsidRDefault="000A4D1E">
      <w:pPr>
        <w:pStyle w:val="FootnoteText"/>
        <w:rPr>
          <w:b/>
          <w:sz w:val="24"/>
          <w:szCs w:val="24"/>
          <w:u w:val="single"/>
        </w:rPr>
      </w:pPr>
      <w:smartTag w:uri="urn:schemas-microsoft-com:office:smarttags" w:element="place">
        <w:smartTag w:uri="urn:schemas-microsoft-com:office:smarttags" w:element="City">
          <w:smartTag w:uri="urn:schemas-microsoft-com:office:smarttags" w:element="PostalCode">
            <w:r w:rsidRPr="001E2533">
              <w:rPr>
                <w:b/>
                <w:sz w:val="24"/>
                <w:szCs w:val="24"/>
                <w:u w:val="single"/>
              </w:rPr>
              <w:lastRenderedPageBreak/>
              <w:t>Basel</w:t>
            </w:r>
          </w:smartTag>
        </w:smartTag>
      </w:smartTag>
      <w:r w:rsidRPr="001E2533">
        <w:rPr>
          <w:b/>
          <w:sz w:val="24"/>
          <w:szCs w:val="24"/>
          <w:u w:val="single"/>
        </w:rPr>
        <w:t xml:space="preserve"> Committee on Bank</w:t>
      </w:r>
      <w:r w:rsidR="00473C63">
        <w:rPr>
          <w:b/>
          <w:sz w:val="24"/>
          <w:szCs w:val="24"/>
          <w:u w:val="single"/>
        </w:rPr>
        <w:t>ing</w:t>
      </w:r>
      <w:r w:rsidRPr="001E2533">
        <w:rPr>
          <w:b/>
          <w:sz w:val="24"/>
          <w:szCs w:val="24"/>
          <w:u w:val="single"/>
        </w:rPr>
        <w:t xml:space="preserve"> Supervision</w:t>
      </w:r>
      <w:r w:rsidR="001E2533" w:rsidRPr="001E2533">
        <w:rPr>
          <w:b/>
          <w:sz w:val="24"/>
          <w:szCs w:val="24"/>
          <w:u w:val="single"/>
        </w:rPr>
        <w:t>:</w:t>
      </w:r>
    </w:p>
    <w:p w:rsidR="000A4D1E" w:rsidRDefault="000A4D1E" w:rsidP="00FF60BC">
      <w:r>
        <w:rPr>
          <w:i/>
        </w:rPr>
        <w:t xml:space="preserve">Principles for the Management of Interest Rate Risk </w:t>
      </w:r>
      <w:hyperlink r:id="rId18" w:history="1">
        <w:r>
          <w:rPr>
            <w:rStyle w:val="Hyperlink"/>
          </w:rPr>
          <w:t>http://www.bis.org/publ/bcbs108.pdf?noframes=1</w:t>
        </w:r>
      </w:hyperlink>
    </w:p>
    <w:sectPr w:rsidR="000A4D1E" w:rsidSect="000D4801">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347" w:rsidRDefault="00643347">
      <w:r>
        <w:separator/>
      </w:r>
    </w:p>
  </w:endnote>
  <w:endnote w:type="continuationSeparator" w:id="0">
    <w:p w:rsidR="00643347" w:rsidRDefault="006433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347" w:rsidRDefault="00D71AD6" w:rsidP="00670B88">
    <w:pPr>
      <w:pStyle w:val="Footer"/>
      <w:framePr w:wrap="around" w:vAnchor="text" w:hAnchor="margin" w:xAlign="right" w:y="1"/>
      <w:rPr>
        <w:rStyle w:val="PageNumber"/>
      </w:rPr>
    </w:pPr>
    <w:r>
      <w:rPr>
        <w:rStyle w:val="PageNumber"/>
      </w:rPr>
      <w:fldChar w:fldCharType="begin"/>
    </w:r>
    <w:r w:rsidR="00643347">
      <w:rPr>
        <w:rStyle w:val="PageNumber"/>
      </w:rPr>
      <w:instrText xml:space="preserve">PAGE  </w:instrText>
    </w:r>
    <w:r>
      <w:rPr>
        <w:rStyle w:val="PageNumber"/>
      </w:rPr>
      <w:fldChar w:fldCharType="end"/>
    </w:r>
  </w:p>
  <w:p w:rsidR="00643347" w:rsidRDefault="00643347" w:rsidP="00F15B4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347" w:rsidRDefault="00D71AD6" w:rsidP="00670B88">
    <w:pPr>
      <w:pStyle w:val="Footer"/>
      <w:framePr w:wrap="around" w:vAnchor="text" w:hAnchor="margin" w:xAlign="right" w:y="1"/>
      <w:rPr>
        <w:rStyle w:val="PageNumber"/>
      </w:rPr>
    </w:pPr>
    <w:r>
      <w:rPr>
        <w:rStyle w:val="PageNumber"/>
      </w:rPr>
      <w:fldChar w:fldCharType="begin"/>
    </w:r>
    <w:r w:rsidR="00643347">
      <w:rPr>
        <w:rStyle w:val="PageNumber"/>
      </w:rPr>
      <w:instrText xml:space="preserve">PAGE  </w:instrText>
    </w:r>
    <w:r>
      <w:rPr>
        <w:rStyle w:val="PageNumber"/>
      </w:rPr>
      <w:fldChar w:fldCharType="separate"/>
    </w:r>
    <w:r w:rsidR="009D1D0F">
      <w:rPr>
        <w:rStyle w:val="PageNumber"/>
        <w:noProof/>
      </w:rPr>
      <w:t>1</w:t>
    </w:r>
    <w:r>
      <w:rPr>
        <w:rStyle w:val="PageNumber"/>
      </w:rPr>
      <w:fldChar w:fldCharType="end"/>
    </w:r>
  </w:p>
  <w:p w:rsidR="00643347" w:rsidRDefault="00643347" w:rsidP="00F15B4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347" w:rsidRDefault="00643347">
      <w:r>
        <w:separator/>
      </w:r>
    </w:p>
  </w:footnote>
  <w:footnote w:type="continuationSeparator" w:id="0">
    <w:p w:rsidR="00643347" w:rsidRDefault="00643347">
      <w:r>
        <w:continuationSeparator/>
      </w:r>
    </w:p>
  </w:footnote>
  <w:footnote w:id="1">
    <w:p w:rsidR="00643347" w:rsidRPr="00000F4D" w:rsidRDefault="00643347" w:rsidP="00000F4D">
      <w:pPr>
        <w:pStyle w:val="FootnoteText"/>
      </w:pPr>
      <w:r>
        <w:rPr>
          <w:rStyle w:val="FootnoteReference"/>
        </w:rPr>
        <w:footnoteRef/>
      </w:r>
      <w:r>
        <w:t xml:space="preserve"> </w:t>
      </w:r>
      <w:r w:rsidRPr="00000F4D">
        <w:t>The financial regulators consist of the Board of Governors of the Federal Reserve System (FRB), the Federal</w:t>
      </w:r>
      <w:r>
        <w:t xml:space="preserve"> </w:t>
      </w:r>
      <w:r w:rsidRPr="00000F4D">
        <w:t>Deposit Insurance Corporation (FDIC), the National Credit Union Administration (NCUA), the Office of the</w:t>
      </w:r>
      <w:r>
        <w:t xml:space="preserve"> </w:t>
      </w:r>
      <w:r w:rsidRPr="00000F4D">
        <w:t>Comptroller of the Currency (OCC), the Office of Thrift Supervision (OTS), and the Federal Financial Institutions</w:t>
      </w:r>
      <w:r>
        <w:t xml:space="preserve"> </w:t>
      </w:r>
      <w:r w:rsidRPr="00000F4D">
        <w:t>Examination Council (FFIEC) State Liaison Committee (collectively, the regulators).</w:t>
      </w:r>
    </w:p>
    <w:p w:rsidR="00643347" w:rsidRDefault="00643347">
      <w:pPr>
        <w:pStyle w:val="FootnoteText"/>
      </w:pPr>
    </w:p>
  </w:footnote>
  <w:footnote w:id="2">
    <w:p w:rsidR="00643347" w:rsidRDefault="00643347">
      <w:pPr>
        <w:pStyle w:val="FootnoteText"/>
      </w:pPr>
      <w:r>
        <w:rPr>
          <w:rStyle w:val="FootnoteReference"/>
        </w:rPr>
        <w:footnoteRef/>
      </w:r>
      <w:r>
        <w:t xml:space="preserve"> Unless otherwise indicated, this advisory uses the term “financial institutions” or “institutions” to include banks, saving associations, industrial loan companies, federal savings banks, and federally insured natural person credit unions.</w:t>
      </w:r>
    </w:p>
    <w:p w:rsidR="00643347" w:rsidRPr="001422B4" w:rsidRDefault="00643347">
      <w:pPr>
        <w:pStyle w:val="FootnoteText"/>
      </w:pPr>
    </w:p>
  </w:footnote>
  <w:footnote w:id="3">
    <w:p w:rsidR="00643347" w:rsidRPr="001422B4" w:rsidRDefault="00643347">
      <w:pPr>
        <w:pStyle w:val="FootnoteText"/>
      </w:pPr>
      <w:r w:rsidRPr="001422B4">
        <w:rPr>
          <w:rStyle w:val="FootnoteReference"/>
        </w:rPr>
        <w:footnoteRef/>
      </w:r>
      <w:r w:rsidRPr="001422B4">
        <w:t xml:space="preserve"> In accordance with TB-13a, non-complex institutions with assets less than $1 billion regulated by the OTS may continue to rely on the NPV model to measure exposure to interest rate risk, unless otherwise directed by their OTS Regional Director.</w:t>
      </w:r>
    </w:p>
  </w:footnote>
  <w:footnote w:id="4">
    <w:p w:rsidR="00643347" w:rsidRDefault="00643347">
      <w:pPr>
        <w:pStyle w:val="FootnoteText"/>
      </w:pPr>
      <w:r>
        <w:rPr>
          <w:rStyle w:val="FootnoteReference"/>
        </w:rPr>
        <w:footnoteRef/>
      </w:r>
      <w:r>
        <w:t xml:space="preserve"> The principles set forth in this advisory and the regulators’ individual guidance </w:t>
      </w:r>
      <w:proofErr w:type="gramStart"/>
      <w:r>
        <w:t>are</w:t>
      </w:r>
      <w:proofErr w:type="gramEnd"/>
      <w:r>
        <w:t xml:space="preserve"> consistent with the principles established by the Basel Committee on Banking Supervision.  </w:t>
      </w:r>
    </w:p>
  </w:footnote>
  <w:footnote w:id="5">
    <w:p w:rsidR="00643347" w:rsidRDefault="00643347" w:rsidP="00EF59D1">
      <w:pPr>
        <w:pStyle w:val="FootnoteText"/>
      </w:pPr>
      <w:r>
        <w:rPr>
          <w:rStyle w:val="FootnoteReference"/>
        </w:rPr>
        <w:footnoteRef/>
      </w:r>
      <w:r>
        <w:t xml:space="preserve"> 12 CFR § 3.10 provides that national banks can be assessed higher minimum capital ratios based on significant exposures to declines in the economic value of its capital. </w:t>
      </w:r>
    </w:p>
  </w:footnote>
  <w:footnote w:id="6">
    <w:p w:rsidR="00643347" w:rsidRDefault="00643347" w:rsidP="001E1504">
      <w:pPr>
        <w:pStyle w:val="FootnoteText"/>
      </w:pPr>
      <w:r>
        <w:rPr>
          <w:rStyle w:val="FootnoteReference"/>
        </w:rPr>
        <w:footnoteRef/>
      </w:r>
      <w:r>
        <w:t xml:space="preserve"> The FDIC, FRB, and OCC commonly refer to such methodologies as Economic Value of Equity (EVE) models.  The NCUA uses the term Net Economic Value (NEV) in its regulations and guidance, and the OTS uses Net Portfolio Value (NPV).  </w:t>
      </w:r>
    </w:p>
    <w:p w:rsidR="00643347" w:rsidRDefault="00643347" w:rsidP="001E1504">
      <w:pPr>
        <w:pStyle w:val="FootnoteText"/>
      </w:pPr>
    </w:p>
  </w:footnote>
  <w:footnote w:id="7">
    <w:p w:rsidR="00643347" w:rsidRDefault="00643347">
      <w:pPr>
        <w:pStyle w:val="FootnoteText"/>
      </w:pPr>
      <w:r>
        <w:rPr>
          <w:rStyle w:val="FootnoteReference"/>
        </w:rPr>
        <w:footnoteRef/>
      </w:r>
      <w:r>
        <w:t xml:space="preserve"> Basel Committee on Banki</w:t>
      </w:r>
      <w:r w:rsidR="006533A5">
        <w:t>ng Supervision, “</w:t>
      </w:r>
      <w:r w:rsidRPr="00F40F32">
        <w:rPr>
          <w:i/>
        </w:rPr>
        <w:t>Principles for Sound Stress Testing Practices and Supervision</w:t>
      </w:r>
      <w:r w:rsidR="006533A5">
        <w:t>,”</w:t>
      </w:r>
      <w:r>
        <w:t xml:space="preserve"> May 2009. </w:t>
      </w:r>
    </w:p>
  </w:footnote>
  <w:footnote w:id="8">
    <w:p w:rsidR="00643347" w:rsidRDefault="00643347">
      <w:pPr>
        <w:pStyle w:val="FootnoteText"/>
      </w:pPr>
      <w:r>
        <w:rPr>
          <w:rStyle w:val="FootnoteReference"/>
        </w:rPr>
        <w:footnoteRef/>
      </w:r>
      <w:r w:rsidRPr="001468FC">
        <w:t>Section 38 of the FDI Act (</w:t>
      </w:r>
      <w:hyperlink r:id="rId1" w:anchor="1000sec.38a" w:tooltip="http://www.fdic.gov/regulations/laws/rules/1000-4000.html#1000sec.38a" w:history="1">
        <w:r w:rsidRPr="001468FC">
          <w:rPr>
            <w:rStyle w:val="Hyperlink"/>
          </w:rPr>
          <w:t>12 U.S.C. 1831</w:t>
        </w:r>
        <w:r w:rsidRPr="001468FC">
          <w:rPr>
            <w:rStyle w:val="Hyperlink"/>
            <w:i/>
            <w:iCs/>
          </w:rPr>
          <w:t>o</w:t>
        </w:r>
      </w:hyperlink>
      <w:r w:rsidRPr="001468FC">
        <w:t>) requires insured depository institutions that are</w:t>
      </w:r>
      <w:r>
        <w:t xml:space="preserve"> undercapitalized </w:t>
      </w:r>
      <w:r w:rsidRPr="001468FC">
        <w:t xml:space="preserve">to receive approval </w:t>
      </w:r>
      <w:r>
        <w:t xml:space="preserve">before </w:t>
      </w:r>
      <w:r w:rsidRPr="001468FC">
        <w:t>engaging in certain activities</w:t>
      </w:r>
      <w:r>
        <w:t>, and further restricts interest rates paid on deposits by institutions that are not well capitalized</w:t>
      </w:r>
      <w:r w:rsidRPr="001468FC">
        <w:t>.</w:t>
      </w:r>
      <w:r>
        <w:t xml:space="preserve"> </w:t>
      </w:r>
      <w:r w:rsidRPr="001468FC">
        <w:t xml:space="preserve"> Section 38 restricts or prohibits certain activities and requires an insured depository institution to submit a capital restoration plan when it becomes un</w:t>
      </w:r>
      <w:r>
        <w:t xml:space="preserve">dercapitalized.  </w:t>
      </w:r>
      <w:r w:rsidRPr="001468FC">
        <w:t xml:space="preserve">Section 216 of the Federal Credit Union Act and NCUA Rules and Regulations </w:t>
      </w:r>
      <w:r>
        <w:t xml:space="preserve">(12 CFR Part 702) </w:t>
      </w:r>
      <w:r w:rsidRPr="001468FC">
        <w:t>establish the requirements and restrictions for federally</w:t>
      </w:r>
      <w:r>
        <w:t xml:space="preserve"> </w:t>
      </w:r>
      <w:r w:rsidRPr="001468FC">
        <w:t xml:space="preserve">insured credit unions under Prompt Corrective Action.  For </w:t>
      </w:r>
      <w:r>
        <w:t>public unit and</w:t>
      </w:r>
      <w:r w:rsidRPr="001468FC">
        <w:t xml:space="preserve"> nonmember deposits, additional restrictions apply to federal credit unions as given in </w:t>
      </w:r>
      <w:r>
        <w:t xml:space="preserve">§ </w:t>
      </w:r>
      <w:r w:rsidRPr="001468FC">
        <w:t>701.32 of the NCUA Rules and Regulations</w:t>
      </w:r>
      <w:r>
        <w:t xml:space="preserve"> (12 CFR § 701.32)</w:t>
      </w:r>
      <w:r w:rsidRPr="001468FC">
        <w:t>.</w:t>
      </w:r>
      <w:r>
        <w:t xml:space="preserve"> </w:t>
      </w:r>
    </w:p>
    <w:p w:rsidR="00643347" w:rsidRDefault="00643347">
      <w:pPr>
        <w:pStyle w:val="FootnoteText"/>
      </w:pPr>
    </w:p>
  </w:footnote>
  <w:footnote w:id="9">
    <w:p w:rsidR="00643347" w:rsidRDefault="00643347">
      <w:pPr>
        <w:pStyle w:val="FootnoteText"/>
      </w:pPr>
      <w:r>
        <w:rPr>
          <w:rStyle w:val="FootnoteReference"/>
        </w:rPr>
        <w:footnoteRef/>
      </w:r>
      <w:r>
        <w:t xml:space="preserve"> Federal credit unions may only enter into derivative transactions upon receiving prior approval from the NCUA.</w:t>
      </w:r>
    </w:p>
  </w:footnote>
  <w:footnote w:id="10">
    <w:p w:rsidR="00643347" w:rsidRDefault="00643347" w:rsidP="00E950CE">
      <w:pPr>
        <w:pStyle w:val="FootnoteText"/>
      </w:pPr>
      <w:r>
        <w:rPr>
          <w:rStyle w:val="FootnoteReference"/>
        </w:rPr>
        <w:footnoteRef/>
      </w:r>
      <w:r>
        <w:t xml:space="preserve"> </w:t>
      </w:r>
      <w:r>
        <w:rPr>
          <w:rFonts w:cs="Arial"/>
          <w:color w:val="000000"/>
        </w:rPr>
        <w:t>Ibid.</w:t>
      </w:r>
    </w:p>
    <w:p w:rsidR="00643347" w:rsidRDefault="00643347" w:rsidP="00E950CE">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81DB1"/>
    <w:multiLevelType w:val="hybridMultilevel"/>
    <w:tmpl w:val="A66CEEC4"/>
    <w:lvl w:ilvl="0" w:tplc="8D4635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3BD6D41"/>
    <w:multiLevelType w:val="hybridMultilevel"/>
    <w:tmpl w:val="E702D4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0E1448"/>
    <w:multiLevelType w:val="hybridMultilevel"/>
    <w:tmpl w:val="8E42E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E80D78"/>
    <w:multiLevelType w:val="hybridMultilevel"/>
    <w:tmpl w:val="7AB028F8"/>
    <w:lvl w:ilvl="0" w:tplc="5ED440E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C4499A"/>
    <w:multiLevelType w:val="hybridMultilevel"/>
    <w:tmpl w:val="C7FE04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C94864"/>
    <w:rsid w:val="00000F4D"/>
    <w:rsid w:val="00013CA3"/>
    <w:rsid w:val="00015A6E"/>
    <w:rsid w:val="0001660D"/>
    <w:rsid w:val="00017030"/>
    <w:rsid w:val="00025B15"/>
    <w:rsid w:val="0002617B"/>
    <w:rsid w:val="00026817"/>
    <w:rsid w:val="00027FBE"/>
    <w:rsid w:val="000419E6"/>
    <w:rsid w:val="00042D12"/>
    <w:rsid w:val="000444EE"/>
    <w:rsid w:val="00044B0F"/>
    <w:rsid w:val="0004541B"/>
    <w:rsid w:val="00054C04"/>
    <w:rsid w:val="00061C65"/>
    <w:rsid w:val="000702F9"/>
    <w:rsid w:val="00070738"/>
    <w:rsid w:val="00073F4C"/>
    <w:rsid w:val="000750FB"/>
    <w:rsid w:val="00077692"/>
    <w:rsid w:val="000927A4"/>
    <w:rsid w:val="000947A5"/>
    <w:rsid w:val="00095AB8"/>
    <w:rsid w:val="00096A91"/>
    <w:rsid w:val="000A1A87"/>
    <w:rsid w:val="000A224C"/>
    <w:rsid w:val="000A4D1E"/>
    <w:rsid w:val="000A771C"/>
    <w:rsid w:val="000B011E"/>
    <w:rsid w:val="000B1ED5"/>
    <w:rsid w:val="000B37C6"/>
    <w:rsid w:val="000C28A5"/>
    <w:rsid w:val="000C51D0"/>
    <w:rsid w:val="000D189D"/>
    <w:rsid w:val="000D272B"/>
    <w:rsid w:val="000D4801"/>
    <w:rsid w:val="000E496F"/>
    <w:rsid w:val="000E7216"/>
    <w:rsid w:val="000F0F31"/>
    <w:rsid w:val="000F3F2F"/>
    <w:rsid w:val="00101977"/>
    <w:rsid w:val="00101A59"/>
    <w:rsid w:val="00105B4E"/>
    <w:rsid w:val="001121A2"/>
    <w:rsid w:val="0011263E"/>
    <w:rsid w:val="001142A0"/>
    <w:rsid w:val="00116E7C"/>
    <w:rsid w:val="00120661"/>
    <w:rsid w:val="001216BB"/>
    <w:rsid w:val="00121EC5"/>
    <w:rsid w:val="0012382B"/>
    <w:rsid w:val="00131CF4"/>
    <w:rsid w:val="00132DB1"/>
    <w:rsid w:val="00136550"/>
    <w:rsid w:val="00140290"/>
    <w:rsid w:val="00140D88"/>
    <w:rsid w:val="001422B4"/>
    <w:rsid w:val="00145985"/>
    <w:rsid w:val="00154041"/>
    <w:rsid w:val="00156E00"/>
    <w:rsid w:val="00157926"/>
    <w:rsid w:val="0016004E"/>
    <w:rsid w:val="0016034F"/>
    <w:rsid w:val="00162F70"/>
    <w:rsid w:val="00170322"/>
    <w:rsid w:val="001752B1"/>
    <w:rsid w:val="00180EBB"/>
    <w:rsid w:val="001818A9"/>
    <w:rsid w:val="001849CD"/>
    <w:rsid w:val="00185ACF"/>
    <w:rsid w:val="001908FD"/>
    <w:rsid w:val="00192F07"/>
    <w:rsid w:val="00194EE2"/>
    <w:rsid w:val="0019605D"/>
    <w:rsid w:val="001A7568"/>
    <w:rsid w:val="001B024F"/>
    <w:rsid w:val="001C1D03"/>
    <w:rsid w:val="001C7227"/>
    <w:rsid w:val="001D0163"/>
    <w:rsid w:val="001D1F78"/>
    <w:rsid w:val="001D395D"/>
    <w:rsid w:val="001E11EA"/>
    <w:rsid w:val="001E1504"/>
    <w:rsid w:val="001E16C9"/>
    <w:rsid w:val="001E2533"/>
    <w:rsid w:val="001E4D6C"/>
    <w:rsid w:val="001E535E"/>
    <w:rsid w:val="001E73AD"/>
    <w:rsid w:val="001F0262"/>
    <w:rsid w:val="001F0C78"/>
    <w:rsid w:val="001F4677"/>
    <w:rsid w:val="001F5827"/>
    <w:rsid w:val="0020037D"/>
    <w:rsid w:val="00224833"/>
    <w:rsid w:val="00224CA6"/>
    <w:rsid w:val="00225726"/>
    <w:rsid w:val="00242F78"/>
    <w:rsid w:val="00245264"/>
    <w:rsid w:val="00246D1E"/>
    <w:rsid w:val="002538F4"/>
    <w:rsid w:val="00253A5D"/>
    <w:rsid w:val="00262E93"/>
    <w:rsid w:val="00281931"/>
    <w:rsid w:val="00281E12"/>
    <w:rsid w:val="002825EB"/>
    <w:rsid w:val="00282F2A"/>
    <w:rsid w:val="002927F7"/>
    <w:rsid w:val="00294E70"/>
    <w:rsid w:val="00297085"/>
    <w:rsid w:val="002A18E9"/>
    <w:rsid w:val="002A23CC"/>
    <w:rsid w:val="002A44D0"/>
    <w:rsid w:val="002C27F5"/>
    <w:rsid w:val="002C375C"/>
    <w:rsid w:val="002C377C"/>
    <w:rsid w:val="002C4ACE"/>
    <w:rsid w:val="002C5210"/>
    <w:rsid w:val="002C57B2"/>
    <w:rsid w:val="002C75A3"/>
    <w:rsid w:val="002C7F92"/>
    <w:rsid w:val="002D0B63"/>
    <w:rsid w:val="002E0442"/>
    <w:rsid w:val="002E1E37"/>
    <w:rsid w:val="002E2B64"/>
    <w:rsid w:val="002F2E73"/>
    <w:rsid w:val="002F40F8"/>
    <w:rsid w:val="003060D6"/>
    <w:rsid w:val="00306871"/>
    <w:rsid w:val="00314149"/>
    <w:rsid w:val="00320C31"/>
    <w:rsid w:val="00321B3B"/>
    <w:rsid w:val="00322CED"/>
    <w:rsid w:val="003244B5"/>
    <w:rsid w:val="003311E7"/>
    <w:rsid w:val="00334FDA"/>
    <w:rsid w:val="003367AE"/>
    <w:rsid w:val="00340022"/>
    <w:rsid w:val="00346293"/>
    <w:rsid w:val="003477BE"/>
    <w:rsid w:val="0035090C"/>
    <w:rsid w:val="00354ECE"/>
    <w:rsid w:val="0035552A"/>
    <w:rsid w:val="00356468"/>
    <w:rsid w:val="003573DC"/>
    <w:rsid w:val="00357A48"/>
    <w:rsid w:val="003604E9"/>
    <w:rsid w:val="003607EC"/>
    <w:rsid w:val="0036235C"/>
    <w:rsid w:val="003651EF"/>
    <w:rsid w:val="00377C48"/>
    <w:rsid w:val="003828AF"/>
    <w:rsid w:val="00382F97"/>
    <w:rsid w:val="0038551C"/>
    <w:rsid w:val="00385664"/>
    <w:rsid w:val="00385A39"/>
    <w:rsid w:val="00386ECB"/>
    <w:rsid w:val="00387578"/>
    <w:rsid w:val="00394D20"/>
    <w:rsid w:val="003974EC"/>
    <w:rsid w:val="00397901"/>
    <w:rsid w:val="003B3625"/>
    <w:rsid w:val="003B7048"/>
    <w:rsid w:val="003B77AD"/>
    <w:rsid w:val="003C0028"/>
    <w:rsid w:val="003C13D3"/>
    <w:rsid w:val="003D1652"/>
    <w:rsid w:val="003D2E18"/>
    <w:rsid w:val="003D4396"/>
    <w:rsid w:val="003E0397"/>
    <w:rsid w:val="003E1255"/>
    <w:rsid w:val="003F0CC8"/>
    <w:rsid w:val="00400095"/>
    <w:rsid w:val="00405445"/>
    <w:rsid w:val="00407692"/>
    <w:rsid w:val="00414471"/>
    <w:rsid w:val="004219EF"/>
    <w:rsid w:val="00423560"/>
    <w:rsid w:val="004240A8"/>
    <w:rsid w:val="00427641"/>
    <w:rsid w:val="00430389"/>
    <w:rsid w:val="004366C6"/>
    <w:rsid w:val="00443772"/>
    <w:rsid w:val="0045045F"/>
    <w:rsid w:val="004559CD"/>
    <w:rsid w:val="00461732"/>
    <w:rsid w:val="00462EAB"/>
    <w:rsid w:val="00470E9E"/>
    <w:rsid w:val="00473C63"/>
    <w:rsid w:val="004905EA"/>
    <w:rsid w:val="00496F09"/>
    <w:rsid w:val="004A1E01"/>
    <w:rsid w:val="004A74F9"/>
    <w:rsid w:val="004C03E7"/>
    <w:rsid w:val="004C5AAA"/>
    <w:rsid w:val="004D08C5"/>
    <w:rsid w:val="004D24D3"/>
    <w:rsid w:val="004F0FF8"/>
    <w:rsid w:val="004F219E"/>
    <w:rsid w:val="005009A3"/>
    <w:rsid w:val="00507498"/>
    <w:rsid w:val="00511BBA"/>
    <w:rsid w:val="00512AD6"/>
    <w:rsid w:val="005153FC"/>
    <w:rsid w:val="0052050E"/>
    <w:rsid w:val="00524E6D"/>
    <w:rsid w:val="00534AAC"/>
    <w:rsid w:val="005421DB"/>
    <w:rsid w:val="00542514"/>
    <w:rsid w:val="00542F8D"/>
    <w:rsid w:val="00544742"/>
    <w:rsid w:val="00544AA0"/>
    <w:rsid w:val="00551DE6"/>
    <w:rsid w:val="005532EB"/>
    <w:rsid w:val="00555447"/>
    <w:rsid w:val="0055717C"/>
    <w:rsid w:val="00560F97"/>
    <w:rsid w:val="0056396E"/>
    <w:rsid w:val="005667BF"/>
    <w:rsid w:val="00573CD4"/>
    <w:rsid w:val="00576A87"/>
    <w:rsid w:val="00584D2E"/>
    <w:rsid w:val="005908BE"/>
    <w:rsid w:val="005911F6"/>
    <w:rsid w:val="00591923"/>
    <w:rsid w:val="005962AA"/>
    <w:rsid w:val="005A4407"/>
    <w:rsid w:val="005A6B7D"/>
    <w:rsid w:val="005A7D50"/>
    <w:rsid w:val="005B1F8B"/>
    <w:rsid w:val="005C04BD"/>
    <w:rsid w:val="005C0CF4"/>
    <w:rsid w:val="005C67A3"/>
    <w:rsid w:val="005D2C33"/>
    <w:rsid w:val="005D7E9E"/>
    <w:rsid w:val="005D7F61"/>
    <w:rsid w:val="005E1A24"/>
    <w:rsid w:val="005E2646"/>
    <w:rsid w:val="006015C6"/>
    <w:rsid w:val="0060233E"/>
    <w:rsid w:val="00610EAD"/>
    <w:rsid w:val="00612FCF"/>
    <w:rsid w:val="00613F30"/>
    <w:rsid w:val="00614807"/>
    <w:rsid w:val="00623104"/>
    <w:rsid w:val="00634D48"/>
    <w:rsid w:val="0064170D"/>
    <w:rsid w:val="00643347"/>
    <w:rsid w:val="00644376"/>
    <w:rsid w:val="00644E11"/>
    <w:rsid w:val="0064651D"/>
    <w:rsid w:val="006533A5"/>
    <w:rsid w:val="00654597"/>
    <w:rsid w:val="00670B88"/>
    <w:rsid w:val="00670E61"/>
    <w:rsid w:val="00676AD2"/>
    <w:rsid w:val="0067738D"/>
    <w:rsid w:val="00683C5F"/>
    <w:rsid w:val="00686433"/>
    <w:rsid w:val="0069437A"/>
    <w:rsid w:val="006946EF"/>
    <w:rsid w:val="00695E4A"/>
    <w:rsid w:val="006A2A84"/>
    <w:rsid w:val="006A47E3"/>
    <w:rsid w:val="006B0326"/>
    <w:rsid w:val="006B0D90"/>
    <w:rsid w:val="006B2438"/>
    <w:rsid w:val="006C011A"/>
    <w:rsid w:val="006C012A"/>
    <w:rsid w:val="006C0AB9"/>
    <w:rsid w:val="006C5755"/>
    <w:rsid w:val="006C57DC"/>
    <w:rsid w:val="006D0565"/>
    <w:rsid w:val="006F01F9"/>
    <w:rsid w:val="006F20C2"/>
    <w:rsid w:val="00703B5E"/>
    <w:rsid w:val="0070511A"/>
    <w:rsid w:val="00711850"/>
    <w:rsid w:val="007124D9"/>
    <w:rsid w:val="00714871"/>
    <w:rsid w:val="00720FB3"/>
    <w:rsid w:val="00722440"/>
    <w:rsid w:val="007449DD"/>
    <w:rsid w:val="00756BF5"/>
    <w:rsid w:val="00761C05"/>
    <w:rsid w:val="00761E53"/>
    <w:rsid w:val="00777141"/>
    <w:rsid w:val="00787F00"/>
    <w:rsid w:val="007917B0"/>
    <w:rsid w:val="007B3AA4"/>
    <w:rsid w:val="007B477F"/>
    <w:rsid w:val="007B4FF1"/>
    <w:rsid w:val="007B537E"/>
    <w:rsid w:val="007B6A87"/>
    <w:rsid w:val="007D1630"/>
    <w:rsid w:val="007D39D2"/>
    <w:rsid w:val="007D65D8"/>
    <w:rsid w:val="007E12CF"/>
    <w:rsid w:val="007E20D3"/>
    <w:rsid w:val="007F3725"/>
    <w:rsid w:val="007F3DBC"/>
    <w:rsid w:val="008047FA"/>
    <w:rsid w:val="0080751B"/>
    <w:rsid w:val="00816277"/>
    <w:rsid w:val="0082379E"/>
    <w:rsid w:val="00827320"/>
    <w:rsid w:val="00832A60"/>
    <w:rsid w:val="008336D4"/>
    <w:rsid w:val="00837524"/>
    <w:rsid w:val="00841D97"/>
    <w:rsid w:val="0085095F"/>
    <w:rsid w:val="00852F64"/>
    <w:rsid w:val="008539EE"/>
    <w:rsid w:val="00877D96"/>
    <w:rsid w:val="0088136A"/>
    <w:rsid w:val="00881EB9"/>
    <w:rsid w:val="00882ABE"/>
    <w:rsid w:val="00884CFF"/>
    <w:rsid w:val="008A13A1"/>
    <w:rsid w:val="008B0A97"/>
    <w:rsid w:val="008B14F0"/>
    <w:rsid w:val="008B308C"/>
    <w:rsid w:val="008B729D"/>
    <w:rsid w:val="008B77AA"/>
    <w:rsid w:val="008C0A1A"/>
    <w:rsid w:val="008C2BFA"/>
    <w:rsid w:val="008C3063"/>
    <w:rsid w:val="008C5626"/>
    <w:rsid w:val="008E02AC"/>
    <w:rsid w:val="008E0491"/>
    <w:rsid w:val="008E294E"/>
    <w:rsid w:val="008F3569"/>
    <w:rsid w:val="008F3752"/>
    <w:rsid w:val="00904AE9"/>
    <w:rsid w:val="009140D8"/>
    <w:rsid w:val="00921845"/>
    <w:rsid w:val="00923C8D"/>
    <w:rsid w:val="00927239"/>
    <w:rsid w:val="009310B5"/>
    <w:rsid w:val="00941E7E"/>
    <w:rsid w:val="00952DE6"/>
    <w:rsid w:val="00961D87"/>
    <w:rsid w:val="00962642"/>
    <w:rsid w:val="00962882"/>
    <w:rsid w:val="009717A5"/>
    <w:rsid w:val="009758A3"/>
    <w:rsid w:val="00975987"/>
    <w:rsid w:val="00983F5E"/>
    <w:rsid w:val="00990746"/>
    <w:rsid w:val="00991529"/>
    <w:rsid w:val="009B0ECC"/>
    <w:rsid w:val="009B68AB"/>
    <w:rsid w:val="009C2B73"/>
    <w:rsid w:val="009C36CE"/>
    <w:rsid w:val="009D04C2"/>
    <w:rsid w:val="009D18E6"/>
    <w:rsid w:val="009D1D0F"/>
    <w:rsid w:val="009D2790"/>
    <w:rsid w:val="009F09D1"/>
    <w:rsid w:val="009F0BED"/>
    <w:rsid w:val="009F78A2"/>
    <w:rsid w:val="00A00F83"/>
    <w:rsid w:val="00A13A51"/>
    <w:rsid w:val="00A23194"/>
    <w:rsid w:val="00A24372"/>
    <w:rsid w:val="00A322B2"/>
    <w:rsid w:val="00A32C21"/>
    <w:rsid w:val="00A35BC7"/>
    <w:rsid w:val="00A4715C"/>
    <w:rsid w:val="00A53ED7"/>
    <w:rsid w:val="00A61FF2"/>
    <w:rsid w:val="00A65521"/>
    <w:rsid w:val="00A66146"/>
    <w:rsid w:val="00A72880"/>
    <w:rsid w:val="00A74223"/>
    <w:rsid w:val="00A76BD1"/>
    <w:rsid w:val="00A80152"/>
    <w:rsid w:val="00A82CCA"/>
    <w:rsid w:val="00A839FA"/>
    <w:rsid w:val="00A84052"/>
    <w:rsid w:val="00A928FD"/>
    <w:rsid w:val="00A96816"/>
    <w:rsid w:val="00AA2226"/>
    <w:rsid w:val="00AA3946"/>
    <w:rsid w:val="00AA4A3E"/>
    <w:rsid w:val="00AA60FA"/>
    <w:rsid w:val="00AD1301"/>
    <w:rsid w:val="00AD18E0"/>
    <w:rsid w:val="00AD1B8A"/>
    <w:rsid w:val="00AD2264"/>
    <w:rsid w:val="00AE2E42"/>
    <w:rsid w:val="00AF3ED4"/>
    <w:rsid w:val="00AF6A33"/>
    <w:rsid w:val="00B00AAB"/>
    <w:rsid w:val="00B0433D"/>
    <w:rsid w:val="00B10E2A"/>
    <w:rsid w:val="00B12199"/>
    <w:rsid w:val="00B1492F"/>
    <w:rsid w:val="00B15A24"/>
    <w:rsid w:val="00B1631E"/>
    <w:rsid w:val="00B17B0B"/>
    <w:rsid w:val="00B2297D"/>
    <w:rsid w:val="00B27660"/>
    <w:rsid w:val="00B35609"/>
    <w:rsid w:val="00B36F39"/>
    <w:rsid w:val="00B61A3C"/>
    <w:rsid w:val="00B62974"/>
    <w:rsid w:val="00B62D48"/>
    <w:rsid w:val="00B67D46"/>
    <w:rsid w:val="00B70884"/>
    <w:rsid w:val="00B716F6"/>
    <w:rsid w:val="00B7253D"/>
    <w:rsid w:val="00B7413C"/>
    <w:rsid w:val="00BB2DEE"/>
    <w:rsid w:val="00BB7B68"/>
    <w:rsid w:val="00BB7E8B"/>
    <w:rsid w:val="00BB7F2C"/>
    <w:rsid w:val="00BC013E"/>
    <w:rsid w:val="00BC0FC4"/>
    <w:rsid w:val="00BC6A10"/>
    <w:rsid w:val="00BD208D"/>
    <w:rsid w:val="00BD5F5D"/>
    <w:rsid w:val="00BE2DF1"/>
    <w:rsid w:val="00BF4CD5"/>
    <w:rsid w:val="00C0072A"/>
    <w:rsid w:val="00C036DE"/>
    <w:rsid w:val="00C066F2"/>
    <w:rsid w:val="00C21073"/>
    <w:rsid w:val="00C24F40"/>
    <w:rsid w:val="00C27A22"/>
    <w:rsid w:val="00C3583E"/>
    <w:rsid w:val="00C401B3"/>
    <w:rsid w:val="00C40747"/>
    <w:rsid w:val="00C469C6"/>
    <w:rsid w:val="00C51859"/>
    <w:rsid w:val="00C5253F"/>
    <w:rsid w:val="00C723FC"/>
    <w:rsid w:val="00C724D6"/>
    <w:rsid w:val="00C72B96"/>
    <w:rsid w:val="00C73BCE"/>
    <w:rsid w:val="00C8012D"/>
    <w:rsid w:val="00C80B98"/>
    <w:rsid w:val="00C82E0F"/>
    <w:rsid w:val="00C87EB0"/>
    <w:rsid w:val="00C93C7B"/>
    <w:rsid w:val="00C94864"/>
    <w:rsid w:val="00C94B17"/>
    <w:rsid w:val="00C97BD4"/>
    <w:rsid w:val="00CA350C"/>
    <w:rsid w:val="00CA4BA0"/>
    <w:rsid w:val="00CA5319"/>
    <w:rsid w:val="00CA59AA"/>
    <w:rsid w:val="00CC1E52"/>
    <w:rsid w:val="00CC6105"/>
    <w:rsid w:val="00CD1046"/>
    <w:rsid w:val="00CE085F"/>
    <w:rsid w:val="00CE27E8"/>
    <w:rsid w:val="00CE4C48"/>
    <w:rsid w:val="00CE6867"/>
    <w:rsid w:val="00CE72A4"/>
    <w:rsid w:val="00D00026"/>
    <w:rsid w:val="00D00FC7"/>
    <w:rsid w:val="00D01A14"/>
    <w:rsid w:val="00D203AD"/>
    <w:rsid w:val="00D21B04"/>
    <w:rsid w:val="00D24362"/>
    <w:rsid w:val="00D35A79"/>
    <w:rsid w:val="00D36171"/>
    <w:rsid w:val="00D361EF"/>
    <w:rsid w:val="00D37661"/>
    <w:rsid w:val="00D40545"/>
    <w:rsid w:val="00D52043"/>
    <w:rsid w:val="00D54CCC"/>
    <w:rsid w:val="00D64042"/>
    <w:rsid w:val="00D71AD6"/>
    <w:rsid w:val="00D811D2"/>
    <w:rsid w:val="00D83AE7"/>
    <w:rsid w:val="00D83BFF"/>
    <w:rsid w:val="00D8424D"/>
    <w:rsid w:val="00D86003"/>
    <w:rsid w:val="00D941DF"/>
    <w:rsid w:val="00D951C6"/>
    <w:rsid w:val="00DA2FF2"/>
    <w:rsid w:val="00DA6293"/>
    <w:rsid w:val="00DB3685"/>
    <w:rsid w:val="00DB5B74"/>
    <w:rsid w:val="00DB611C"/>
    <w:rsid w:val="00DB7E11"/>
    <w:rsid w:val="00DC4D08"/>
    <w:rsid w:val="00DC6CD4"/>
    <w:rsid w:val="00DD2276"/>
    <w:rsid w:val="00DD4AAC"/>
    <w:rsid w:val="00DD7333"/>
    <w:rsid w:val="00DE4EAF"/>
    <w:rsid w:val="00DE519A"/>
    <w:rsid w:val="00DF09C7"/>
    <w:rsid w:val="00DF3F12"/>
    <w:rsid w:val="00E0379F"/>
    <w:rsid w:val="00E049E4"/>
    <w:rsid w:val="00E05C72"/>
    <w:rsid w:val="00E11CE6"/>
    <w:rsid w:val="00E1613B"/>
    <w:rsid w:val="00E337FC"/>
    <w:rsid w:val="00E42335"/>
    <w:rsid w:val="00E4369A"/>
    <w:rsid w:val="00E600DA"/>
    <w:rsid w:val="00E60B3B"/>
    <w:rsid w:val="00E63D88"/>
    <w:rsid w:val="00E668B1"/>
    <w:rsid w:val="00E70274"/>
    <w:rsid w:val="00E76A9F"/>
    <w:rsid w:val="00E815CD"/>
    <w:rsid w:val="00E81C36"/>
    <w:rsid w:val="00E869D7"/>
    <w:rsid w:val="00E91BE1"/>
    <w:rsid w:val="00E92FD2"/>
    <w:rsid w:val="00E944AF"/>
    <w:rsid w:val="00E94532"/>
    <w:rsid w:val="00E945B5"/>
    <w:rsid w:val="00E950CE"/>
    <w:rsid w:val="00EA1CDA"/>
    <w:rsid w:val="00EA27A3"/>
    <w:rsid w:val="00EA778F"/>
    <w:rsid w:val="00EB4898"/>
    <w:rsid w:val="00EC1E15"/>
    <w:rsid w:val="00EC39E4"/>
    <w:rsid w:val="00EC45C7"/>
    <w:rsid w:val="00ED3BE8"/>
    <w:rsid w:val="00ED4D52"/>
    <w:rsid w:val="00ED55FF"/>
    <w:rsid w:val="00EE2C11"/>
    <w:rsid w:val="00EE5CE1"/>
    <w:rsid w:val="00EF59D1"/>
    <w:rsid w:val="00EF7222"/>
    <w:rsid w:val="00F0213B"/>
    <w:rsid w:val="00F024F9"/>
    <w:rsid w:val="00F1586E"/>
    <w:rsid w:val="00F15B40"/>
    <w:rsid w:val="00F25999"/>
    <w:rsid w:val="00F3594C"/>
    <w:rsid w:val="00F40F32"/>
    <w:rsid w:val="00F4254B"/>
    <w:rsid w:val="00F46B1B"/>
    <w:rsid w:val="00F4757F"/>
    <w:rsid w:val="00F566AB"/>
    <w:rsid w:val="00F62A10"/>
    <w:rsid w:val="00F63199"/>
    <w:rsid w:val="00F64FE6"/>
    <w:rsid w:val="00F66CBF"/>
    <w:rsid w:val="00F77989"/>
    <w:rsid w:val="00F82FD0"/>
    <w:rsid w:val="00F878E7"/>
    <w:rsid w:val="00F92610"/>
    <w:rsid w:val="00FA18B2"/>
    <w:rsid w:val="00FA19EF"/>
    <w:rsid w:val="00FA310A"/>
    <w:rsid w:val="00FA33FA"/>
    <w:rsid w:val="00FB2E80"/>
    <w:rsid w:val="00FC2BD1"/>
    <w:rsid w:val="00FD0087"/>
    <w:rsid w:val="00FD352A"/>
    <w:rsid w:val="00FD4BF1"/>
    <w:rsid w:val="00FD56B0"/>
    <w:rsid w:val="00FD5B1C"/>
    <w:rsid w:val="00FE1DF1"/>
    <w:rsid w:val="00FE2BEC"/>
    <w:rsid w:val="00FF021A"/>
    <w:rsid w:val="00FF0C9A"/>
    <w:rsid w:val="00FF60BC"/>
    <w:rsid w:val="00FF7070"/>
    <w:rsid w:val="00FF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ostalCode"/>
  <w:smartTagType w:namespaceuri="urn:schemas-microsoft-com:office:smarttags" w:name="plac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01"/>
    <w:rPr>
      <w:rFonts w:eastAsia="Calibri"/>
      <w:sz w:val="24"/>
      <w:szCs w:val="24"/>
    </w:rPr>
  </w:style>
  <w:style w:type="paragraph" w:styleId="Heading1">
    <w:name w:val="heading 1"/>
    <w:basedOn w:val="Normal"/>
    <w:next w:val="Normal"/>
    <w:link w:val="Heading1Char"/>
    <w:qFormat/>
    <w:rsid w:val="000D4801"/>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D4801"/>
    <w:rPr>
      <w:rFonts w:eastAsia="Calibri"/>
      <w:b/>
      <w:sz w:val="24"/>
      <w:lang w:val="en-US" w:eastAsia="en-US" w:bidi="ar-SA"/>
    </w:rPr>
  </w:style>
  <w:style w:type="paragraph" w:styleId="FootnoteText">
    <w:name w:val="footnote text"/>
    <w:basedOn w:val="Normal"/>
    <w:link w:val="FootnoteTextChar"/>
    <w:semiHidden/>
    <w:rsid w:val="000D4801"/>
    <w:rPr>
      <w:sz w:val="20"/>
      <w:szCs w:val="20"/>
    </w:rPr>
  </w:style>
  <w:style w:type="character" w:styleId="FootnoteReference">
    <w:name w:val="footnote reference"/>
    <w:basedOn w:val="DefaultParagraphFont"/>
    <w:semiHidden/>
    <w:rsid w:val="000D4801"/>
    <w:rPr>
      <w:vertAlign w:val="superscript"/>
    </w:rPr>
  </w:style>
  <w:style w:type="character" w:customStyle="1" w:styleId="FootnoteTextChar">
    <w:name w:val="Footnote Text Char"/>
    <w:basedOn w:val="DefaultParagraphFont"/>
    <w:link w:val="FootnoteText"/>
    <w:locked/>
    <w:rsid w:val="000D4801"/>
    <w:rPr>
      <w:rFonts w:eastAsia="Calibri"/>
      <w:lang w:val="en-US" w:eastAsia="en-US" w:bidi="ar-SA"/>
    </w:rPr>
  </w:style>
  <w:style w:type="paragraph" w:styleId="NormalWeb">
    <w:name w:val="Normal (Web)"/>
    <w:basedOn w:val="Normal"/>
    <w:rsid w:val="000D4801"/>
    <w:pPr>
      <w:spacing w:before="100" w:beforeAutospacing="1" w:after="100" w:afterAutospacing="1"/>
    </w:pPr>
    <w:rPr>
      <w:rFonts w:eastAsia="Times New Roman"/>
    </w:rPr>
  </w:style>
  <w:style w:type="character" w:styleId="Hyperlink">
    <w:name w:val="Hyperlink"/>
    <w:basedOn w:val="DefaultParagraphFont"/>
    <w:rsid w:val="000D4801"/>
    <w:rPr>
      <w:rFonts w:cs="Times New Roman"/>
      <w:color w:val="0000FF"/>
      <w:u w:val="single"/>
    </w:rPr>
  </w:style>
  <w:style w:type="character" w:styleId="Emphasis">
    <w:name w:val="Emphasis"/>
    <w:basedOn w:val="DefaultParagraphFont"/>
    <w:qFormat/>
    <w:rsid w:val="000D4801"/>
    <w:rPr>
      <w:rFonts w:cs="Times New Roman"/>
      <w:i/>
      <w:iCs/>
    </w:rPr>
  </w:style>
  <w:style w:type="paragraph" w:styleId="BalloonText">
    <w:name w:val="Balloon Text"/>
    <w:basedOn w:val="Normal"/>
    <w:semiHidden/>
    <w:rsid w:val="000D4801"/>
    <w:rPr>
      <w:rFonts w:ascii="Tahoma" w:hAnsi="Tahoma" w:cs="Tahoma"/>
      <w:sz w:val="16"/>
      <w:szCs w:val="16"/>
    </w:rPr>
  </w:style>
  <w:style w:type="paragraph" w:styleId="Footer">
    <w:name w:val="footer"/>
    <w:basedOn w:val="Normal"/>
    <w:rsid w:val="00F15B40"/>
    <w:pPr>
      <w:tabs>
        <w:tab w:val="center" w:pos="4320"/>
        <w:tab w:val="right" w:pos="8640"/>
      </w:tabs>
    </w:pPr>
  </w:style>
  <w:style w:type="character" w:styleId="PageNumber">
    <w:name w:val="page number"/>
    <w:basedOn w:val="DefaultParagraphFont"/>
    <w:rsid w:val="00F15B40"/>
  </w:style>
  <w:style w:type="character" w:styleId="FollowedHyperlink">
    <w:name w:val="FollowedHyperlink"/>
    <w:basedOn w:val="DefaultParagraphFont"/>
    <w:rsid w:val="00BB7F2C"/>
    <w:rPr>
      <w:color w:val="FF0000"/>
      <w:u w:val="single"/>
    </w:rPr>
  </w:style>
  <w:style w:type="paragraph" w:styleId="Header">
    <w:name w:val="header"/>
    <w:basedOn w:val="Normal"/>
    <w:rsid w:val="00542F8D"/>
    <w:pPr>
      <w:tabs>
        <w:tab w:val="center" w:pos="4320"/>
        <w:tab w:val="right" w:pos="8640"/>
      </w:tabs>
    </w:pPr>
  </w:style>
  <w:style w:type="character" w:styleId="CommentReference">
    <w:name w:val="annotation reference"/>
    <w:basedOn w:val="DefaultParagraphFont"/>
    <w:rsid w:val="00B27660"/>
    <w:rPr>
      <w:rFonts w:cs="Times New Roman"/>
      <w:sz w:val="16"/>
      <w:szCs w:val="16"/>
    </w:rPr>
  </w:style>
  <w:style w:type="paragraph" w:styleId="CommentText">
    <w:name w:val="annotation text"/>
    <w:basedOn w:val="Normal"/>
    <w:link w:val="CommentTextChar"/>
    <w:rsid w:val="00B27660"/>
    <w:rPr>
      <w:rFonts w:eastAsia="Times New Roman"/>
      <w:sz w:val="20"/>
      <w:szCs w:val="20"/>
    </w:rPr>
  </w:style>
  <w:style w:type="character" w:customStyle="1" w:styleId="CommentTextChar">
    <w:name w:val="Comment Text Char"/>
    <w:basedOn w:val="DefaultParagraphFont"/>
    <w:link w:val="CommentText"/>
    <w:locked/>
    <w:rsid w:val="00B27660"/>
    <w:rPr>
      <w:lang w:val="en-US" w:eastAsia="en-US" w:bidi="ar-SA"/>
    </w:rPr>
  </w:style>
  <w:style w:type="paragraph" w:styleId="CommentSubject">
    <w:name w:val="annotation subject"/>
    <w:basedOn w:val="CommentText"/>
    <w:next w:val="CommentText"/>
    <w:semiHidden/>
    <w:rsid w:val="00E76A9F"/>
    <w:rPr>
      <w:rFonts w:eastAsia="Calibri"/>
      <w:b/>
      <w:bCs/>
    </w:rPr>
  </w:style>
  <w:style w:type="character" w:customStyle="1" w:styleId="ital-inline1">
    <w:name w:val="ital-inline1"/>
    <w:basedOn w:val="DefaultParagraphFont"/>
    <w:rsid w:val="00027FBE"/>
    <w:rPr>
      <w:i/>
      <w:iCs/>
      <w:vanish w:val="0"/>
      <w:webHidden w:val="0"/>
      <w:specVanish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ic.gov/regulations/safety/manual/section7-1_toc.html" TargetMode="External"/><Relationship Id="rId13" Type="http://schemas.openxmlformats.org/officeDocument/2006/relationships/hyperlink" Target="http://www.occ.treas.gov/ftp/bulletin/2000-16.doc" TargetMode="External"/><Relationship Id="rId18" Type="http://schemas.openxmlformats.org/officeDocument/2006/relationships/hyperlink" Target="http://www.bis.org/publ/bcbs108.pdf?noframes=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dic.gov/news/news/financial/1996/fil9652.pdf" TargetMode="External"/><Relationship Id="rId12" Type="http://schemas.openxmlformats.org/officeDocument/2006/relationships/hyperlink" Target="http://www.occ.treas.gov/handbook/irr.pdf" TargetMode="External"/><Relationship Id="rId17" Type="http://schemas.openxmlformats.org/officeDocument/2006/relationships/hyperlink" Target="http://www.ncua.gov/Resources/LettersCreditUnion.aspx" TargetMode="External"/><Relationship Id="rId2" Type="http://schemas.openxmlformats.org/officeDocument/2006/relationships/styles" Target="styles.xml"/><Relationship Id="rId16" Type="http://schemas.openxmlformats.org/officeDocument/2006/relationships/hyperlink" Target="http://files.ots.treas.gov/25195.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ederalreserve.gov/boarddocs/supmanual/default.htm" TargetMode="External"/><Relationship Id="rId5" Type="http://schemas.openxmlformats.org/officeDocument/2006/relationships/footnotes" Target="footnotes.xml"/><Relationship Id="rId15" Type="http://schemas.openxmlformats.org/officeDocument/2006/relationships/hyperlink" Target="http://files.ots.treas.gov/84074.pdf" TargetMode="External"/><Relationship Id="rId10" Type="http://schemas.openxmlformats.org/officeDocument/2006/relationships/hyperlink" Target="http://www.federalreserve.gov/boarddocs/supmanual/default.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ederalreserve.gov/boarddocs/supmanual/default.htm" TargetMode="External"/><Relationship Id="rId14" Type="http://schemas.openxmlformats.org/officeDocument/2006/relationships/hyperlink" Target="http://www.occ.treas.gov/handbook/deriv.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dic.gov/regulations/laws/rules/1000-4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3516</Words>
  <Characters>23135</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INTERAGENCY ADVISORY ON</vt:lpstr>
    </vt:vector>
  </TitlesOfParts>
  <Company>Federal Deposit Insurance Corporation</Company>
  <LinksUpToDate>false</LinksUpToDate>
  <CharactersWithSpaces>26598</CharactersWithSpaces>
  <SharedDoc>false</SharedDoc>
  <HLinks>
    <vt:vector size="78" baseType="variant">
      <vt:variant>
        <vt:i4>6815869</vt:i4>
      </vt:variant>
      <vt:variant>
        <vt:i4>33</vt:i4>
      </vt:variant>
      <vt:variant>
        <vt:i4>0</vt:i4>
      </vt:variant>
      <vt:variant>
        <vt:i4>5</vt:i4>
      </vt:variant>
      <vt:variant>
        <vt:lpwstr>http://www.bis.org/publ/bcbs108.pdf?noframes=1</vt:lpwstr>
      </vt:variant>
      <vt:variant>
        <vt:lpwstr/>
      </vt:variant>
      <vt:variant>
        <vt:i4>196631</vt:i4>
      </vt:variant>
      <vt:variant>
        <vt:i4>30</vt:i4>
      </vt:variant>
      <vt:variant>
        <vt:i4>0</vt:i4>
      </vt:variant>
      <vt:variant>
        <vt:i4>5</vt:i4>
      </vt:variant>
      <vt:variant>
        <vt:lpwstr>http://www.ncua.gov/Resources/LettersCreditUnion.aspx</vt:lpwstr>
      </vt:variant>
      <vt:variant>
        <vt:lpwstr/>
      </vt:variant>
      <vt:variant>
        <vt:i4>1900618</vt:i4>
      </vt:variant>
      <vt:variant>
        <vt:i4>27</vt:i4>
      </vt:variant>
      <vt:variant>
        <vt:i4>0</vt:i4>
      </vt:variant>
      <vt:variant>
        <vt:i4>5</vt:i4>
      </vt:variant>
      <vt:variant>
        <vt:lpwstr>http://files.ots.treas.gov/25195.pdf</vt:lpwstr>
      </vt:variant>
      <vt:variant>
        <vt:lpwstr/>
      </vt:variant>
      <vt:variant>
        <vt:i4>1507397</vt:i4>
      </vt:variant>
      <vt:variant>
        <vt:i4>24</vt:i4>
      </vt:variant>
      <vt:variant>
        <vt:i4>0</vt:i4>
      </vt:variant>
      <vt:variant>
        <vt:i4>5</vt:i4>
      </vt:variant>
      <vt:variant>
        <vt:lpwstr>http://files.ots.treas.gov/84074.pdf</vt:lpwstr>
      </vt:variant>
      <vt:variant>
        <vt:lpwstr/>
      </vt:variant>
      <vt:variant>
        <vt:i4>3539057</vt:i4>
      </vt:variant>
      <vt:variant>
        <vt:i4>21</vt:i4>
      </vt:variant>
      <vt:variant>
        <vt:i4>0</vt:i4>
      </vt:variant>
      <vt:variant>
        <vt:i4>5</vt:i4>
      </vt:variant>
      <vt:variant>
        <vt:lpwstr>http://www.occ.treas.gov/handbook/deriv.pdf</vt:lpwstr>
      </vt:variant>
      <vt:variant>
        <vt:lpwstr/>
      </vt:variant>
      <vt:variant>
        <vt:i4>2031685</vt:i4>
      </vt:variant>
      <vt:variant>
        <vt:i4>18</vt:i4>
      </vt:variant>
      <vt:variant>
        <vt:i4>0</vt:i4>
      </vt:variant>
      <vt:variant>
        <vt:i4>5</vt:i4>
      </vt:variant>
      <vt:variant>
        <vt:lpwstr>http://www.occ.treas.gov/ftp/bulletin/2000-16.doc</vt:lpwstr>
      </vt:variant>
      <vt:variant>
        <vt:lpwstr/>
      </vt:variant>
      <vt:variant>
        <vt:i4>4718602</vt:i4>
      </vt:variant>
      <vt:variant>
        <vt:i4>15</vt:i4>
      </vt:variant>
      <vt:variant>
        <vt:i4>0</vt:i4>
      </vt:variant>
      <vt:variant>
        <vt:i4>5</vt:i4>
      </vt:variant>
      <vt:variant>
        <vt:lpwstr>http://www.occ.treas.gov/handbook/irr.pdf</vt:lpwstr>
      </vt:variant>
      <vt:variant>
        <vt:lpwstr/>
      </vt:variant>
      <vt:variant>
        <vt:i4>4653126</vt:i4>
      </vt:variant>
      <vt:variant>
        <vt:i4>12</vt:i4>
      </vt:variant>
      <vt:variant>
        <vt:i4>0</vt:i4>
      </vt:variant>
      <vt:variant>
        <vt:i4>5</vt:i4>
      </vt:variant>
      <vt:variant>
        <vt:lpwstr>http://www.federalreserve.gov/boarddocs/supmanual/trading/trading.pdf</vt:lpwstr>
      </vt:variant>
      <vt:variant>
        <vt:lpwstr/>
      </vt:variant>
      <vt:variant>
        <vt:i4>6488175</vt:i4>
      </vt:variant>
      <vt:variant>
        <vt:i4>9</vt:i4>
      </vt:variant>
      <vt:variant>
        <vt:i4>0</vt:i4>
      </vt:variant>
      <vt:variant>
        <vt:i4>5</vt:i4>
      </vt:variant>
      <vt:variant>
        <vt:lpwstr>http://www.federalreserve.gov/boarddocs/supmanual/bhc/200907/2000p5.pdf</vt:lpwstr>
      </vt:variant>
      <vt:variant>
        <vt:lpwstr/>
      </vt:variant>
      <vt:variant>
        <vt:i4>6357093</vt:i4>
      </vt:variant>
      <vt:variant>
        <vt:i4>6</vt:i4>
      </vt:variant>
      <vt:variant>
        <vt:i4>0</vt:i4>
      </vt:variant>
      <vt:variant>
        <vt:i4>5</vt:i4>
      </vt:variant>
      <vt:variant>
        <vt:lpwstr>http://www.federalreserve.gov/boarddocs/supmanual/cbem/0005cbem.pdf</vt:lpwstr>
      </vt:variant>
      <vt:variant>
        <vt:lpwstr/>
      </vt:variant>
      <vt:variant>
        <vt:i4>4784177</vt:i4>
      </vt:variant>
      <vt:variant>
        <vt:i4>3</vt:i4>
      </vt:variant>
      <vt:variant>
        <vt:i4>0</vt:i4>
      </vt:variant>
      <vt:variant>
        <vt:i4>5</vt:i4>
      </vt:variant>
      <vt:variant>
        <vt:lpwstr>http://www.fdic.gov/regulations/safety/manual/section7-1_toc.html</vt:lpwstr>
      </vt:variant>
      <vt:variant>
        <vt:lpwstr/>
      </vt:variant>
      <vt:variant>
        <vt:i4>5767181</vt:i4>
      </vt:variant>
      <vt:variant>
        <vt:i4>0</vt:i4>
      </vt:variant>
      <vt:variant>
        <vt:i4>0</vt:i4>
      </vt:variant>
      <vt:variant>
        <vt:i4>5</vt:i4>
      </vt:variant>
      <vt:variant>
        <vt:lpwstr>http://www.fdic.gov/news/news/financial/1996/fil9652.pdf</vt:lpwstr>
      </vt:variant>
      <vt:variant>
        <vt:lpwstr/>
      </vt:variant>
      <vt:variant>
        <vt:i4>3538976</vt:i4>
      </vt:variant>
      <vt:variant>
        <vt:i4>0</vt:i4>
      </vt:variant>
      <vt:variant>
        <vt:i4>0</vt:i4>
      </vt:variant>
      <vt:variant>
        <vt:i4>5</vt:i4>
      </vt:variant>
      <vt:variant>
        <vt:lpwstr>http://www.fdic.gov/regulations/laws/rules/1000-4000.html</vt:lpwstr>
      </vt:variant>
      <vt:variant>
        <vt:lpwstr>1000sec.38a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INTERAGENCY ADVISORY ON</dc:title>
  <dc:subject/>
  <dc:creator>Katherine Lowell</dc:creator>
  <cp:keywords/>
  <cp:lastModifiedBy>Alexander Kobulsky</cp:lastModifiedBy>
  <cp:revision>4</cp:revision>
  <cp:lastPrinted>2009-12-17T20:07:00Z</cp:lastPrinted>
  <dcterms:created xsi:type="dcterms:W3CDTF">2010-01-07T20:31:00Z</dcterms:created>
  <dcterms:modified xsi:type="dcterms:W3CDTF">2010-01-07T20:49:00Z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656195696</vt:i4>
  </property>
  <property fmtid="{D5CDD505-2E9C-101B-9397-08002B2CF9AE}" pid="4" name="_EmailSubject">
    <vt:lpwstr>FDIC IRR Press Release</vt:lpwstr>
  </property>
  <property fmtid="{D5CDD505-2E9C-101B-9397-08002B2CF9AE}" pid="5" name="_AuthorEmail">
    <vt:lpwstr>EFord@FDIC.gov</vt:lpwstr>
  </property>
  <property fmtid="{D5CDD505-2E9C-101B-9397-08002B2CF9AE}" pid="6" name="_AuthorEmailDisplayName">
    <vt:lpwstr>Ford, Elizabeth A.</vt:lpwstr>
  </property>
  <property fmtid="{D5CDD505-2E9C-101B-9397-08002B2CF9AE}" pid="7" name="_PreviousAdHocReviewCycleID">
    <vt:i4>-537262946</vt:i4>
  </property>
  <property fmtid="{D5CDD505-2E9C-101B-9397-08002B2CF9AE}" pid="8" name="_ReviewingToolsShownOnce">
    <vt:lpwstr/>
  </property>
</Properties>
</file>