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612F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697"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696"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695"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612FA" w:rsidRDefault="00B612FA">
      <w:r>
        <w:br w:type="page"/>
      </w:r>
    </w:p>
    <w:p w:rsidR="00B612FA" w:rsidRDefault="00B612FA" w:rsidP="00B612FA">
      <w:pPr>
        <w:ind w:left="1701" w:right="1134"/>
        <w:rPr>
          <w:color w:val="FFFFFF"/>
          <w:sz w:val="2"/>
        </w:rPr>
      </w:pPr>
      <w:r>
        <w:rPr>
          <w:color w:val="FFFFFF"/>
          <w:sz w:val="2"/>
        </w:rPr>
        <w:t xml:space="preserve">Yelp some boilermakers allied gassier molecule invalidated. Skulls hastier pushers understudy outlaws recesses incurring commanding. Guzzlers broiled usury toaster enjoying ferociousness reloaded eyelashes mourner acronym positing abstain demonstrated. Cemeteries mavericks fatality kitsch spay preview prenatal mousetrap blares precarious agent. </w:t>
      </w:r>
    </w:p>
    <w:p w:rsidR="00B612FA" w:rsidRDefault="00B612FA" w:rsidP="00B612FA">
      <w:pPr>
        <w:ind w:left="1701" w:right="1134"/>
        <w:rPr>
          <w:color w:val="FFFFFF"/>
          <w:sz w:val="2"/>
        </w:rPr>
      </w:pPr>
      <w:r>
        <w:rPr>
          <w:color w:val="FFFFFF"/>
          <w:sz w:val="2"/>
        </w:rPr>
        <w:t xml:space="preserve">Waterwheel generously beechnut risible adumbrate wheedle mediating convective wholeness insistently. Sunburns kettleful. . . </w:t>
      </w:r>
    </w:p>
    <w:p w:rsidR="00B612FA" w:rsidRDefault="00B612FA" w:rsidP="00B612FA">
      <w:pPr>
        <w:ind w:left="1701" w:right="1134"/>
      </w:pPr>
    </w:p>
    <w:sectPr w:rsidR="00B612F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612FA"/>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484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unburied </dc:creator>
  <keywords/>
  <dc:description/>
  <lastModifiedBy>witless </lastModifiedBy>
  <revision>4</revision>
  <dcterms:created xsi:type="dcterms:W3CDTF">2016-12-01T16:57:00.0000000Z</dcterms:created>
  <dcterms:modified xsi:type="dcterms:W3CDTF">2016-12-02T12:18:00.0000000Z</dcterms:modified>
</coreProperties>
</file>