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 w:before="1200"/>
        <w:jc w:val="center"/>
      </w:pPr>
      <w:r>
        <w:rPr>
          <w:rFonts w:ascii="Arial" w:cs="Arial" w:eastAsia="Arial" w:hAnsi="Arial"/>
          <w:b/>
          <w:bCs/>
          <w:color w:val="5B4FD4"/>
          <w:sz w:val="52"/>
          <w:szCs w:val="52"/>
        </w:rPr>
        <w:t xml:space="preserve">ARCÁDIA CONSULT</w:t>
      </w:r>
    </w:p>
    <w:p>
      <w:pPr>
        <w:spacing w:after="80"/>
        <w:jc w:val="center"/>
      </w:pPr>
      <w:r>
        <w:rPr>
          <w:rFonts w:ascii="Arial" w:cs="Arial" w:eastAsia="Arial" w:hAnsi="Arial"/>
          <w:b/>
          <w:bCs/>
          <w:color w:val="1D9E75"/>
          <w:sz w:val="32"/>
          <w:szCs w:val="32"/>
        </w:rPr>
        <w:t xml:space="preserve">Fase 3 — Revisão Final: BI Builder</w:t>
      </w:r>
    </w:p>
    <w:p>
      <w:pPr>
        <w:spacing w:after="60"/>
        <w:jc w:val="center"/>
      </w:pPr>
      <w:r>
        <w:rPr>
          <w:rFonts w:ascii="Arial" w:cs="Arial" w:eastAsia="Arial" w:hAnsi="Arial"/>
          <w:color w:val="5F5E5A"/>
          <w:sz w:val="24"/>
          <w:szCs w:val="24"/>
        </w:rPr>
        <w:t xml:space="preserve">Schema DataSourceRef + DnD 3 funções + SQL Agêntico</w:t>
      </w:r>
    </w:p>
    <w:p>
      <w:pPr>
        <w:pBdr>
          <w:bottom w:val="single" w:color="EEEEEE" w:sz="3"/>
        </w:pBdr>
        <w:spacing w:after="100" w:before="100"/>
      </w:pPr>
      <w:r>
        <w:t xml:space="preserve"/>
      </w:r>
    </w:p>
    <w:p>
      <w:pPr>
        <w:spacing w:after="0"/>
        <w:jc w:val="center"/>
      </w:pPr>
      <w:r>
        <w:rPr>
          <w:rFonts w:ascii="Arial" w:cs="Arial" w:eastAsia="Arial" w:hAnsi="Arial"/>
          <w:color w:val="5F5E5A"/>
          <w:sz w:val="20"/>
          <w:szCs w:val="20"/>
        </w:rPr>
        <w:t xml:space="preserve">Versão 3.0  ·  Abril 2025  ·  Instrução para Replit Agent</w:t>
      </w:r>
    </w:p>
    <w:p>
      <w:r>
        <w:br w:type="pag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5B4FD4"/>
          <w:sz w:val="32"/>
          <w:szCs w:val="32"/>
        </w:rPr>
        <w:t xml:space="preserve">Por que este documento substitui os anteriores</w:t>
      </w:r>
    </w:p>
    <w:p>
      <w:pPr>
        <w:spacing w:after="12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Os planejamentos anteriores do BI Builder (arcadia-fase3-bi.docx, arcadia-fase3-sql-brain.docx e arcadia-bi-dnd-sql.docx) tinham uma limitação arquitetural importante: o WidgetConfig amarrava cada widget a uma rota de API interna do Arcádia. Quando datasets externos chegarem (ERP, PostgreSQL de cliente, Google Sheets), essa estrutura quebraria.</w:t>
      </w:r>
    </w:p>
    <w:p>
      <w:pPr>
        <w:spacing w:after="12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Este documento corrige isso com a abstração DataSourceRef — uma union type discriminada que torna o WidgetConfig agnóstico à origem dos dados. O ganho imediato é zero (os conectores externos ainda não existem), mas o custo de migrar depois seria alto. Fazer agora custa apenas algumas linhas extras no schema.</w:t>
      </w:r>
    </w:p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5B4FD4" w:val="clear"/>
            <w:tcMar>
              <w:top w:type="dxa" w:w="100"/>
              <w:left w:type="dxa" w:w="240"/>
              <w:bottom w:type="dxa" w:w="100"/>
              <w:right w:type="dxa" w:w="2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 que muda em relação ao planejamento anterior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3FD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• Schema: WidgetConfig recebe o campo dataSource?: DataSourceRef (union type) em vez de metricKey simples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• Retrocompatibilidade: campo metricKey legado mantido — dashboards existentes continuam funcionando sem migration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• WidgetRenderer: usa switch em dataSource.type para decidir como buscar dados (internal | sql_agent | connector)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• Connector futuro: quando o primeiro dataset externo chegar, basta implementar o caso 'connector' no renderer — zero refatoração no schema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• SQL agêntico: integrado como type='sql_agent' na union — não é um caso especial, é uma fonte de dados como qualquer outra</w:t>
            </w:r>
          </w:p>
        </w:tc>
      </w:tr>
    </w:tbl>
    <w:p>
      <w:pPr>
        <w:spacing w:after="160"/>
      </w:pPr>
      <w:r>
        <w:t xml:space="preserve"/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1F5EE" w:val="clear"/>
            <w:tcMar>
              <w:top w:type="dxa" w:w="160"/>
              <w:left w:type="dxa" w:w="280"/>
              <w:bottom w:type="dxa" w:w="160"/>
              <w:right w:type="dxa" w:w="280"/>
            </w:tcMar>
          </w:tcPr>
          <w:p>
            <w:r>
              <w:rPr>
                <w:rFonts w:ascii="Arial" w:cs="Arial" w:eastAsia="Arial" w:hAnsi="Arial"/>
                <w:b/>
                <w:bCs/>
                <w:color w:val="1D9E75"/>
                <w:sz w:val="20"/>
                <w:szCs w:val="20"/>
              </w:rPr>
              <w:t xml:space="preserve">PARTE 1</w:t>
            </w:r>
            <w:r>
              <w:rPr>
                <w:rFonts w:ascii="Arial" w:cs="Arial" w:eastAsia="Arial" w:hAnsi="Arial"/>
                <w:b/>
                <w:bCs/>
                <w:color w:val="1D9E75"/>
                <w:sz w:val="26"/>
                <w:szCs w:val="26"/>
              </w:rPr>
              <w:t xml:space="preserve">   Schema — DataSourceRef + WidgetConfig + sql_queries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D9E75"/>
          <w:sz w:val="26"/>
          <w:szCs w:val="26"/>
        </w:rPr>
        <w:t xml:space="preserve">1.1 — Decisão arquitetural: estender, não substituir</w:t>
      </w:r>
    </w:p>
    <w:p>
      <w:pPr>
        <w:spacing w:after="12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Instruir o Replit Agent explicitamente: NÃO substituir o WidgetConfig existente. ADICIONAR os novos campos como opcionais. Isso garante zero risco de regressão em dashboards já salvos no banco.</w:t>
      </w:r>
    </w:p>
    <w:p>
      <w:pPr>
        <w:spacing w:after="80"/>
      </w:pPr>
      <w:r>
        <w:t xml:space="preserve"/>
      </w:r>
    </w:p>
    <w:p>
      <w:pPr>
        <w:spacing w:after="100"/>
        <w:ind w:left="360"/>
      </w:pPr>
      <w:r>
        <w:rPr>
          <w:rFonts w:ascii="Arial" w:cs="Arial" w:eastAsia="Arial" w:hAnsi="Arial"/>
          <w:i/>
          <w:iCs/>
          <w:color w:val="BA7517"/>
          <w:sz w:val="20"/>
          <w:szCs w:val="20"/>
        </w:rPr>
        <w:t xml:space="preserve">⚠  NÃO substituir o tipo WidgetConfig. Adicionar os campos novos como opcionais ao tipo existente.</w:t>
      </w:r>
    </w:p>
    <w:p>
      <w:pPr>
        <w:spacing w:after="100"/>
        <w:ind w:left="360"/>
      </w:pPr>
      <w:r>
        <w:rPr>
          <w:rFonts w:ascii="Arial" w:cs="Arial" w:eastAsia="Arial" w:hAnsi="Arial"/>
          <w:i/>
          <w:iCs/>
          <w:color w:val="1D9E75"/>
          <w:sz w:val="20"/>
          <w:szCs w:val="20"/>
        </w:rPr>
        <w:t xml:space="preserve">✅  Dashboards salvos com metricKey simples continuam funcionando sem nenhuma migration de dados.</w:t>
      </w:r>
    </w:p>
    <w:p>
      <w:pPr>
        <w:spacing w:after="12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D9E75"/>
          <w:sz w:val="26"/>
          <w:szCs w:val="26"/>
        </w:rPr>
        <w:t xml:space="preserve">1.2 — DataSourceRef (shared/schema.ts — adicionar antes do WidgetConfig)</w:t>
      </w:r>
    </w:p>
    <w:p>
      <w:pPr>
        <w:spacing w:after="12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Criar o tipo DataSourceRef como union discriminada. Cada variante tem campos específicos e o TypeScript garante em compilação que o código usa os campos corretos para cada tipo:</w:t>
      </w:r>
    </w:p>
    <w:p>
      <w:pPr>
        <w:spacing w:after="80"/>
      </w:pPr>
      <w:r>
        <w:t xml:space="preserve"/>
      </w:r>
    </w:p>
    <w:p>
      <w:pPr>
        <w:shd w:fill="1A1A2E" w:val="clear"/>
        <w:spacing w:after="80" w:before="80"/>
        <w:ind w:left="280" w:right="280"/>
      </w:pPr>
      <w:r>
        <w:rPr>
          <w:rFonts w:ascii="Courier New" w:cs="Courier New" w:eastAsia="Courier New" w:hAnsi="Courier New"/>
          <w:color w:val="9CDCFE"/>
          <w:sz w:val="18"/>
          <w:szCs w:val="18"/>
        </w:rPr>
        <w:t xml:space="preserve">// ── DATA SOURCE REF ──────────────────────────────────────────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// Union type discriminada — cada 'type' tem campos específicos.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// Hoje: 'internal' e 'sql_agent'.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// Futuro: adicionar 'connector' quando o primeiro dataset externo chegar.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/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export type DataSourceRef =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| {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    type: 'internal';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    // Chave do catálogo de métricas — ex: 'projects_by_status'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    // Mapeia para a rota /api/bi/{key.replace(/_/g,'-')}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    metricKey: string;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    // Múltiplas séries (Função 3 DnD — combinar métricas)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    // Se ausente, usa [metricKey] como array unitário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    metricKeys?: string[];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  }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| {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    type: 'sql_agent';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    // ID da query gerada pelo agente (FK para sql_queries)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    sqlQueryId: string;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    // Prompt original — exibido na UI para o consultor lembrar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    agentPrompt?: string;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    // Colunas mapeadas para os eixos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    xAxisColumn?: string;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    yAxisColumns?: string[];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  }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| {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    type: 'connector';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    // FUTURO — não implementar agora.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    // Preenchido quando datasets externos (ERP, Sheets, etc) chegarem.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    connectorId: string;   // FK para data_sources (tabela futura)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    query?: string;        // filtro ou query no dataset externo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    refreshInterval?: number; // segundos entre sincronizações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  };</w:t>
      </w:r>
    </w:p>
    <w:p>
      <w:pPr>
        <w:spacing w:after="16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D9E75"/>
          <w:sz w:val="26"/>
          <w:szCs w:val="26"/>
        </w:rPr>
        <w:t xml:space="preserve">1.3 — WidgetConfig atualizado (shared/schema.ts — ESTENDER, não substituir)</w:t>
      </w:r>
    </w:p>
    <w:p>
      <w:pPr>
        <w:spacing w:after="12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Adicionar o campo dataSource opcional ao tipo WidgetConfig existente. Manter todos os campos legados intactos:</w:t>
      </w:r>
    </w:p>
    <w:p>
      <w:pPr>
        <w:spacing w:after="80"/>
      </w:pPr>
      <w:r>
        <w:t xml:space="preserve"/>
      </w:r>
    </w:p>
    <w:p>
      <w:pPr>
        <w:shd w:fill="1A1A2E" w:val="clear"/>
        <w:spacing w:after="80" w:before="80"/>
        <w:ind w:left="280" w:right="280"/>
      </w:pPr>
      <w:r>
        <w:rPr>
          <w:rFonts w:ascii="Courier New" w:cs="Courier New" w:eastAsia="Courier New" w:hAnsi="Courier New"/>
          <w:color w:val="9CDCFE"/>
          <w:sz w:val="18"/>
          <w:szCs w:val="18"/>
        </w:rPr>
        <w:t xml:space="preserve">// INSTRUÇÃO PARA O REPLIT AGENT: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// Encontrar o tipo WidgetConfig existente no arquivo shared/schema.ts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// e ADICIONAR os campos novos abaixo dos existentes.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// NÃO remover nenhum campo existente.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/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export type WidgetConfig = {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id: string;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type: 'kpi_card'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     | 'bar_chart'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     | 'line_chart'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     | 'radar_chart';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title: string;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gridPos: {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  x: number;   // coluna inicial (0-11)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  y: number;   // linha no grid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  w: number;   // largura em colunas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  h: number;   // altura em unidades (1 unidade = 80px)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};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options?: {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  color?: string;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  colors?: string[];     // uma cor por série (widgets combinados)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  showLegend?: boolean;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  valuePrefix?: string;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  valueSuffix?: string;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};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/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// ── CAMPOS LEGADOS — manter para retrocompatibilidade ────────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// Dashboards salvos antes desta versão usam estes campos.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// O WidgetRenderer normaliza: se dataSource ausente, constrói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// um DataSourceRef { type: 'internal', metricKey } a partir deles.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metricKey?: string;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metricKeys?: string[];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sqlQueryId?: string;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/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// ── CAMPO NOVO — origem dos dados (DataSourceRef) ─────────────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// Para widgets novos: preencher dataSource e deixar legado vazio.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// Para widgets antigos: dataSource será undefined — o renderer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// usa o fallback para metricKey.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dataSource?: DataSourceRef;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};</w:t>
      </w:r>
    </w:p>
    <w:p>
      <w:pPr>
        <w:spacing w:after="16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D9E75"/>
          <w:sz w:val="26"/>
          <w:szCs w:val="26"/>
        </w:rPr>
        <w:t xml:space="preserve">1.4 — Tabela sql_queries (shared/schema.ts — adicionar)</w:t>
      </w:r>
    </w:p>
    <w:p>
      <w:pPr>
        <w:spacing w:after="12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Nova tabela para armazenar queries geradas pelo agente SQL. Adicionar após o WidgetConfig:</w:t>
      </w:r>
    </w:p>
    <w:p>
      <w:pPr>
        <w:spacing w:after="80"/>
      </w:pPr>
      <w:r>
        <w:t xml:space="preserve"/>
      </w:r>
    </w:p>
    <w:p>
      <w:pPr>
        <w:shd w:fill="1A1A2E" w:val="clear"/>
        <w:spacing w:after="80" w:before="80"/>
        <w:ind w:left="280" w:right="280"/>
      </w:pPr>
      <w:r>
        <w:rPr>
          <w:rFonts w:ascii="Courier New" w:cs="Courier New" w:eastAsia="Courier New" w:hAnsi="Courier New"/>
          <w:color w:val="9CDCFE"/>
          <w:sz w:val="18"/>
          <w:szCs w:val="18"/>
        </w:rPr>
        <w:t xml:space="preserve">export const sqlQueries = pgTable('sql_queries', {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id: varchar('id').primaryKey().default(sql`gen_random_uuid()`),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tenantId: varchar('tenant_id').notNull(),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// Prompt original em linguagem natural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agentPrompt: text('agent_prompt'),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// Query SQL gerada pelo Claude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querySql: text('query_sql').notNull(),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// Metadados gerados pelo agente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name: varchar('name', { length: 200 }),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description: text('description'),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// Amostra do resultado (3 linhas) — contexto para o agente futuro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resultSample: jsonb('result_sample')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  .$type&lt;Record&lt;string,any&gt;[]&gt;().default([]),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columns: jsonb('columns').$type&lt;string[]&gt;().default([]),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// Colunas sugeridas pelo agente para os eixos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xAxisColumn: varchar('x_axis_column', { length: 100 }),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yAxisColumns: jsonb('y_axis_columns')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  .$type&lt;string[]&gt;().default([]),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// Vínculo com o cérebro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brainItemId: varchar('brain_item_id'),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isCurated: integer('is_curated').default(0),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// Métricas de uso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executionCount: integer('execution_count').default(1),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lastExecutedAt: timestamp('last_executed_at').defaultNow(),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createdById: varchar('created_by_id').references(() =&gt; users.id),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createdAt: timestamp('created_at').defaultNow(),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updatedAt: timestamp('updated_at').defaultNow(),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});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/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export const insertSqlQuerySchema = createInsertSchema(sqlQueries).omit({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id: true, createdAt: true, updatedAt: true,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executionCount: true, lastExecutedAt: true,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});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export type SqlQuery = typeof sqlQueries.$inferSelect;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export type InsertSqlQuery = z.infer&lt;typeof insertSqlQuerySchema&gt;;</w:t>
      </w:r>
    </w:p>
    <w:p>
      <w:pPr>
        <w:spacing w:after="80"/>
      </w:pPr>
      <w:r>
        <w:t xml:space="preserve"/>
      </w:r>
    </w:p>
    <w:p>
      <w:pPr>
        <w:spacing w:after="100"/>
        <w:ind w:left="360"/>
      </w:pPr>
      <w:r>
        <w:rPr>
          <w:rFonts w:ascii="Arial" w:cs="Arial" w:eastAsia="Arial" w:hAnsi="Arial"/>
          <w:i/>
          <w:iCs/>
          <w:color w:val="5F5E5A"/>
          <w:sz w:val="20"/>
          <w:szCs w:val="20"/>
        </w:rPr>
        <w:t xml:space="preserve">ℹ  Após todas as edições no schema: npx drizzle-kit push</w:t>
      </w:r>
    </w:p>
    <w:p>
      <w:pPr>
        <w:spacing w:after="160"/>
      </w:pPr>
      <w:r>
        <w:t xml:space="preserve"/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3FD" w:val="clear"/>
            <w:tcMar>
              <w:top w:type="dxa" w:w="160"/>
              <w:left w:type="dxa" w:w="280"/>
              <w:bottom w:type="dxa" w:w="160"/>
              <w:right w:type="dxa" w:w="280"/>
            </w:tcMar>
          </w:tcPr>
          <w:p>
            <w:r>
              <w:rPr>
                <w:rFonts w:ascii="Arial" w:cs="Arial" w:eastAsia="Arial" w:hAnsi="Arial"/>
                <w:b/>
                <w:bCs/>
                <w:color w:val="5B4FD4"/>
                <w:sz w:val="20"/>
                <w:szCs w:val="20"/>
              </w:rPr>
              <w:t xml:space="preserve">PARTE 2</w:t>
            </w:r>
            <w:r>
              <w:rPr>
                <w:rFonts w:ascii="Arial" w:cs="Arial" w:eastAsia="Arial" w:hAnsi="Arial"/>
                <w:b/>
                <w:bCs/>
                <w:color w:val="5B4FD4"/>
                <w:sz w:val="26"/>
                <w:szCs w:val="26"/>
              </w:rPr>
              <w:t xml:space="preserve">   WidgetRenderer — switch por DataSourceRef.type</w:t>
            </w:r>
          </w:p>
        </w:tc>
      </w:tr>
    </w:tbl>
    <w:p>
      <w:pPr>
        <w:spacing w:after="120"/>
      </w:pPr>
      <w:r>
        <w:t xml:space="preserve"/>
      </w:r>
    </w:p>
    <w:p>
      <w:pPr>
        <w:spacing w:after="12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O WidgetRenderer é o único lugar que precisa saber de onde vêm os dados. Ele usa um switch em dataSource.type para decidir como buscar. Quando um conector externo chegar, basta adicionar um novo caso — zero impacto no resto do código.</w:t>
      </w:r>
    </w:p>
    <w:p>
      <w:pPr>
        <w:spacing w:after="16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D9E75"/>
          <w:sz w:val="26"/>
          <w:szCs w:val="26"/>
        </w:rPr>
        <w:t xml:space="preserve">2.1 — Hook useWidgetData (client/src/components/bi/useWidgetData.ts — novo)</w:t>
      </w:r>
    </w:p>
    <w:p>
      <w:pPr>
        <w:spacing w:after="12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Extrair a lógica de busca de dados para um hook separado. O WidgetRenderer fica limpo e focado só em renderizar:</w:t>
      </w:r>
    </w:p>
    <w:p>
      <w:pPr>
        <w:spacing w:after="80"/>
      </w:pPr>
      <w:r>
        <w:t xml:space="preserve"/>
      </w:r>
    </w:p>
    <w:p>
      <w:pPr>
        <w:shd w:fill="1A1A2E" w:val="clear"/>
        <w:spacing w:after="80" w:before="80"/>
        <w:ind w:left="280" w:right="280"/>
      </w:pPr>
      <w:r>
        <w:rPr>
          <w:rFonts w:ascii="Courier New" w:cs="Courier New" w:eastAsia="Courier New" w:hAnsi="Courier New"/>
          <w:color w:val="9CDCFE"/>
          <w:sz w:val="18"/>
          <w:szCs w:val="18"/>
        </w:rPr>
        <w:t xml:space="preserve">import { useQuery } from '@tanstack/react-query';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import { apiRequest } from '@/lib/queryClient';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import type { WidgetConfig, DataSourceRef } from '@shared/schema';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/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// Normaliza retrocompatibilidade — constrói DataSourceRef a partir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// dos campos legados se dataSource estiver ausente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function resolveDataSource(widget: WidgetConfig): DataSourceRef {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if (widget.dataSource) return widget.dataSource;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/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// Fallback legado: sql_agent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if (widget.sqlQueryId) {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  return {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    type: 'sql_agent',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    sqlQueryId: widget.sqlQueryId,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  };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}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/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// Fallback legado: internal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return {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  type: 'internal',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  metricKey: widget.metricKey || 'projects_by_status',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  metricKeys: widget.metricKeys,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};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}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/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// Busca dados de uma fonte 'internal' (rota /api/bi/*)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function useInternalData(metricKeys: string[]) {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// Para múltiplas séries, faz uma query por metricKey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return metricKeys.map(key =&gt;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  useQuery({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    queryKey: ['bi', key],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    queryFn: () =&gt; apiRequest('GET',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      `/api/bi/${key.replace(/_/g, '-')}`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    ),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    staleTime: 5 * 60 * 1000, // 5 min cache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  })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);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}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/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// Busca dados de uma fonte 'sql_agent' (query salva)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function useSqlAgentData(sqlQueryId: string) {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return useQuery({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  queryKey: ['bi', 'sql', sqlQueryId],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  queryFn: () =&gt; apiRequest('GET',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    `/api/sql/${sqlQueryId}/data`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  ),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  staleTime: 5 * 60 * 1000,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});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}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/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// Hook principal — retorna dados normalizados para o renderer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export function useWidgetData(widget: WidgetConfig) {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const ds = resolveDataSource(widget);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/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if (ds.type === 'internal') {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  const keys = ds.metricKeys ?? [ds.metricKey];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  const queries = useInternalData(keys);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  const isLoading = queries.some(q =&gt; q.isLoading);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  // Para série única: retorna array direto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  // Para múltiplas: retorna objeto { [metricKey]: data[] }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  const data = keys.length === 1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    ? queries[0]?.data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    : Object.fromEntries(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        keys.map((k, i) =&gt; [k, queries[i]?.data])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      );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  return { data, isLoading, sourceType: 'internal' as const };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}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/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if (ds.type === 'sql_agent') {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  const { data, isLoading } = useSqlAgentData(ds.sqlQueryId);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  return { data, isLoading, sourceType: 'sql_agent' as const,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           xAxisColumn: ds.xAxisColumn,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           yAxisColumns: ds.yAxisColumns };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}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/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// type === 'connector' — FUTURO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// Quando implementar: adicionar useConnectorData(ds.connectorId)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// e retornar aqui. Zero impacto no resto do código.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return { data: null, isLoading: false, sourceType: 'connector' as const };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}</w:t>
      </w:r>
    </w:p>
    <w:p>
      <w:pPr>
        <w:spacing w:after="16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D9E75"/>
          <w:sz w:val="26"/>
          <w:szCs w:val="26"/>
        </w:rPr>
        <w:t xml:space="preserve">2.2 — WidgetRenderer atualizado (client/src/components/bi/WidgetRenderer.tsx)</w:t>
      </w:r>
    </w:p>
    <w:p>
      <w:pPr>
        <w:spacing w:after="12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Refatorar o WidgetRenderer para usar o hook useWidgetData. A lógica de renderização (qual tipo de gráfico usar) não muda — só a origem dos dados é abstraída:</w:t>
      </w:r>
    </w:p>
    <w:p>
      <w:pPr>
        <w:spacing w:after="80"/>
      </w:pPr>
      <w:r>
        <w:t xml:space="preserve"/>
      </w:r>
    </w:p>
    <w:p>
      <w:pPr>
        <w:shd w:fill="1A1A2E" w:val="clear"/>
        <w:spacing w:after="80" w:before="80"/>
        <w:ind w:left="280" w:right="280"/>
      </w:pPr>
      <w:r>
        <w:rPr>
          <w:rFonts w:ascii="Courier New" w:cs="Courier New" w:eastAsia="Courier New" w:hAnsi="Courier New"/>
          <w:color w:val="9CDCFE"/>
          <w:sz w:val="18"/>
          <w:szCs w:val="18"/>
        </w:rPr>
        <w:t xml:space="preserve">import { useWidgetData } from './useWidgetData';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import { Skeleton } from '@/components/ui/skeleton';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import { Card, CardContent, CardHeader, CardTitle }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from '@/components/ui/card';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import {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BarChart, Bar, LineChart, Line, RadarChart, Radar,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PolarGrid, PolarAngleAxis, ResponsiveContainer,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XAxis, YAxis, Tooltip, Legend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} from 'recharts';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import type { WidgetConfig } from '@shared/schema';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/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const DEFAULT_COLORS = [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'#5B4FD4', '#1D9E75', '#BA7517', '#D85A30', '#185FA5'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];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/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export function WidgetRenderer({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widget, isEditMode, onRemove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}: {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widget: WidgetConfig;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isEditMode?: boolean;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onRemove?: (id: string) =&gt; void;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}) {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const { data, isLoading, sourceType,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        xAxisColumn, yAxisColumns } = useWidgetData(widget);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const colors = widget.options?.colors || DEFAULT_COLORS;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const color  = widget.options?.color  || DEFAULT_COLORS[0];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/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// Para sql_agent: determina eixos a partir dos campos do hook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// Para internal: usa 'name'/'value' que é o padrão das rotas /api/bi/*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const xKey = sourceType === 'sql_agent'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  ? (xAxisColumn || (Array.isArray(data) &amp;&amp; data[0]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      ? Object.keys(data[0])[0] : 'name'))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  : 'name';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const yKeys = sourceType === 'sql_agent'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  ? (yAxisColumns?.length ? yAxisColumns : ['value'])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  : ['value'];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/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return (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  &lt;Card className='h-full relative group overflow-hidden'&gt;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    &lt;CardHeader className='pb-2 pt-3 px-4'&gt;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      &lt;CardTitle className='text-sm font-medium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                           text-muted-foreground flex items-center gap-2'&gt;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        {widget.title}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        {isEditMode &amp;&amp; (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          &lt;button onClick={() =&gt; onRemove?.(widget.id)}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            className='ml-auto opacity-0 group-hover:opacity-100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                       text-destructive text-xs shrink-0'&gt;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            ✕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          &lt;/button&gt;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        )}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      &lt;/CardTitle&gt;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    &lt;/CardHeader&gt;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    &lt;CardContent className='px-4 pb-4'&gt;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      {isLoading &amp;&amp; &lt;Skeleton className='h-[140px] w-full'/&gt;}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/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      {!isLoading &amp;&amp; Array.isArray(data) &amp;&amp; (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        &lt;&gt;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          {/* KPI Card */}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          {widget.type === 'kpi_card' &amp;&amp; (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            &lt;div className='space-y-1'&gt;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              {data.map((item: any) =&gt; (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                &lt;div key={item[xKey]}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                  className='flex justify-between py-1 border-b last:border-0'&gt;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                  &lt;span className='text-sm text-muted-foreground'&gt;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                    {item[xKey]}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                  &lt;/span&gt;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                  &lt;span className='text-lg font-bold' style={{color}}&gt;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                    {widget.options?.valuePrefix}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                    {item[yKeys[0]]}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                    {widget.options?.valueSuffix}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                  &lt;/span&gt;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                &lt;/div&gt;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              ))}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            &lt;/div&gt;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          )}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/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          {/* Bar Chart — suporta múltiplas séries */}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          {widget.type === 'bar_chart' &amp;&amp; (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            &lt;ResponsiveContainer width='100%' height={180}&gt;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              &lt;BarChart data={data}&gt;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                &lt;XAxis dataKey={xKey} tick={{fontSize:11}}/&gt;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                &lt;YAxis tick={{fontSize:11}}/&gt;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                &lt;Tooltip/&gt;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                {yKeys.length &gt; 1 &amp;&amp; &lt;Legend/&gt;}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                {yKeys.map((k,i) =&gt; (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                  &lt;Bar key={k} dataKey={k}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                    fill={colors[i] || DEFAULT_COLORS[i]}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                    radius={[4,4,0,0]}/&gt;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                ))}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              &lt;/BarChart&gt;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            &lt;/ResponsiveContainer&gt;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          )}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/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          {/* Line Chart — suporta múltiplas séries */}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          {widget.type === 'line_chart' &amp;&amp; (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            &lt;ResponsiveContainer width='100%' height={180}&gt;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              &lt;LineChart data={data}&gt;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                &lt;XAxis dataKey={xKey} tick={{fontSize:11}}/&gt;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                &lt;YAxis tick={{fontSize:11}}/&gt;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                &lt;Tooltip/&gt;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                {yKeys.length &gt; 1 &amp;&amp; &lt;Legend/&gt;}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                {yKeys.map((k,i) =&gt; (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                  &lt;Line key={k} type='monotone' dataKey={k}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                    stroke={colors[i] || DEFAULT_COLORS[i]}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                    dot={false} strokeWidth={2}/&gt;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                ))}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              &lt;/LineChart&gt;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            &lt;/ResponsiveContainer&gt;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          )}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/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          {/* Radar Chart */}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          {widget.type === 'radar_chart' &amp;&amp; (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            &lt;ResponsiveContainer width='100%' height={200}&gt;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              &lt;RadarChart data={data}&gt;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                &lt;PolarGrid/&gt;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                &lt;PolarAngleAxis dataKey={xKey} tick={{fontSize:10}}/&gt;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                &lt;Radar dataKey={yKeys[0]}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                  fill={color} fillOpacity={0.4} stroke={color}/&gt;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                &lt;Tooltip/&gt;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              &lt;/RadarChart&gt;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            &lt;/ResponsiveContainer&gt;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          )}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        &lt;/&gt;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      )}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/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      {/* Fonte dos dados — badge discreto */}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      {!isLoading &amp;&amp; isEditMode &amp;&amp; (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        &lt;div className='absolute bottom-2 left-3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                        text-[9px] text-muted-foreground/50'&gt;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          {sourceType === 'sql_agent' ? '⚡ SQL' :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           sourceType === 'connector' ? '🔌 Conector' : '📊 Interno'}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        &lt;/div&gt;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      )}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    &lt;/CardContent&gt;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  &lt;/Card&gt;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);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}</w:t>
      </w:r>
    </w:p>
    <w:p>
      <w:pPr>
        <w:spacing w:after="80"/>
      </w:pPr>
      <w:r>
        <w:t xml:space="preserve"/>
      </w:r>
    </w:p>
    <w:p>
      <w:pPr>
        <w:spacing w:after="100"/>
        <w:ind w:left="360"/>
      </w:pPr>
      <w:r>
        <w:rPr>
          <w:rFonts w:ascii="Arial" w:cs="Arial" w:eastAsia="Arial" w:hAnsi="Arial"/>
          <w:i/>
          <w:iCs/>
          <w:color w:val="5F5E5A"/>
          <w:sz w:val="20"/>
          <w:szCs w:val="20"/>
        </w:rPr>
        <w:t xml:space="preserve">ℹ  Adicionar rota GET /api/sql/:id/data em routes.ts para servir dados de queries salvas</w:t>
      </w:r>
    </w:p>
    <w:p>
      <w:pPr>
        <w:spacing w:after="160"/>
      </w:pPr>
      <w:r>
        <w:t xml:space="preserve"/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AEEDA" w:val="clear"/>
            <w:tcMar>
              <w:top w:type="dxa" w:w="160"/>
              <w:left w:type="dxa" w:w="280"/>
              <w:bottom w:type="dxa" w:w="160"/>
              <w:right w:type="dxa" w:w="280"/>
            </w:tcMar>
          </w:tcPr>
          <w:p>
            <w:r>
              <w:rPr>
                <w:rFonts w:ascii="Arial" w:cs="Arial" w:eastAsia="Arial" w:hAnsi="Arial"/>
                <w:b/>
                <w:bCs/>
                <w:color w:val="BA7517"/>
                <w:sz w:val="20"/>
                <w:szCs w:val="20"/>
              </w:rPr>
              <w:t xml:space="preserve">PARTE 3</w:t>
            </w:r>
            <w:r>
              <w:rPr>
                <w:rFonts w:ascii="Arial" w:cs="Arial" w:eastAsia="Arial" w:hAnsi="Arial"/>
                <w:b/>
                <w:bCs/>
                <w:color w:val="BA7517"/>
                <w:sz w:val="26"/>
                <w:szCs w:val="26"/>
              </w:rPr>
              <w:t xml:space="preserve">   DnD — 3 funções com DataSourceRef correto</w:t>
            </w:r>
          </w:p>
        </w:tc>
      </w:tr>
    </w:tbl>
    <w:p>
      <w:pPr>
        <w:spacing w:after="120"/>
      </w:pPr>
      <w:r>
        <w:t xml:space="preserve"/>
      </w:r>
    </w:p>
    <w:p>
      <w:pPr>
        <w:spacing w:after="12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O DnD não muda em relação ao planejamento anterior — a única diferença é que ao criar um widget novo (Funções 1 e 3), o campo dataSource é preenchido com a estrutura correta em vez de metricKey simples.</w:t>
      </w:r>
    </w:p>
    <w:p>
      <w:pPr>
        <w:spacing w:after="16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D9E75"/>
          <w:sz w:val="26"/>
          <w:szCs w:val="26"/>
        </w:rPr>
        <w:t xml:space="preserve">3.1 — Criar widget com DataSourceRef (substituir em handleDragEnd)</w:t>
      </w:r>
    </w:p>
    <w:p>
      <w:pPr>
        <w:spacing w:after="12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Quando o consultor arrasta uma métrica do catálogo para o grid (Função 1), o widget criado usa dataSource em vez dos campos legados:</w:t>
      </w:r>
    </w:p>
    <w:p>
      <w:pPr>
        <w:spacing w:after="80"/>
      </w:pPr>
      <w:r>
        <w:t xml:space="preserve"/>
      </w:r>
    </w:p>
    <w:p>
      <w:pPr>
        <w:shd w:fill="1A1A2E" w:val="clear"/>
        <w:spacing w:after="80" w:before="80"/>
        <w:ind w:left="280" w:right="280"/>
      </w:pPr>
      <w:r>
        <w:rPr>
          <w:rFonts w:ascii="Courier New" w:cs="Courier New" w:eastAsia="Courier New" w:hAnsi="Courier New"/>
          <w:color w:val="9CDCFE"/>
          <w:sz w:val="18"/>
          <w:szCs w:val="18"/>
        </w:rPr>
        <w:t xml:space="preserve">// No handleDragEnd do BiBuilder.tsx — Função 1 (Catálogo → Grid):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if (activeData?.type === DND_TYPE.CATALOG_ITEM &amp;&amp; over?.id === 'bi-grid') {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const newWidget: WidgetConfig = {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  id: crypto.randomUUID(),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  type: activeData.defaultWidget,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  title: activeData.defaultTitle,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  gridPos: {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    x: 0,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    y: getNextRow(widgets),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    ...DEFAULT_GRID_POS[activeData.defaultWidget as keyof typeof DEFAULT_GRID_POS],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  },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  // DataSourceRef correto — sem campos legados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  dataSource: {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    type: 'internal',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    metricKey: activeData.metricKey,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    metricKeys: [activeData.metricKey],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  },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};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onWidgetsChange([...widgets, newWidget]);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return;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}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/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// Função 3 (Combinar métricas — drop sobre widget existente):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if (activeData?.type === DND_TYPE.CATALOG_ITEM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  &amp;&amp; over?.data?.current?.type === 'widget_combine') {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const targetId = over.data.current.widgetId;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onWidgetsChange(widgets.map(w =&gt; {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  if (w.id !== targetId) return w;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  if (w.type === 'kpi_card' || w.type === 'radar_chart') return w;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/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  // Resolve o dataSource atual (retrocompatível)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  const ds = w.dataSource ?? {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    type: 'internal' as const,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    metricKey: w.metricKey || '',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    metricKeys: w.metricKeys || [w.metricKey || ''],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  };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/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  // Só combina fontes 'internal'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  if (ds.type !== 'internal') return w;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/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  const current = ds.metricKeys ?? [ds.metricKey];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  if (current.includes(activeData.metricKey)) return w; // já existe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  if (current.length &gt;= 4) return w; // máximo 4 séries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/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  return {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    ...w,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    dataSource: {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      type: 'internal' as const,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      metricKey: ds.metricKey,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      metricKeys: [...current, activeData.metricKey],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    },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  };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}));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return;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}</w:t>
      </w:r>
    </w:p>
    <w:p>
      <w:pPr>
        <w:spacing w:after="16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D9E75"/>
          <w:sz w:val="26"/>
          <w:szCs w:val="26"/>
        </w:rPr>
        <w:t xml:space="preserve">3.2 — Widget de SQL agêntico com DataSourceRef</w:t>
      </w:r>
    </w:p>
    <w:p>
      <w:pPr>
        <w:spacing w:after="12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Quando o agente SQL gera um widget, o campo dataSource.type é 'sql_agent'. Atualizar a rota /api/sql/:id/to-widget para retornar o widget com DataSourceRef correto:</w:t>
      </w:r>
    </w:p>
    <w:p>
      <w:pPr>
        <w:spacing w:after="80"/>
      </w:pPr>
      <w:r>
        <w:t xml:space="preserve"/>
      </w:r>
    </w:p>
    <w:p>
      <w:pPr>
        <w:shd w:fill="1A1A2E" w:val="clear"/>
        <w:spacing w:after="80" w:before="80"/>
        <w:ind w:left="280" w:right="280"/>
      </w:pPr>
      <w:r>
        <w:rPr>
          <w:rFonts w:ascii="Courier New" w:cs="Courier New" w:eastAsia="Courier New" w:hAnsi="Courier New"/>
          <w:color w:val="9CDCFE"/>
          <w:sz w:val="18"/>
          <w:szCs w:val="18"/>
        </w:rPr>
        <w:t xml:space="preserve">// Em server/routes.ts — rota POST /api/sql/:id/to-widget: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app.post('/api/sql/:id/to-widget', isAuthenticated,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async (req: any, res) =&gt; {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  const { widgetType, title } = req.body;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  const [query] = await db.select().from(sqlQueries)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    .where(eq(sqlQueries.id, req.params.id));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  if (!query) return res.status(404).json({ error: 'Not found' });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/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  const widget: WidgetConfig = {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    id: crypto.randomUUID(),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    type: widgetType || 'bar_chart',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    title: title || query.name || 'Análise SQL',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    gridPos: { x: 0, y: 99, w: 6, h: 4 },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    // DataSourceRef sql_agent — estrutura correta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    dataSource: {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      type: 'sql_agent',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      sqlQueryId: query.id,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      agentPrompt: query.agentPrompt || undefined,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      xAxisColumn: query.xAxisColumn || undefined,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      yAxisColumns: query.yAxisColumns || [],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    },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  };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  res.json(widget);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}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);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/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// Rota GET /api/sql/:id/data — serve dados de uma query salva: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app.get('/api/sql/:id/data', isAuthenticated, requireTenant,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async (req: any, res) =&gt; {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  const [query] = await db.select().from(sqlQueries)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    .where(eq(sqlQueries.id, req.params.id));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  if (!query) return res.status(404).json({ error: 'Not found' });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  // Verifica que a query pertence ao tenant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  if (query.tenantId !== req.tenantId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      &amp;&amp; req.user.systemRole !== 'superadmin') {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    return res.status(403).json({ error: 'Forbidden' });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  }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  const { executeSandboxQuery } = await import('./sqlSandbox');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  const result = await executeSandboxQuery(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    query.querySql, req.tenantId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  );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  res.json(result.rows);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}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);</w:t>
      </w:r>
    </w:p>
    <w:p>
      <w:pPr>
        <w:spacing w:after="160"/>
      </w:pPr>
      <w:r>
        <w:t xml:space="preserve"/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6F1FB" w:val="clear"/>
            <w:tcMar>
              <w:top w:type="dxa" w:w="160"/>
              <w:left w:type="dxa" w:w="280"/>
              <w:bottom w:type="dxa" w:w="160"/>
              <w:right w:type="dxa" w:w="280"/>
            </w:tcMar>
          </w:tcPr>
          <w:p>
            <w:r>
              <w:rPr>
                <w:rFonts w:ascii="Arial" w:cs="Arial" w:eastAsia="Arial" w:hAnsi="Arial"/>
                <w:b/>
                <w:bCs/>
                <w:color w:val="185FA5"/>
                <w:sz w:val="20"/>
                <w:szCs w:val="20"/>
              </w:rPr>
              <w:t xml:space="preserve">PARTE 4</w:t>
            </w:r>
            <w:r>
              <w:rPr>
                <w:rFonts w:ascii="Arial" w:cs="Arial" w:eastAsia="Arial" w:hAnsi="Arial"/>
                <w:b/>
                <w:bCs/>
                <w:color w:val="185FA5"/>
                <w:sz w:val="26"/>
                <w:szCs w:val="26"/>
              </w:rPr>
              <w:t xml:space="preserve">   Guia para datasets externos — quando chegar a hora</w:t>
            </w:r>
          </w:p>
        </w:tc>
      </w:tr>
    </w:tbl>
    <w:p>
      <w:pPr>
        <w:spacing w:after="120"/>
      </w:pPr>
      <w:r>
        <w:t xml:space="preserve"/>
      </w:r>
    </w:p>
    <w:p>
      <w:pPr>
        <w:spacing w:after="12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Este guia não precisa ser implementado agora. É um mapa para quando o primeiro dataset externo for conectado — para garantir que a evolução seja cirúrgica e sem regressão.</w:t>
      </w:r>
    </w:p>
    <w:p>
      <w:pPr>
        <w:spacing w:after="16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D9E75"/>
          <w:sz w:val="26"/>
          <w:szCs w:val="26"/>
        </w:rPr>
        <w:t xml:space="preserve">4.1 — O que adicionar quando o primeiro conector externo chegar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5B4FD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Onde mudar</w:t>
            </w:r>
          </w:p>
        </w:tc>
        <w:tc>
          <w:tcPr>
            <w:tcW w:type="dxa" w:w="6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5B4FD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 que fazer</w:t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3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5B4FD4"/>
                <w:sz w:val="18"/>
                <w:szCs w:val="18"/>
              </w:rPr>
              <w:t xml:space="preserve">shared/schema.ts</w:t>
            </w:r>
          </w:p>
        </w:tc>
        <w:tc>
          <w:tcPr>
            <w:tcW w:type="dxa" w:w="6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3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Criar tabela data_sources com: id, tenantId, type (postgres|mysql|rest_api|sheets|excel), name, config (jsonb com credenciais criptografadas), isActive</w:t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5B4FD4"/>
                <w:sz w:val="18"/>
                <w:szCs w:val="18"/>
              </w:rPr>
              <w:t xml:space="preserve">server/connectorService.ts</w:t>
            </w:r>
          </w:p>
        </w:tc>
        <w:tc>
          <w:tcPr>
            <w:tcW w:type="dxa" w:w="6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Criar arquivo novo com funções fetchConnectorData(connectorId, query) para cada tipo de conector. Cada função retorna Record&lt;string,any&gt;[] no mesmo formato das rotas internas</w:t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3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5B4FD4"/>
                <w:sz w:val="18"/>
                <w:szCs w:val="18"/>
              </w:rPr>
              <w:t xml:space="preserve">client/src/components/bi/useWidgetData.ts</w:t>
            </w:r>
          </w:p>
        </w:tc>
        <w:tc>
          <w:tcPr>
            <w:tcW w:type="dxa" w:w="6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3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Adicionar o caso connector no switch: chamar a rota /api/connectors/:id/data e retornar os dados normalizados. Zero impacto nos casos internal e sql_agent</w:t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5B4FD4"/>
                <w:sz w:val="18"/>
                <w:szCs w:val="18"/>
              </w:rPr>
              <w:t xml:space="preserve">server/routes.ts</w:t>
            </w:r>
          </w:p>
        </w:tc>
        <w:tc>
          <w:tcPr>
            <w:tcW w:type="dxa" w:w="6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Adicionar rotas /api/connectors/* para CRUD de data_sources e /api/connectors/:id/data para servir dados de um conector</w:t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3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5B4FD4"/>
                <w:sz w:val="18"/>
                <w:szCs w:val="18"/>
              </w:rPr>
              <w:t xml:space="preserve">BiBuilder.tsx (painel lateral)</w:t>
            </w:r>
          </w:p>
        </w:tc>
        <w:tc>
          <w:tcPr>
            <w:tcW w:type="dxa" w:w="6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3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Adicionar aba 'Conectores' no painel lateral listando os data_sources configurados. Cada conector é arrastável para o grid exatamente como as métricas internas</w:t>
            </w:r>
          </w:p>
        </w:tc>
      </w:tr>
    </w:tbl>
    <w:p>
      <w:pPr>
        <w:spacing w:after="120"/>
      </w:pPr>
      <w:r>
        <w:t xml:space="preserve"/>
      </w:r>
    </w:p>
    <w:p>
      <w:pPr>
        <w:spacing w:after="100"/>
        <w:ind w:left="360"/>
      </w:pPr>
      <w:r>
        <w:rPr>
          <w:rFonts w:ascii="Arial" w:cs="Arial" w:eastAsia="Arial" w:hAnsi="Arial"/>
          <w:i/>
          <w:iCs/>
          <w:color w:val="5F5E5A"/>
          <w:sz w:val="20"/>
          <w:szCs w:val="20"/>
        </w:rPr>
        <w:t xml:space="preserve">ℹ  O WidgetRenderer, o BiGrid e o DnD não precisam de nenhuma mudança. A union type DataSourceRef garante isso.</w:t>
      </w:r>
    </w:p>
    <w:p>
      <w:pPr>
        <w:spacing w:after="16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D9E75"/>
          <w:sz w:val="26"/>
          <w:szCs w:val="26"/>
        </w:rPr>
        <w:t xml:space="preserve">4.2 — Por que a union type discriminada facilita a evolução</w:t>
      </w:r>
    </w:p>
    <w:p>
      <w:pPr>
        <w:spacing w:after="12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Quando o caso 'connector' for implementado, o TypeScript vai apontar todos os locais que precisam de tratamento — basta procurar os switches em dataSource.type no código. Nenhum lugar do código que trata 'internal' ou 'sql_agent' precisa ser tocado.</w:t>
      </w:r>
    </w:p>
    <w:p>
      <w:pPr>
        <w:spacing w:after="80"/>
      </w:pPr>
      <w:r>
        <w:t xml:space="preserve"/>
      </w:r>
    </w:p>
    <w:p>
      <w:pPr>
        <w:shd w:fill="1A1A2E" w:val="clear"/>
        <w:spacing w:after="80" w:before="80"/>
        <w:ind w:left="280" w:right="280"/>
      </w:pPr>
      <w:r>
        <w:rPr>
          <w:rFonts w:ascii="Courier New" w:cs="Courier New" w:eastAsia="Courier New" w:hAnsi="Courier New"/>
          <w:color w:val="9CDCFE"/>
          <w:sz w:val="18"/>
          <w:szCs w:val="18"/>
        </w:rPr>
        <w:t xml:space="preserve">// Exemplo de como o switch ficará quando o conector existir: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switch (ds.type) {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case 'internal':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  // já funciona — zero mudança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  return fetchInternalMetric(ds.metricKey);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/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case 'sql_agent':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  // já funciona — zero mudança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  return fetchSqlQueryData(ds.sqlQueryId);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/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case 'connector':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  // NOVO — adicionar quando o primeiro conector chegar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  return fetchConnectorData(ds.connectorId, ds.query);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}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// TypeScript garante exhaustividade — se faltar um caso, erro de compilação</w:t>
      </w:r>
    </w:p>
    <w:p>
      <w:pPr>
        <w:spacing w:after="160"/>
      </w:pPr>
      <w:r>
        <w:t xml:space="preserve"/>
      </w:r>
    </w:p>
    <w:p>
      <w:r>
        <w:br w:type="pag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5B4FD4"/>
          <w:sz w:val="32"/>
          <w:szCs w:val="32"/>
        </w:rPr>
        <w:t xml:space="preserve">Ordem de execução</w:t>
      </w:r>
    </w:p>
    <w:p>
      <w:pPr>
        <w:spacing w:after="12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Executar nesta sequência. Os passos marcados com [NOVO] são diferentes do planejamento anterior.</w:t>
      </w:r>
    </w:p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40"/>
        <w:gridCol w:w="8720"/>
      </w:tblGrid>
      <w:tr>
        <w:tc>
          <w:tcPr>
            <w:tcW w:type="dxa" w:w="6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5B4FD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87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5B4FD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Tarefa</w:t>
            </w:r>
          </w:p>
        </w:tc>
      </w:tr>
      <w:tr>
        <w:tc>
          <w:tcPr>
            <w:tcW w:type="dxa" w:w="6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3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5B4FD4"/>
                <w:sz w:val="18"/>
                <w:szCs w:val="18"/>
              </w:rPr>
              <w:t xml:space="preserve">1</w:t>
            </w:r>
          </w:p>
        </w:tc>
        <w:tc>
          <w:tcPr>
            <w:tcW w:type="dxa" w:w="87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3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[NOVO] 1.2: adicionar tipo DataSourceRef em shared/schema.ts (antes do WidgetConfig)</w:t>
            </w:r>
          </w:p>
        </w:tc>
      </w:tr>
      <w:tr>
        <w:tc>
          <w:tcPr>
            <w:tcW w:type="dxa" w:w="6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5B4FD4"/>
                <w:sz w:val="18"/>
                <w:szCs w:val="18"/>
              </w:rPr>
              <w:t xml:space="preserve">2</w:t>
            </w:r>
          </w:p>
        </w:tc>
        <w:tc>
          <w:tcPr>
            <w:tcW w:type="dxa" w:w="87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[NOVO] 1.3: ESTENDER (não substituir) WidgetConfig — adicionar campo dataSource?: DataSourceRef</w:t>
            </w:r>
          </w:p>
        </w:tc>
      </w:tr>
      <w:tr>
        <w:tc>
          <w:tcPr>
            <w:tcW w:type="dxa" w:w="6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3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5B4FD4"/>
                <w:sz w:val="18"/>
                <w:szCs w:val="18"/>
              </w:rPr>
              <w:t xml:space="preserve">3</w:t>
            </w:r>
          </w:p>
        </w:tc>
        <w:tc>
          <w:tcPr>
            <w:tcW w:type="dxa" w:w="87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3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1.4: adicionar tabela sql_queries em shared/schema.ts</w:t>
            </w:r>
          </w:p>
        </w:tc>
      </w:tr>
      <w:tr>
        <w:tc>
          <w:tcPr>
            <w:tcW w:type="dxa" w:w="6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5B4FD4"/>
                <w:sz w:val="18"/>
                <w:szCs w:val="18"/>
              </w:rPr>
              <w:t xml:space="preserve">4</w:t>
            </w:r>
          </w:p>
        </w:tc>
        <w:tc>
          <w:tcPr>
            <w:tcW w:type="dxa" w:w="87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npx drizzle-kit push (apenas para sql_queries — WidgetConfig é só TypeScript, sem migration)</w:t>
            </w:r>
          </w:p>
        </w:tc>
      </w:tr>
      <w:tr>
        <w:tc>
          <w:tcPr>
            <w:tcW w:type="dxa" w:w="6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3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5B4FD4"/>
                <w:sz w:val="18"/>
                <w:szCs w:val="18"/>
              </w:rPr>
              <w:t xml:space="preserve">5</w:t>
            </w:r>
          </w:p>
        </w:tc>
        <w:tc>
          <w:tcPr>
            <w:tcW w:type="dxa" w:w="87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3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Criar server/sqlSandbox.ts com executeSandboxQuery e getSchemaForAgent</w:t>
            </w:r>
          </w:p>
        </w:tc>
      </w:tr>
      <w:tr>
        <w:tc>
          <w:tcPr>
            <w:tcW w:type="dxa" w:w="6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5B4FD4"/>
                <w:sz w:val="18"/>
                <w:szCs w:val="18"/>
              </w:rPr>
              <w:t xml:space="preserve">6</w:t>
            </w:r>
          </w:p>
        </w:tc>
        <w:tc>
          <w:tcPr>
            <w:tcW w:type="dxa" w:w="87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Adicionar runSqlAgent em server/agentService.ts</w:t>
            </w:r>
          </w:p>
        </w:tc>
      </w:tr>
      <w:tr>
        <w:tc>
          <w:tcPr>
            <w:tcW w:type="dxa" w:w="6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3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5B4FD4"/>
                <w:sz w:val="18"/>
                <w:szCs w:val="18"/>
              </w:rPr>
              <w:t xml:space="preserve">7</w:t>
            </w:r>
          </w:p>
        </w:tc>
        <w:tc>
          <w:tcPr>
            <w:tcW w:type="dxa" w:w="87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3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Adicionar rotas /api/bi/*, /api/sql/* e /api/bi/dashboards em server/routes.ts</w:t>
            </w:r>
          </w:p>
        </w:tc>
      </w:tr>
      <w:tr>
        <w:tc>
          <w:tcPr>
            <w:tcW w:type="dxa" w:w="6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5B4FD4"/>
                <w:sz w:val="18"/>
                <w:szCs w:val="18"/>
              </w:rPr>
              <w:t xml:space="preserve">8</w:t>
            </w:r>
          </w:p>
        </w:tc>
        <w:tc>
          <w:tcPr>
            <w:tcW w:type="dxa" w:w="87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Adicionar rota GET /api/sql/:id/data em server/routes.ts</w:t>
            </w:r>
          </w:p>
        </w:tc>
      </w:tr>
      <w:tr>
        <w:tc>
          <w:tcPr>
            <w:tcW w:type="dxa" w:w="6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3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5B4FD4"/>
                <w:sz w:val="18"/>
                <w:szCs w:val="18"/>
              </w:rPr>
              <w:t xml:space="preserve">9</w:t>
            </w:r>
          </w:p>
        </w:tc>
        <w:tc>
          <w:tcPr>
            <w:tcW w:type="dxa" w:w="87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3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[NOVO] 2.1: criar hook useWidgetData com resolveDataSource (retrocompatibilidade)</w:t>
            </w:r>
          </w:p>
        </w:tc>
      </w:tr>
      <w:tr>
        <w:tc>
          <w:tcPr>
            <w:tcW w:type="dxa" w:w="6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5B4FD4"/>
                <w:sz w:val="18"/>
                <w:szCs w:val="18"/>
              </w:rPr>
              <w:t xml:space="preserve">10</w:t>
            </w:r>
          </w:p>
        </w:tc>
        <w:tc>
          <w:tcPr>
            <w:tcW w:type="dxa" w:w="87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[NOVO] 2.2: refatorar WidgetRenderer para usar useWidgetData</w:t>
            </w:r>
          </w:p>
        </w:tc>
      </w:tr>
      <w:tr>
        <w:tc>
          <w:tcPr>
            <w:tcW w:type="dxa" w:w="6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3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5B4FD4"/>
                <w:sz w:val="18"/>
                <w:szCs w:val="18"/>
              </w:rPr>
              <w:t xml:space="preserve">11</w:t>
            </w:r>
          </w:p>
        </w:tc>
        <w:tc>
          <w:tcPr>
            <w:tcW w:type="dxa" w:w="87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3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Criar dnd-types.ts, CatalogItem.tsx com useDraggable</w:t>
            </w:r>
          </w:p>
        </w:tc>
      </w:tr>
      <w:tr>
        <w:tc>
          <w:tcPr>
            <w:tcW w:type="dxa" w:w="6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5B4FD4"/>
                <w:sz w:val="18"/>
                <w:szCs w:val="18"/>
              </w:rPr>
              <w:t xml:space="preserve">12</w:t>
            </w:r>
          </w:p>
        </w:tc>
        <w:tc>
          <w:tcPr>
            <w:tcW w:type="dxa" w:w="87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Criar SortableWidget.tsx com useSortable + handles de resize</w:t>
            </w:r>
          </w:p>
        </w:tc>
      </w:tr>
      <w:tr>
        <w:tc>
          <w:tcPr>
            <w:tcW w:type="dxa" w:w="6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3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5B4FD4"/>
                <w:sz w:val="18"/>
                <w:szCs w:val="18"/>
              </w:rPr>
              <w:t xml:space="preserve">13</w:t>
            </w:r>
          </w:p>
        </w:tc>
        <w:tc>
          <w:tcPr>
            <w:tcW w:type="dxa" w:w="87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3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Adicionar useDroppable em widgets para Função 3 (combinar métricas)</w:t>
            </w:r>
          </w:p>
        </w:tc>
      </w:tr>
      <w:tr>
        <w:tc>
          <w:tcPr>
            <w:tcW w:type="dxa" w:w="6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5B4FD4"/>
                <w:sz w:val="18"/>
                <w:szCs w:val="18"/>
              </w:rPr>
              <w:t xml:space="preserve">14</w:t>
            </w:r>
          </w:p>
        </w:tc>
        <w:tc>
          <w:tcPr>
            <w:tcW w:type="dxa" w:w="87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[NOVO] 3.1: atualizar handleDragEnd para usar DataSourceRef correto</w:t>
            </w:r>
          </w:p>
        </w:tc>
      </w:tr>
      <w:tr>
        <w:tc>
          <w:tcPr>
            <w:tcW w:type="dxa" w:w="6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3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5B4FD4"/>
                <w:sz w:val="18"/>
                <w:szCs w:val="18"/>
              </w:rPr>
              <w:t xml:space="preserve">15</w:t>
            </w:r>
          </w:p>
        </w:tc>
        <w:tc>
          <w:tcPr>
            <w:tcW w:type="dxa" w:w="87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3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Criar SqlAgentPanel.tsx</w:t>
            </w:r>
          </w:p>
        </w:tc>
      </w:tr>
      <w:tr>
        <w:tc>
          <w:tcPr>
            <w:tcW w:type="dxa" w:w="6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5B4FD4"/>
                <w:sz w:val="18"/>
                <w:szCs w:val="18"/>
              </w:rPr>
              <w:t xml:space="preserve">16</w:t>
            </w:r>
          </w:p>
        </w:tc>
        <w:tc>
          <w:tcPr>
            <w:tcW w:type="dxa" w:w="87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Montar BiBuilder.tsx completo com 3 abas + auto-save debounced</w:t>
            </w:r>
          </w:p>
        </w:tc>
      </w:tr>
      <w:tr>
        <w:tc>
          <w:tcPr>
            <w:tcW w:type="dxa" w:w="6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3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5B4FD4"/>
                <w:sz w:val="18"/>
                <w:szCs w:val="18"/>
              </w:rPr>
              <w:t xml:space="preserve">17</w:t>
            </w:r>
          </w:p>
        </w:tc>
        <w:tc>
          <w:tcPr>
            <w:tcW w:type="dxa" w:w="87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3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Validação E2E — ver checklist abaixo</w:t>
            </w:r>
          </w:p>
        </w:tc>
      </w:tr>
    </w:tbl>
    <w:p>
      <w:pPr>
        <w:spacing w:after="160"/>
      </w:pPr>
      <w:r>
        <w:t xml:space="preserv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5B4FD4"/>
          <w:sz w:val="32"/>
          <w:szCs w:val="32"/>
        </w:rPr>
        <w:t xml:space="preserve">Checklist de validação</w:t>
      </w:r>
    </w:p>
    <w:p>
      <w:pPr>
        <w:spacing w:after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D9E75"/>
          <w:sz w:val="26"/>
          <w:szCs w:val="26"/>
        </w:rPr>
        <w:t xml:space="preserve">Schema e retrocompatibilidade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Dashboards existentes (com metricKey simples) continuam renderizando sem erro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Widget novo criado via DnD tem dataSource preenchido (não metricKey)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Widget de SQL agêntico tem dataSource.type === 'sql_agent'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resolveDataSource retorna DataSourceRef válido para widgets legados</w:t>
      </w:r>
    </w:p>
    <w:p>
      <w:pPr>
        <w:spacing w:after="10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D9E75"/>
          <w:sz w:val="26"/>
          <w:szCs w:val="26"/>
        </w:rPr>
        <w:t xml:space="preserve">DnD — 3 funções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Função 1: arrastar do catálogo cria widget com dataSource.type='internal'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Função 2: reordenar e redimensionar funcionam no modo edição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Função 3: combinar métricas atualiza dataSource.metricKeys (não metricKey)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Máximo de 4 séries por widget respeitado na Função 3</w:t>
      </w:r>
    </w:p>
    <w:p>
      <w:pPr>
        <w:spacing w:after="10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D9E75"/>
          <w:sz w:val="26"/>
          <w:szCs w:val="26"/>
        </w:rPr>
        <w:t xml:space="preserve">SQL Agêntico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POST /api/sql/agent retorna querySql, result, suggestedWidgetType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Badge 'Cérebro atualizado' aparece após execução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Botão 'Adicionar ao dashboard' cria widget com dataSource.type='sql_agent'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GET /api/sql/:id/data re-executa a query e retorna dados atualizados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Widget de SQL renderiza com eixos corretos (xAxisColumn, yAxisColumns)</w:t>
      </w:r>
    </w:p>
    <w:p>
      <w:pPr>
        <w:spacing w:after="10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D9E75"/>
          <w:sz w:val="26"/>
          <w:szCs w:val="26"/>
        </w:rPr>
        <w:t xml:space="preserve">WidgetRenderer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Fonte 'internal' — gráfico renderiza com dados das rotas /api/bi/*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Fonte 'sql_agent' — gráfico renderiza com dados da query salva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Múltiplas séries (metricKeys.length &gt; 1) exibem linha/barra por série com cores distintas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Badge de fonte (📊 Interno / ⚡ SQL) visível no modo edição</w:t>
      </w:r>
    </w:p>
    <w:p>
      <w:pPr>
        <w:spacing w:after="160"/>
      </w:pPr>
      <w:r>
        <w:t xml:space="preserve"/>
      </w:r>
    </w:p>
    <w:p>
      <w:pPr>
        <w:pBdr>
          <w:bottom w:val="single" w:color="EEEEEE" w:sz="3"/>
        </w:pBdr>
        <w:spacing w:after="100" w:before="100"/>
      </w:pPr>
      <w:r>
        <w:t xml:space="preserve"/>
      </w:r>
    </w:p>
    <w:p>
      <w:pPr>
        <w:spacing w:after="0" w:before="120"/>
        <w:jc w:val="center"/>
      </w:pPr>
      <w:r>
        <w:rPr>
          <w:rFonts w:ascii="Arial" w:cs="Arial" w:eastAsia="Arial" w:hAnsi="Arial"/>
          <w:color w:val="5F5E5A"/>
          <w:sz w:val="16"/>
          <w:szCs w:val="16"/>
        </w:rPr>
        <w:t xml:space="preserve">Arcádia Consult — BI Builder v3.0 com DataSourceRef — Confidencial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20"/>
      <w:outlineLvl w:val="0"/>
    </w:pPr>
    <w:rPr>
      <w:rFonts w:ascii="Arial" w:cs="Arial" w:eastAsia="Arial" w:hAnsi="Arial"/>
      <w:b/>
      <w:bCs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80" w:before="180"/>
      <w:outlineLvl w:val="2"/>
    </w:pPr>
    <w:rPr>
      <w:rFonts w:ascii="Arial" w:cs="Arial" w:eastAsia="Arial" w:hAnsi="Arial"/>
      <w:b/>
      <w:bCs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2026-04-18T08:13:45.453Z</dcterms:created>
  <dcterms:modified xsi:type="dcterms:W3CDTF">2026-04-18T08:13:45.455Z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