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200"/>
        <w:jc w:val="center"/>
      </w:pPr>
      <w:r>
        <w:rPr>
          <w:rFonts w:ascii="Arial" w:cs="Arial" w:eastAsia="Arial" w:hAnsi="Arial"/>
          <w:b/>
          <w:bCs/>
          <w:color w:val="5B4FD4"/>
          <w:sz w:val="48"/>
          <w:szCs w:val="48"/>
        </w:rPr>
        <w:t xml:space="preserve">ARCÁDIA CONSULT — CONTROL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D9E75"/>
          <w:sz w:val="36"/>
          <w:szCs w:val="36"/>
        </w:rPr>
        <w:t xml:space="preserve">Sprint C10 — Análise de Carteira</w:t>
      </w:r>
    </w:p>
    <w:p>
      <w:pPr>
        <w:spacing w:after="60"/>
        <w:jc w:val="center"/>
      </w:pPr>
      <w:r>
        <w:rPr>
          <w:rFonts w:ascii="Arial" w:cs="Arial" w:eastAsia="Arial" w:hAnsi="Arial"/>
          <w:color w:val="5F5E5A"/>
          <w:sz w:val="21"/>
          <w:szCs w:val="21"/>
        </w:rPr>
        <w:t xml:space="preserve">Pivot Cliente × Mês · Pivot Fornecedor · Carteiras Corporativas · Exercício Fiscal</w:t>
      </w:r>
    </w:p>
    <w:p>
      <w:pPr>
        <w:pBdr>
          <w:bottom w:val="single" w:color="EEEEEE" w:sz="3"/>
        </w:pBdr>
        <w:spacing w:after="100" w:before="100"/>
      </w:pPr>
      <w:r>
        <w:t xml:space="preserve"/>
      </w:r>
    </w:p>
    <w:p>
      <w:pPr>
        <w:spacing w:after="0"/>
        <w:jc w:val="center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Maio 2026 · Instrução para Replit Agent · Gaps G12 G13 G14 · Sem schema novo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9CDCFE"/>
                <w:sz w:val="20"/>
                <w:szCs w:val="20"/>
              </w:rPr>
              <w:t xml:space="preserve">BASE PRONTA — C6 C7 C8 C9 todos entregues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Tabelas disponíveis: lancamentosFinanceiros, pessoas (clientes/fornecedores),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contasBancarias, planosContas, centrosCusto.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color w:val="D85A30"/>
                <w:sz w:val="17"/>
                <w:szCs w:val="17"/>
              </w:rPr>
              <w:t xml:space="preserve">NÃO rodar drizzle-kit push (schema existente é suficiente para G12 e G14).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G12 — Pivot Cliente × Ano/Mês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planilha RelClientes da Impacto mostra faturamento por cliente agrupado por mês — essencial para análise de carteira. O consultor vê quais clientes crescem, quais somem, concentração de receita.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Service — getPivotClientes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server/control/carteiraPivotService.ts — CRIAR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export async function getPivotClientes(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tenantId: string,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clienteId: string,  // empresa sendo analisada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ano: number,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tipo: 'CR' | 'CP' = 'CR'  // receitas por padrão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)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Buscar todos os lançamentos CR do ano agrupados por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pessoa (cliente da empresa) e mês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const rows = await db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.select({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pessoaId:  lancamentosFinanceiros.pessoaId,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pessoaNome: pessoas.nome,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mes: sql&lt;number&gt;`EXTRACT(MONTH FROM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COALESCE(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${lancamentosFinanceiros.dataPagamento},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${lancamentosFinanceiros.vencimento}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))`,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total: sql&lt;number&gt;`SUM(ABS(${lancamentosFinanceiros.valor}))`,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})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.from(lancamentosFinanceiros)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.leftJoin(pessoas,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eq(lancamentosFinanceiros.pessoaId, pessoas.id))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.where(and(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eq(lancamentosFinanceiros.tenantId, tenantId),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eq(lancamentosFinanceiros.clienteId, clienteId),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eq(lancamentosFinanceiros.tipo, tipo),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isNotNull(lancamentosFinanceiros.dataPagamento),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sql`EXTRACT(YEAR FROM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${lancamentosFinanceiros.dataPagamento}) = ${ano}`,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.groupBy(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lancamentosFinanceiros.pessoaId,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pessoas.nome,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sql`EXTRACT(MONTH FROM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COALESCE(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${lancamentosFinanceiros.dataPagamento},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  ${lancamentosFinanceiros.vencimento}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    ))`,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  .orderBy(pessoas.nome);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// Pivotar: { pessoaNome, jan, fev, ..., dez, total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  return pivotarPorMes(rows);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}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Mesma função para fornecedores: tipo='CP'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Rota: GET /api/control/clientes/:id/pivot-clientes?ano=2026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Rota: GET /api/control/clientes/:id/pivot-fornecedores?ano=2026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Página — PivotCarteira.tsx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Comportamento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Tabela pivot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Linhas = pessoas (clientes ou fornecedores). Colunas = Jan a Dez + Total. Ordenável por total decrescente.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Toggle CP/CR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Botão para alternar entre 'Receitas por Cliente' e 'Compras por Fornecedor'.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Concentração de receita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Linha de % acumulado. Destaca quando top-3 clientes &gt; 60% da receita (risco de concentração).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Busca por nome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Filtro de texto para encontrar cliente/fornecedor específico em tabelas grandes.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Drill-down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Clicar no nome da pessoa abre modal com os lançamentos individuais do período.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Export XLSX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Botão exporta a tabela pivot no mesmo formato do RelClientes da planilha Impacto.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Filtro de exercício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Seletor de ano (2023, 2024, 2025, 2026...) para comparar exercícios diferentes — resolve G14 também.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G13 — Carteiras corporativas (Caju e cartões nominais)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planilha Impacto tem ~15 contas 'Caju-NomeColaborador' — cartões corporativos nominais com saldo individual. O colaborador gasta, a empresa precisa conciliar a prestação de contas. O Control modela isso como tipo='carteira' em contas bancárias.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Schema — campo tipo em contasBancarias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shared/schema.ts — MODIFICAR contasBancarias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Adicionar campo tipo (se não existir):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tipo: varchar('tipo', { length: 20 }).default('corrente'),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'corrente' | 'poupanca' | 'caixa' | 'carteira' | 'outro'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>responsavelId: varchar('responsavel_id'),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FK para pessoas.id — quem é o titular da carteira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Null para contas corporativas sem responsável individual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npx drizzle-kit push após esta alteração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EXEMPLOS de carteiras na Impacto: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{ nome: 'Caju - Amanda',    tipo: 'carteira', responsavel: 'Amanda Silva'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{ nome: 'Caju - Carlos',    tipo: 'carteira', responsavel: 'Carlos Souza'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{ nome: 'Itaú Corporativo', tipo: 'corrente', responsavel: null }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Tela de Prestação de Contas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Como funciona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Lista de carteiras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Filtro tipo='carteira' nas contas bancárias. Mostra nome, responsável, saldo atual.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Lançamentos da carteira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Extrato da conta carteira com todos os gastos do período. Igual ao extrato bancário normal.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Status de prestação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Lançamentos sem comprovante ficam como 'pendente'. Colaborador pode anexar recibo.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Aprovação pelo gestor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Gestor marca lançamento como 'aprovado' ou 'rejeitado'. Rejeitado gera estorno.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Saldo do colaborador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3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Saldo da carteira = quanto o colaborador ainda tem disponível para gastar.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4FD4"/>
                <w:sz w:val="18"/>
                <w:szCs w:val="18"/>
              </w:rPr>
              <w:t xml:space="preserve">Recarga da carteira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Transferência da conta principal para a carteira via transferirEntreContas() (C7).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G14 — Filtro explícito por exercício fiscal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planilha Impacto cobre 2023-2030 com filtros de ano. O Control precisa de um seletor de exercício em todas as telas analíticas — DRE, FC, Orçamento, Pivots — para comparar anos diferentes.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117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IMPLEMENTAÇÃO — sem schema novo: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1. Hook useExercicio() no frontend: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   Estado global (Context ou Zustand) com ano selecionado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   Default: ano atual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   Persiste em localStorage por clienteId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2. Seletor visual: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   Dropdown no header do módulo Control (ao lado do cliente ativo)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   Mostra anos disponíveis: anos distintos em lancamentosFinanceiros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   GET /api/control/clientes/:id/exercicios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   → SELECT DISTINCT EXTRACT(YEAR FROM vencimento) ORDER BY DESC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3. Todas as páginas analíticas consomem useExercicio():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   DRE, FC Mensal, FC Diário, Orçamento, Pivot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   Quando o ano muda → todas as queries atualizam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4. Comparativo de exercícios (bônus):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   DRE com coluna Ano Atual vs Ano Anterior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   Variação % entre os dois exercícios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   Permite ver crescimento/queda anual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CE9178"/>
                <w:sz w:val="17"/>
                <w:szCs w:val="17"/>
              </w:rPr>
              <w:t xml:space="preserve"/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Rota nova: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GET /api/control/clientes/:id/exercicios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color w:val="6A9956"/>
                <w:sz w:val="17"/>
                <w:szCs w:val="17"/>
              </w:rPr>
              <w:t xml:space="preserve">// Retorna: [2023, 2024, 2025, 2026]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5B4FD4"/>
          <w:sz w:val="32"/>
          <w:szCs w:val="32"/>
        </w:rPr>
        <w:t xml:space="preserve">Arquivos — Sprint C10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server/control/carteiraPivotService.ts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— getPivotClientes(), getPivotFornecedores()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server/control/carteiraService.ts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— getCarteiras(), getPrestacaoContas(), aprovarLancamento()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client/src/pages/control/PivotCarteira.tsx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— tabela pivot com toggle CR/CP, export XLSX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client/src/pages/control/Carteiras.tsx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— lista de carteiras e tela de prestação de contas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server/control/routes.ts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MODIFICAR — GET pivot-clientes, pivot-fornecedores, exercicios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shared/schema.ts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MODIFICAR — tipo e responsavelId em contasBancarias + drizzle-kit push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client/src/hooks/useExercicio.ts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CRIAR — estado global do exercício fiscal selecionado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D9E75"/>
                <w:sz w:val="18"/>
                <w:szCs w:val="18"/>
              </w:rPr>
              <w:t xml:space="preserve">client/src/App.tsx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MODIFICAR — rotas /pivot-carteira e /carteiras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D9E75"/>
          <w:sz w:val="26"/>
          <w:szCs w:val="26"/>
        </w:rPr>
        <w:t xml:space="preserve">Checklist C10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Pivot 2026 com 434 clientes (base Impacto) — tabela carrega em &lt; 2s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Toggle para Fornecedores → mesma tabela mostra compras por fornecedor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Top-3 clientes &gt; 60% da receita → badge vermelho 'Concentração de receita'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Clicar em cliente → modal lista lançamentos individuais do ano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Export XLSX pivot → arquivo com mesmo layout do RelClientes da planilha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Seletor de exercício muda de 2026 para 2025 → todas as telas atualizam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DRE 2025 vs 2026 lado a lado com variação %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Criar carteira 'Caju - Amanda' com tipo=carteira → aparece separada das contas correntes</w:t>
      </w:r>
    </w:p>
    <w:p>
      <w:pPr>
        <w:spacing w:after="80"/>
        <w:ind w:left="240"/>
      </w:pPr>
      <w:r>
        <w:rPr>
          <w:rFonts w:ascii="Arial" w:cs="Arial" w:eastAsia="Arial" w:hAnsi="Arial"/>
          <w:color w:val="1D9E75"/>
          <w:sz w:val="19"/>
          <w:szCs w:val="19"/>
        </w:rPr>
        <w:t xml:space="preserve">✅  Transferir R$500 para carteira Amanda → saldo atualizado, prestação de contas pendente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B4FD4" w:val="clear"/>
            <w:tcMar>
              <w:top w:type="dxa" w:w="100"/>
              <w:left w:type="dxa" w:w="240"/>
              <w:bottom w:type="dxa" w:w="1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Regras para o Replit Agent — C10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3FD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drizzle-kit push SOMENTE para adicionar tipo e responsavelId em contasBancarias.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getPivotClientes: usar pessoaId nullable — lançamentos sem pessoa agrupam em 'Sem identificação'.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useExercicio: Context API é suficiente, não precisa Zustand. Persiste em localStorage.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Concentração de receita: calcular após pivotar — top3/total &gt; 0.6.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Export XLSX pivot: usar SheetJS já instalado no projeto.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EEEEEE" w:sz="3"/>
        </w:pBdr>
        <w:spacing w:after="100" w:before="10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5F5E5A"/>
          <w:sz w:val="16"/>
          <w:szCs w:val="16"/>
        </w:rPr>
        <w:t xml:space="preserve">Arcádia Consult — Control Sprint C10 — Maio 2026 — Instrução para Replit Agent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2026-05-06T02:50:55.932Z</dcterms:created>
  <dcterms:modified xsi:type="dcterms:W3CDTF">2026-05-06T02:50:55.946Z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