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jc w:val="center"/>
      </w:pPr>
      <w:r>
        <w:rPr>
          <w:rFonts w:ascii="Arial" w:cs="Arial" w:eastAsia="Arial" w:hAnsi="Arial"/>
          <w:b/>
          <w:bCs/>
          <w:color w:val="1B4F72"/>
          <w:sz w:val="52"/>
          <w:szCs w:val="52"/>
        </w:rPr>
        <w:t xml:space="preserve">PRODUCTION-READY WEBSITE</w:t>
      </w:r>
    </w:p>
    <w:p>
      <w:pPr>
        <w:spacing w:after="100"/>
        <w:jc w:val="center"/>
      </w:pPr>
      <w:r>
        <w:rPr>
          <w:rFonts w:ascii="Arial" w:cs="Arial" w:eastAsia="Arial" w:hAnsi="Arial"/>
          <w:b/>
          <w:bCs/>
          <w:color w:val="2E86C1"/>
          <w:sz w:val="44"/>
          <w:szCs w:val="44"/>
        </w:rPr>
        <w:t xml:space="preserve">DELIVERY SPECIFICATION</w:t>
      </w:r>
    </w:p>
    <w:p>
      <w:pPr>
        <w:spacing w:after="6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5D6D7E"/>
          <w:sz w:val="24"/>
          <w:szCs w:val="24"/>
        </w:rPr>
        <w:t xml:space="preserve">5-Day Delivery Model • Lithuanian &amp; EU Compliance • GDPR-Ready</w:t>
      </w:r>
    </w:p>
    <w:p>
      <w:pPr>
        <w:spacing w:after="0" w:before="600"/>
      </w:pPr>
    </w:p>
    <w:p>
      <w:pPr>
        <w:spacing w:after="80"/>
        <w:jc w:val="center"/>
      </w:pPr>
      <w:r>
        <w:rPr>
          <w:rFonts w:ascii="Arial" w:cs="Arial" w:eastAsia="Arial" w:hAnsi="Arial"/>
          <w:color w:val="5D6D7E"/>
          <w:sz w:val="22"/>
          <w:szCs w:val="22"/>
        </w:rPr>
        <w:t xml:space="preserve">Prepared: February 2026</w:t>
      </w:r>
    </w:p>
    <w:p>
      <w:pPr>
        <w:spacing w:after="80"/>
        <w:jc w:val="center"/>
      </w:pPr>
      <w:r>
        <w:rPr>
          <w:rFonts w:ascii="Arial" w:cs="Arial" w:eastAsia="Arial" w:hAnsi="Arial"/>
          <w:color w:val="5D6D7E"/>
          <w:sz w:val="22"/>
          <w:szCs w:val="22"/>
        </w:rPr>
        <w:t xml:space="preserve">Version 1.0 • Internal Reference Document</w:t>
      </w:r>
    </w:p>
    <w:p>
      <w:r>
        <w:br w:type="page"/>
      </w:r>
    </w:p>
    <w:p>
      <w:pPr>
        <w:pStyle w:val="Heading1"/>
        <w:spacing w:after="150" w:before="300"/>
      </w:pPr>
      <w:r>
        <w:t xml:space="preserve">TABLE OF CONTENTS</w:t>
      </w:r>
    </w:p>
    <w:p>
      <w:pPr>
        <w:spacing w:after="0" w:before="100"/>
      </w:pPr>
    </w:p>
    <w:p>
      <w:pPr>
        <w:spacing w:after="80"/>
      </w:pPr>
      <w:r>
        <w:rPr>
          <w:rFonts w:ascii="Arial" w:cs="Arial" w:eastAsia="Arial" w:hAnsi="Arial"/>
          <w:color w:val="2E86C1"/>
          <w:sz w:val="22"/>
          <w:szCs w:val="22"/>
        </w:rPr>
        <w:t xml:space="preserve">1. Essential Pages &amp; Content</w:t>
      </w:r>
    </w:p>
    <w:p>
      <w:pPr>
        <w:spacing w:after="80"/>
      </w:pPr>
      <w:r>
        <w:rPr>
          <w:rFonts w:ascii="Arial" w:cs="Arial" w:eastAsia="Arial" w:hAnsi="Arial"/>
          <w:color w:val="2E86C1"/>
          <w:sz w:val="22"/>
          <w:szCs w:val="22"/>
        </w:rPr>
        <w:t xml:space="preserve">2. Legal &amp; Privacy Compliance (Lithuania / EU)</w:t>
      </w:r>
    </w:p>
    <w:p>
      <w:pPr>
        <w:spacing w:after="80"/>
      </w:pPr>
      <w:r>
        <w:rPr>
          <w:rFonts w:ascii="Arial" w:cs="Arial" w:eastAsia="Arial" w:hAnsi="Arial"/>
          <w:color w:val="2E86C1"/>
          <w:sz w:val="22"/>
          <w:szCs w:val="22"/>
        </w:rPr>
        <w:t xml:space="preserve">3. Technical Components</w:t>
      </w:r>
    </w:p>
    <w:p>
      <w:pPr>
        <w:spacing w:after="80"/>
      </w:pPr>
      <w:r>
        <w:rPr>
          <w:rFonts w:ascii="Arial" w:cs="Arial" w:eastAsia="Arial" w:hAnsi="Arial"/>
          <w:color w:val="2E86C1"/>
          <w:sz w:val="22"/>
          <w:szCs w:val="22"/>
        </w:rPr>
        <w:t xml:space="preserve">4. Security &amp; Maintenance</w:t>
      </w:r>
    </w:p>
    <w:p>
      <w:pPr>
        <w:spacing w:after="80"/>
      </w:pPr>
      <w:r>
        <w:rPr>
          <w:rFonts w:ascii="Arial" w:cs="Arial" w:eastAsia="Arial" w:hAnsi="Arial"/>
          <w:color w:val="2E86C1"/>
          <w:sz w:val="22"/>
          <w:szCs w:val="22"/>
        </w:rPr>
        <w:t xml:space="preserve">5. Performance &amp; Monitoring</w:t>
      </w:r>
    </w:p>
    <w:p>
      <w:pPr>
        <w:spacing w:after="80"/>
      </w:pPr>
      <w:r>
        <w:rPr>
          <w:rFonts w:ascii="Arial" w:cs="Arial" w:eastAsia="Arial" w:hAnsi="Arial"/>
          <w:color w:val="2E86C1"/>
          <w:sz w:val="22"/>
          <w:szCs w:val="22"/>
        </w:rPr>
        <w:t xml:space="preserve">6. Client Deliverables &amp; Handover</w:t>
      </w:r>
    </w:p>
    <w:p>
      <w:pPr>
        <w:spacing w:after="80"/>
      </w:pPr>
      <w:r>
        <w:rPr>
          <w:rFonts w:ascii="Arial" w:cs="Arial" w:eastAsia="Arial" w:hAnsi="Arial"/>
          <w:color w:val="2E86C1"/>
          <w:sz w:val="22"/>
          <w:szCs w:val="22"/>
        </w:rPr>
        <w:t xml:space="preserve">7. Optional Upgrades</w:t>
      </w:r>
    </w:p>
    <w:p>
      <w:pPr>
        <w:spacing w:after="80"/>
      </w:pPr>
      <w:r>
        <w:rPr>
          <w:rFonts w:ascii="Arial" w:cs="Arial" w:eastAsia="Arial" w:hAnsi="Arial"/>
          <w:color w:val="2E86C1"/>
          <w:sz w:val="22"/>
          <w:szCs w:val="22"/>
        </w:rPr>
        <w:t xml:space="preserve">8. Five-Day Deployment Timeline</w:t>
      </w:r>
    </w:p>
    <w:p>
      <w:pPr>
        <w:spacing w:after="80"/>
      </w:pPr>
      <w:r>
        <w:rPr>
          <w:rFonts w:ascii="Arial" w:cs="Arial" w:eastAsia="Arial" w:hAnsi="Arial"/>
          <w:color w:val="2E86C1"/>
          <w:sz w:val="22"/>
          <w:szCs w:val="22"/>
        </w:rPr>
        <w:t xml:space="preserve">Appendix A: Lithuanian Legal Reference</w:t>
      </w:r>
    </w:p>
    <w:p>
      <w:pPr>
        <w:spacing w:after="80"/>
      </w:pPr>
      <w:r>
        <w:rPr>
          <w:rFonts w:ascii="Arial" w:cs="Arial" w:eastAsia="Arial" w:hAnsi="Arial"/>
          <w:color w:val="2E86C1"/>
          <w:sz w:val="22"/>
          <w:szCs w:val="22"/>
        </w:rPr>
        <w:t xml:space="preserve">Appendix B: Recommended Tool Stack</w:t>
      </w:r>
    </w:p>
    <w:p>
      <w:r>
        <w:br w:type="page"/>
      </w:r>
    </w:p>
    <w:p>
      <w:pPr>
        <w:pStyle w:val="Heading1"/>
        <w:spacing w:after="150" w:before="300"/>
      </w:pPr>
      <w:r>
        <w:t xml:space="preserve">1. ESSENTIAL PAGES &amp; CONTENT</w:t>
      </w:r>
    </w:p>
    <w:p>
      <w:pPr>
        <w:spacing w:after="150"/>
      </w:pPr>
      <w:r>
        <w:rPr>
          <w:rFonts w:ascii="Arial" w:cs="Arial" w:eastAsia="Arial" w:hAnsi="Arial"/>
          <w:i/>
          <w:iCs/>
          <w:color w:val="5D6D7E"/>
          <w:sz w:val="22"/>
          <w:szCs w:val="22"/>
        </w:rPr>
        <w:t xml:space="preserve">Every delivered website must include these baseline pages and functional components. These form the minimum viable product for any business website.</w:t>
      </w:r>
    </w:p>
    <w:p>
      <w:pPr>
        <w:pStyle w:val="Heading2"/>
        <w:spacing w:after="150" w:before="300"/>
      </w:pPr>
      <w:r>
        <w:t xml:space="preserve">1.1 Core Pages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Homepage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Hero section, value proposition, primary CTA, trust signals (logos, testimonials), overview of services. Must load in under 3 seconds on mobile.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About Page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Company story, team bios (optional), mission statement. Builds trust for local Lithuanian businesses. Include VAT/company registration number.</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Services / Products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Clearly structured service or product listings. For e-commerce: product cards with pricing. For services: descriptions with CTA per service.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Contact Page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Contact form with GDPR consent checkbox, Google Maps embed (consent-gated), phone, email, physical address. Working hours if applicable.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Privacy Policy</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Full GDPR-compliant privacy policy customized to client. Must detail data controller, data types, legal bases, retention, rights, and third-party processors.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Cookie Policy</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Separate or combined with privacy policy. Lists all cookies by category (essential, analytics, marketing), their purpose, duration, and provider.</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Terms of Service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Terms of use for the website. For e-commerce: full T&amp;C covering orders, returns, warranties per Lithuanian Consumer Protection Law.</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Imprint / Legal Notice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Required for Lithuanian businesses: company name, registration number, VAT, registered address, contact details (LR Civilinis kodeksas).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404 Error Page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Custom branded error page with navigation back to homepage. Prevents user drop-off.</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FAQ Page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Common questions and answers. Reduces support load and improves SEO with structured data.</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Blog / News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Content section for SEO and authority building. Can be a placeholder with 1-2 launch posts.</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bl>
    <w:p>
      <w:pPr>
        <w:spacing w:after="0" w:before="200"/>
      </w:pPr>
    </w:p>
    <w:p>
      <w:pPr>
        <w:pStyle w:val="Heading2"/>
        <w:spacing w:after="150" w:before="300"/>
      </w:pPr>
      <w:r>
        <w:t xml:space="preserve">1.2 Contact Form Requirements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Form Validation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Client-side and server-side validation for email format, required fields, phone number format. Clear inline error messages in Lithuanian and/or English.</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GDPR Consent Checkbox</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Unchecked by default. Text: “I agree to the processing of my personal data as described in the Privacy Policy [link].” No pre-ticked boxes (Art. 7 GDPR).</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Spam Protection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reCAPTCHA v3, hCaptcha, or honeypot field. reCAPTCHA requires its own cookie/privacy disclosure.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Submission Confirmation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Thank-you message or redirect page confirming form receipt. Optional: email auto-response to user.</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Data Routing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Form data sent via email (SMTP) or stored in CMS. If stored: document retention period and deletion procedure.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Rate Limiting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Prevent form abuse by limiting submissions per IP/session. Protects both server and client inbox.</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bl>
    <w:p>
      <w:r>
        <w:br w:type="page"/>
      </w:r>
    </w:p>
    <w:p>
      <w:pPr>
        <w:pStyle w:val="Heading1"/>
        <w:spacing w:after="150" w:before="300"/>
      </w:pPr>
      <w:r>
        <w:t xml:space="preserve">2. LEGAL &amp; PRIVACY COMPLIANCE</w:t>
      </w:r>
    </w:p>
    <w:p>
      <w:pPr>
        <w:spacing w:after="150"/>
      </w:pPr>
      <w:r>
        <w:rPr>
          <w:rFonts w:ascii="Arial" w:cs="Arial" w:eastAsia="Arial" w:hAnsi="Arial"/>
          <w:i/>
          <w:iCs/>
          <w:color w:val="5D6D7E"/>
          <w:sz w:val="22"/>
          <w:szCs w:val="22"/>
        </w:rPr>
        <w:t xml:space="preserve">Lithuania is a full EU member state and applies the General Data Protection Regulation (GDPR / Regulation 2016/679) directly. The national supervisory authority is the Valstybinė duomenų apsaugos inspekcija (VDAI). All websites collecting or processing personal data from Lithuanian or EU visitors must comply.</w:t>
      </w:r>
    </w:p>
    <w:p>
      <w:pPr>
        <w:pStyle w:val="Heading2"/>
        <w:spacing w:after="150" w:before="300"/>
      </w:pPr>
      <w:r>
        <w:t xml:space="preserve">2.1 GDPR Core Requirements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Privacy Policy Page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Must include: (1) Identity of data controller (company name, reg. number, address), (2) Contact details incl. DPO if applicable, (3) Types of personal data collected, (4) Legal basis for each processing activity (consent, legitimate interest, contract), (5) Data recipients / third-party processors, (6) Data transfers outside EEA (if any), (7) Retention periods, (8) User rights under GDPR Art. 15-22, (9) Right to lodge complaint with VDAI, (10) Date of last update.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Lawful Basis Documented</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For each data processing activity (forms, analytics, marketing), the lawful basis must be identified and documented. Consent must be freely given, specific, informed, and unambiguous.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Data Subject Rights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Website must provide a mechanism (email, form, or dedicated page) for users to exercise: right of access, rectification, erasure, restriction, portability, and objection.</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Data Processing Records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Client must maintain a Record of Processing Activities (ROPA) per Art. 30. Provide template as part of handover.</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DPA with Processors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Data Processing Agreements must exist with all third-party services handling personal data: hosting provider, analytics, email service, CDN. Document in handover.</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Data Breach Protocol</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Documented procedure for handling data breaches: notify VDAI within 72 hours, notify affected users if high risk. Provide template to client.</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bl>
    <w:p>
      <w:pPr>
        <w:spacing w:after="0" w:before="200"/>
      </w:pPr>
    </w:p>
    <w:p>
      <w:pPr>
        <w:pStyle w:val="Heading2"/>
        <w:spacing w:after="150" w:before="300"/>
      </w:pPr>
      <w:r>
        <w:t xml:space="preserve">2.2 Cookie Compliance</w:t>
      </w:r>
    </w:p>
    <w:p>
      <w:pPr>
        <w:spacing w:after="120"/>
      </w:pPr>
      <w:r>
        <w:rPr>
          <w:rFonts w:ascii="Arial" w:cs="Arial" w:eastAsia="Arial" w:hAnsi="Arial"/>
          <w:i/>
          <w:iCs/>
          <w:color w:val="1C2833"/>
          <w:sz w:val="22"/>
          <w:szCs w:val="22"/>
        </w:rPr>
        <w:t xml:space="preserve">Lithuanian law implements the ePrivacy Directive (2002/58/EC) through the </w:t>
      </w:r>
      <w:r>
        <w:rPr>
          <w:rFonts w:ascii="Arial" w:cs="Arial" w:eastAsia="Arial" w:hAnsi="Arial"/>
          <w:b/>
          <w:bCs/>
          <w:i/>
          <w:iCs/>
          <w:color w:val="1C2833"/>
          <w:sz w:val="22"/>
          <w:szCs w:val="22"/>
        </w:rPr>
        <w:t xml:space="preserve">Elektroninių ryšių įstatymas (Law on Electronic Communications)</w:t>
      </w:r>
      <w:r>
        <w:rPr>
          <w:rFonts w:ascii="Arial" w:cs="Arial" w:eastAsia="Arial" w:hAnsi="Arial"/>
          <w:i/>
          <w:iCs/>
          <w:color w:val="1C2833"/>
          <w:sz w:val="22"/>
          <w:szCs w:val="22"/>
        </w:rPr>
        <w:t xml:space="preserve">. Prior consent is required for all non-essential cookies.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Cookie Consent Banner</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Must appear on first visit. Must NOT set non-essential cookies before consent. Must offer granular opt-in per category (essential, analytics, marketing, functional). “Accept All” must not be pre-selected or visually dominant over “Reject All.”</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Consent Storage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Consent choice must be recorded (timestamp, choices made, version of policy). Use a first-party cookie or server-side storage. Must be reproducible for audits.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Consent Withdrawal</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Users must be able to change preferences at any time via a persistent link (e.g., footer “Cookie Settings”). As easy to withdraw as to give.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Cookie Audit / Inventory</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Complete list of all cookies set by the site and third parties: name, provider, purpose, type (session/persistent), duration. Updated on each deployment.</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Script Blocking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Analytics, marketing, and third-party scripts must NOT fire until user grants consent for that category. Use Google Tag Manager consent mode or a CMP.</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Consent Manager (CMP)</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Use a GDPR-certified consent management platform: CookieYes, Cookiebot, Complianz, or Usercentrics. Must support Lithuanian language.</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bl>
    <w:p>
      <w:pPr>
        <w:spacing w:after="0" w:before="200"/>
      </w:pPr>
    </w:p>
    <w:p>
      <w:pPr>
        <w:pStyle w:val="Heading2"/>
        <w:spacing w:after="150" w:before="300"/>
      </w:pPr>
      <w:r>
        <w:t xml:space="preserve">2.3 Google Analytics &amp; Tracking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GA4 Consent Mode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Implement Google Consent Mode v2. Analytics tags must respect user’s cookie choices. Default state: denied for analytics_storage and ad_storage.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IP Anonymization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GA4 anonymizes IP by default for EU users. Verify this is active. Do not enable any features that would reverse this (e.g., precise location).</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Data Retention Settings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Set GA4 data retention to minimum needed (2 or 14 months). Disable User-ID if not necessary. Document setting in privacy policy.</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Server-Side Tagging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For enhanced privacy, route GA4 through a server-side GTM container hosted in EU. Prevents direct browser-to-Google data flow.</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Privacy-First Alternative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Consider Plausible, Fathom, or Matomo as cookieless, GDPR-friendly alternatives. Plausible/Fathom don’t require cookie consent. Simpler compliance.</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Opt-Out Mechanism</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Provide a clear opt-out option in privacy policy or cookie settings. For GA4: implement ga-disable property or consent revocation.</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bl>
    <w:p>
      <w:pPr>
        <w:spacing w:after="0" w:before="200"/>
      </w:pPr>
    </w:p>
    <w:p>
      <w:pPr>
        <w:pStyle w:val="Heading2"/>
        <w:spacing w:after="150" w:before="300"/>
      </w:pPr>
      <w:r>
        <w:t xml:space="preserve">2.4 E-commerce Legal Requirements (if applicable)</w:t>
      </w:r>
    </w:p>
    <w:p>
      <w:pPr>
        <w:spacing w:after="150"/>
      </w:pPr>
      <w:r>
        <w:rPr>
          <w:rFonts w:ascii="Arial" w:cs="Arial" w:eastAsia="Arial" w:hAnsi="Arial"/>
          <w:i/>
          <w:iCs/>
          <w:color w:val="5D6D7E"/>
          <w:sz w:val="22"/>
          <w:szCs w:val="22"/>
        </w:rPr>
        <w:t xml:space="preserve">If the website includes e-commerce functionality, Lithuanian consumer protection law (Vartotojų teisių apsaugos įstatymas) imposes additional requirements.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Pre-Contractual Info</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Price incl. VAT, delivery costs, payment methods, delivery timeframes, trader identity. Must be visible before checkout confirmation.</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14-Day Withdrawal Right</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EU Consumer Rights Directive: customers have 14 days to withdraw from online purchases. Must be clearly stated. Provide withdrawal form template.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Order Confirmation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Automated email confirming order details, total price, withdrawal rights, and expected delivery.</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Returns &amp; Refund Policy</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Clear policy page. Must comply with Lithuanian consumer law minimum standards. No restocking fees within withdrawal period.</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Payment Security</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PCI DSS compliance via payment processor (Stripe, PayPal). Never store card data on server. Use hosted payment fields.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Electronic Invoice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Provide downloadable invoice per Lithuanian VAT requirements (PVM sąskaita-faktūra). Must include all fields required by LR PVM įstatymas.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bl>
    <w:p>
      <w:r>
        <w:br w:type="page"/>
      </w:r>
    </w:p>
    <w:p>
      <w:pPr>
        <w:pStyle w:val="Heading1"/>
        <w:spacing w:after="150" w:before="300"/>
      </w:pPr>
      <w:r>
        <w:t xml:space="preserve">3. TECHNICAL COMPONENTS</w:t>
      </w:r>
    </w:p>
    <w:p>
      <w:pPr>
        <w:spacing w:after="150"/>
      </w:pPr>
      <w:r>
        <w:rPr>
          <w:rFonts w:ascii="Arial" w:cs="Arial" w:eastAsia="Arial" w:hAnsi="Arial"/>
          <w:i/>
          <w:iCs/>
          <w:color w:val="5D6D7E"/>
          <w:sz w:val="22"/>
          <w:szCs w:val="22"/>
        </w:rPr>
        <w:t xml:space="preserve">The technical foundation that every delivered website must include regardless of CMS or framework chosen.</w:t>
      </w:r>
    </w:p>
    <w:p>
      <w:pPr>
        <w:pStyle w:val="Heading2"/>
        <w:spacing w:after="150" w:before="300"/>
      </w:pPr>
      <w:r>
        <w:t xml:space="preserve">3.1 Hosting &amp; Infrastructure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SSL/TLS Certificate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All pages served over HTTPS. Use Let’s Encrypt (free) or provider-managed cert. Force HTTPS redirect. HSTS header recommended.</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EU-Based Hosting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Server/data center physically in EU (ideally Lithuania or nearby). Required for GDPR data residency. Document hosting provider in privacy policy.</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CDN Configuration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Cloudflare or similar CDN for performance and DDoS protection. Ensure CDN nodes serve from EU when possible. Document CDN as data processor.</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DNS Configuration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Proper A/AAAA/CNAME records. Domain registrar access handed to client. Email DNS (MX, SPF, DKIM, DMARC) configured if applicable.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Staging Environment</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Separate staging URL for testing before deployment. Password-protected or IP-restricted. Prevents accidental indexing.</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Environment Variables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Secrets (API keys, SMTP credentials) stored in environment variables, never in codebase. Document which secrets exist and where.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bl>
    <w:p>
      <w:pPr>
        <w:spacing w:after="0" w:before="200"/>
      </w:pPr>
    </w:p>
    <w:p>
      <w:pPr>
        <w:pStyle w:val="Heading2"/>
        <w:spacing w:after="150" w:before="300"/>
      </w:pPr>
      <w:r>
        <w:t xml:space="preserve">3.2 SEO Fundamentals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Meta Tags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Unique title tag (&lt;60 chars) and meta description (&lt;155 chars) per page. Open Graph and Twitter Card tags for social sharing.</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sitemap.xml</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Auto-generated XML sitemap listing all public pages. Submitted to Google Search Console.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robots.txt</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Properly configured to allow indexing of public pages and block admin/staging areas. Reference sitemap location.</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Structured Data</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JSON-LD schema markup: LocalBusiness, Organization, BreadcrumbList. For e-commerce: Product, Offer. Validate with Google Rich Results Test.</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Google Search Console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Site verified and ownership transferred to client. Submit sitemap. Check for indexing issues.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Google Business Profile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If local business: ensure website link is updated. NAP (Name, Address, Phone) consistent across all listings.</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Canonical URLs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Canonical tags on every page to prevent duplicate content. Proper handling of www vs. non-www and trailing slashes.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Alt Text on Images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Descriptive alt attributes on all images for accessibility and SEO. Not keyword-stuffed.</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Heading Hierarchy</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Single H1 per page, logical H2-H6 structure. Aligned with page content and target keywords.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bl>
    <w:p>
      <w:pPr>
        <w:spacing w:after="0" w:before="200"/>
      </w:pPr>
    </w:p>
    <w:p>
      <w:pPr>
        <w:pStyle w:val="Heading2"/>
        <w:spacing w:after="150" w:before="300"/>
      </w:pPr>
      <w:r>
        <w:t xml:space="preserve">3.3 Accessibility &amp; Responsiveness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Mobile Responsive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Fully responsive across mobile, tablet, and desktop. Tested on Chrome, Firefox, Safari, Edge. Minimum: 320px viewport.</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WCAG 2.1 Level AA</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Basic accessibility: sufficient color contrast (4.5:1), keyboard navigation, ARIA labels, skip-to-content link. Required for public sector under EU Web Accessibility Directive.</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Fast Mobile Experience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Touch-friendly targets (min 44x44px), no horizontal scroll, readable font sizes (min 16px base), optimized images for mobile.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Language Attribute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html lang attribute set correctly (lt for Lithuanian, en for English). Helps screen readers and search engines.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bl>
    <w:p>
      <w:r>
        <w:br w:type="page"/>
      </w:r>
    </w:p>
    <w:p>
      <w:pPr>
        <w:pStyle w:val="Heading1"/>
        <w:spacing w:after="150" w:before="300"/>
      </w:pPr>
      <w:r>
        <w:t xml:space="preserve">4. SECURITY &amp; MAINTENANCE</w:t>
      </w:r>
    </w:p>
    <w:p>
      <w:pPr>
        <w:spacing w:after="150"/>
      </w:pPr>
      <w:r>
        <w:rPr>
          <w:rFonts w:ascii="Arial" w:cs="Arial" w:eastAsia="Arial" w:hAnsi="Arial"/>
          <w:i/>
          <w:iCs/>
          <w:color w:val="5D6D7E"/>
          <w:sz w:val="22"/>
          <w:szCs w:val="22"/>
        </w:rPr>
        <w:t xml:space="preserve">Security is both a technical necessity and a GDPR obligation (Art. 32 — security of processing). Appropriate technical and organizational measures must protect personal data.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Automated Backups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Daily automated backups of files and database. Stored in separate location (not same server). Minimum 30-day retention. Test restore procedure before handover.</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WAF / Firewall</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Web Application Firewall via Cloudflare, Sucuri, or hosting provider. Blocks common attack vectors: SQL injection, XSS, brute force.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Security Headers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Configure: Content-Security-Policy, X-Content-Type-Options, X-Frame-Options, Referrer-Policy, Permissions-Policy. Test via securityheaders.com.</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Admin Access Controls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Strong passwords, 2FA on CMS admin. Unique accounts per user (no shared admin). Limit login attempts. Change default admin URL if CMS allows.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CMS/Plugin Updates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Document update schedule: core CMS monthly, plugins bi-weekly, security patches immediately. Provide procedure or maintenance contract.</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Malware Scanning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Periodic server-side malware scanning. Automated alerts on detection. Services: Sucuri SiteCheck, Wordfence (WP), or hosting-provided.</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File Permissions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Correct Linux file permissions (644 files, 755 directories). No world-writable files. Disable directory listing.</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SFTP/SSH Only</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No FTP access. All file transfers via SFTP or SSH. Disable unused ports.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Database Security</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Database not publicly accessible. Unique DB user per site. Regular credential rotation documented.</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Vulnerability Disclosure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Provide client with security contact or procedure for reporting vulnerabilities if a maintenance contract is in place.</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bl>
    <w:p>
      <w:r>
        <w:br w:type="page"/>
      </w:r>
    </w:p>
    <w:p>
      <w:pPr>
        <w:pStyle w:val="Heading1"/>
        <w:spacing w:after="150" w:before="300"/>
      </w:pPr>
      <w:r>
        <w:t xml:space="preserve">5. PERFORMANCE &amp; MONITORING</w:t>
      </w:r>
    </w:p>
    <w:p>
      <w:pPr>
        <w:spacing w:after="150"/>
      </w:pPr>
      <w:r>
        <w:rPr>
          <w:rFonts w:ascii="Arial" w:cs="Arial" w:eastAsia="Arial" w:hAnsi="Arial"/>
          <w:i/>
          <w:iCs/>
          <w:color w:val="5D6D7E"/>
          <w:sz w:val="22"/>
          <w:szCs w:val="22"/>
        </w:rPr>
        <w:t xml:space="preserve">Site performance directly impacts SEO rankings, user experience, and conversion rates. Monitoring ensures issues are caught before clients or customers notice.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Page Speed Optimization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Target: Lighthouse Performance score &gt; 85. Image compression (WebP/AVIF), lazy loading, minified CSS/JS, critical CSS inlining. Core Web Vitals: LCP &lt; 2.5s, FID &lt; 100ms, CLS &lt; 0.1.</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Image Optimization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All images served in modern formats (WebP with fallback). Responsive srcset for different viewports. Maximum initial image payload &lt; 500KB.</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Caching Strategy</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Browser caching headers for static assets (1 year for hashed files). Server-side caching (page cache, object cache) configured per CMS.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Uptime Monitoring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24/7 uptime monitoring via UptimeRobot, Better Uptime, or Hetrixtools (free tier). Alerts to both developer and client on downtime. Target: 99.9% uptime.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Analytics Dashboard</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Client access to Google Analytics or chosen privacy-friendly alternative. Custom dashboard with key metrics: visitors, top pages, conversions, sources.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Error Monitoring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Server error logging (5xx, 4xx). Alerts on error rate spikes. For custom apps: Sentry or similar error tracking.</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Lighthouse CI</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Pre-deployment Lighthouse audit. Document scores in handover. Set baseline for future comparison.</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bl>
    <w:p>
      <w:r>
        <w:br w:type="page"/>
      </w:r>
    </w:p>
    <w:p>
      <w:pPr>
        <w:pStyle w:val="Heading1"/>
        <w:spacing w:after="150" w:before="300"/>
      </w:pPr>
      <w:r>
        <w:t xml:space="preserve">6. CLIENT DELIVERABLES &amp; HANDOVER</w:t>
      </w:r>
    </w:p>
    <w:p>
      <w:pPr>
        <w:spacing w:after="150"/>
      </w:pPr>
      <w:r>
        <w:rPr>
          <w:rFonts w:ascii="Arial" w:cs="Arial" w:eastAsia="Arial" w:hAnsi="Arial"/>
          <w:i/>
          <w:iCs/>
          <w:color w:val="5D6D7E"/>
          <w:sz w:val="22"/>
          <w:szCs w:val="22"/>
        </w:rPr>
        <w:t xml:space="preserve">Every project must include a structured handover. Clients must be empowered to manage their website independently or understand what ongoing support covers.</w:t>
      </w:r>
    </w:p>
    <w:p>
      <w:pPr>
        <w:pStyle w:val="Heading2"/>
        <w:spacing w:after="150" w:before="300"/>
      </w:pPr>
      <w:r>
        <w:t xml:space="preserve">6.1 Documentation Package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Admin Guide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Step-by-step guide: how to log in, edit pages, add blog posts, manage forms, update images. Screenshots or video walkthrough. Tailored to client’s CMS.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Credential Document</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Secure handover of all credentials: CMS admin, hosting panel, FTP/SSH, DNS registrar, Google Search Console, Analytics, email accounts. Use a password manager share or encrypted doc.</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Data Architecture Map</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Document where personal data is stored: hosting server (location), CMS database, email service, analytics platform, CDN. Include DPA status for each processor.</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Technical Specification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Tech stack summary, plugin/dependency list with versions, custom code documentation, deployment procedure, environment variables reference.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SEO Baseline Report</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Lighthouse scores, initial Search Console data, sitemap URL, meta tag summary per page, structured data implementation notes.</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GDPR Compliance Checklist</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Filled-in checklist confirming all GDPR requirements met at launch. Privacy policy review date. Cookie audit document. ROPA template.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Maintenance Guide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Instructions for: running backups, updating CMS/plugins, checking uptime alerts, renewing SSL, renewing domain. Emergency contact procedure.</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bl>
    <w:p>
      <w:pPr>
        <w:spacing w:after="0" w:before="200"/>
      </w:pPr>
    </w:p>
    <w:p>
      <w:pPr>
        <w:pStyle w:val="Heading2"/>
        <w:spacing w:after="150" w:before="300"/>
      </w:pPr>
      <w:r>
        <w:t xml:space="preserve">6.2 Training &amp; Support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Live Training Session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30-60 minute video call or in-person session walking client through CMS, analytics dashboard, and basic maintenance tasks.</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Video Recordings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Screen recordings of key admin tasks. Hosted on unlisted YouTube or Loom. Linked from admin guide.</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30-Day Support Window</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Post-launch support period covering bug fixes, content clarifications, and minor adjustments. Define scope clearly to avoid scope creep.</w:t>
            </w:r>
          </w:p>
        </w:tc>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8"/>
                <w:szCs w:val="18"/>
              </w:rPr>
              <w:t xml:space="preserve">MUST-HAVE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Maintenance Contract</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Optional ongoing monthly/quarterly maintenance: updates, backups verification, security monitoring, content changes. Separate pricing.</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Escalation Procedure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Clear process for urgent issues: who to contact, expected response times, what constitutes an emergency vs. a normal request.</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RECOMMENDED</w:t>
            </w:r>
          </w:p>
        </w:tc>
      </w:tr>
    </w:tbl>
    <w:p>
      <w:r>
        <w:br w:type="page"/>
      </w:r>
    </w:p>
    <w:p>
      <w:pPr>
        <w:pStyle w:val="Heading1"/>
        <w:spacing w:after="150" w:before="300"/>
      </w:pPr>
      <w:r>
        <w:t xml:space="preserve">7. OPTIONAL UPGRADES</w:t>
      </w:r>
    </w:p>
    <w:p>
      <w:pPr>
        <w:spacing w:after="150"/>
      </w:pPr>
      <w:r>
        <w:rPr>
          <w:rFonts w:ascii="Arial" w:cs="Arial" w:eastAsia="Arial" w:hAnsi="Arial"/>
          <w:i/>
          <w:iCs/>
          <w:color w:val="5D6D7E"/>
          <w:sz w:val="22"/>
          <w:szCs w:val="22"/>
        </w:rPr>
        <w:t xml:space="preserve">These features are not part of the base 5-day delivery but can be offered as add-ons or Phase 2 projects. Each adds business value and can justify premium pricing.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4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Upgrade</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Effort</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E-commerce Store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WooCommerce, Shopify, or custom solution. Product catalog, cart, checkout, payment gateway (Stripe/PayPal), order management, Lithuanian VAT invoicing.</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+3-5 days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Multilingual Support</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Lithuanian + English (or more). WPML, Polylang, or custom i18n. Separate URLs per language (/lt/, /en/). Hreflang tags for SEO.</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+1-2 days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CRM Integration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Connect contact forms and leads to HubSpot, Pipedrive, Salesforce, or local CRM. Webhook or API-based sync.</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+1 day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Booking / Scheduling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Online appointment booking via Calendly, Cal.com, or custom solution. Calendar sync (Google/Outlook). Confirmation emails.</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+1-2 days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Newsletter Integration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Mailchimp, Sendinblue, or Mailerlite signup forms. Double opt-in required (GDPR). Consent tracked. Automated welcome sequence.</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+0.5 day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Live Chat / Chatbot</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Tawk.to, Crisp, or custom chatbot. GDPR disclosure required. Consent before storing chat transcripts. Consider: does it set cookies?</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+0.5 day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Advanced Analytics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Custom event tracking, conversion funnels, heatmaps (Hotjar/Microsoft Clarity — both need consent). Enhanced ecommerce tracking.</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+1 day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Social Media Integration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Social sharing buttons (consent-aware — Shariff pattern), Instagram/Facebook feed embeds (consent-gated), social login.</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+0.5 day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Content Migration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Import content from old website. URL mapping for 301 redirects. Image migration and optimization. SEO equity preservation.</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+1-3 days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Segoe UI Symbol" w:cs="Segoe UI Symbol" w:eastAsia="Segoe UI Symbol" w:hAnsi="Segoe UI Symbol"/>
                <w:sz w:val="24"/>
                <w:szCs w:val="24"/>
              </w:rPr>
              <w:t xml:space="preserv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1"/>
                <w:szCs w:val="21"/>
              </w:rPr>
              <w:t xml:space="preserve">Custom Animations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Scroll-triggered animations, parallax effects, micro-interactions. Performance-tested to not impact Core Web Vitals.</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18"/>
                <w:szCs w:val="18"/>
              </w:rPr>
              <w:t xml:space="preserve">+1 day</w:t>
            </w:r>
          </w:p>
        </w:tc>
      </w:tr>
    </w:tbl>
    <w:p>
      <w:r>
        <w:br w:type="page"/>
      </w:r>
    </w:p>
    <w:p>
      <w:pPr>
        <w:pStyle w:val="Heading1"/>
        <w:spacing w:after="150" w:before="300"/>
      </w:pPr>
      <w:r>
        <w:t xml:space="preserve">8. FIVE-DAY DEPLOYMENT TIMELINE</w:t>
      </w:r>
    </w:p>
    <w:p>
      <w:pPr>
        <w:spacing w:after="150"/>
      </w:pPr>
      <w:r>
        <w:rPr>
          <w:rFonts w:ascii="Arial" w:cs="Arial" w:eastAsia="Arial" w:hAnsi="Arial"/>
          <w:i/>
          <w:iCs/>
          <w:color w:val="5D6D7E"/>
          <w:sz w:val="22"/>
          <w:szCs w:val="22"/>
        </w:rPr>
        <w:t xml:space="preserve">This timeline assumes client has provided content (text, images, branding) before Day 1, or content is generated/adapted during the build. Adjust if content gathering is required.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71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Day</w:t>
            </w:r>
          </w:p>
        </w:tc>
        <w:tc>
          <w:tcPr>
            <w:tcW w:type="dxa" w:w="7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Tasks &amp; Deliverables</w:t>
            </w:r>
          </w:p>
        </w:tc>
      </w:tr>
      <w:tr>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2"/>
                <w:szCs w:val="22"/>
              </w:rPr>
              <w:t xml:space="preserve">DAY 1</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Kick-off call: confirm scope, content inventory, brand assets</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Set up hosting (EU-based), domain DNS, SSL/TLS certificate</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Install CMS / initialize project scaffolding</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Configure staging environment</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Set up Git repository (if custom build)</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Begin homepage design and structure</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Select and install cookie consent manager (CMP)</w:t>
            </w:r>
          </w:p>
        </w:tc>
      </w:tr>
      <w:tr>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2"/>
                <w:szCs w:val="22"/>
              </w:rPr>
              <w:t xml:space="preserve">DAY 2</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Complete homepage layout and styling</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Build About, Services/Products pages</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Build Contact page with GDPR-compliant form</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Implement mobile responsiveness (iterative throughout)</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Set up Google Analytics (GA4) with Consent Mode v2</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Configure Google Tag Manager with consent-aware triggers</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Begin SEO: meta tags, heading structure, alt text</w:t>
            </w:r>
          </w:p>
        </w:tc>
      </w:tr>
      <w:tr>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2"/>
                <w:szCs w:val="22"/>
              </w:rPr>
              <w:t xml:space="preserve">DAY 3</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Write and deploy Privacy Policy (customized to client)</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Write and deploy Cookie Policy with cookie audit table</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Configure cookie consent banner: categories, scripts, blocking</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Build legal notice / imprint page</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Create Terms of Service (if applicable)</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Build remaining pages: FAQ, Blog, 404</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Implement structured data (JSON-LD)</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Generate and submit sitemap.xml, robots.txt</w:t>
            </w:r>
          </w:p>
        </w:tc>
      </w:tr>
      <w:tr>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2"/>
                <w:szCs w:val="22"/>
              </w:rPr>
              <w:t xml:space="preserve">DAY 4</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Security hardening: headers, file permissions, admin 2FA</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Performance optimization: image compression, caching, minification</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Run Lighthouse audit — target &gt;85 performance score</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Cross-browser testing (Chrome, Firefox, Safari, Edge)</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Mobile testing across breakpoints</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Set up automated backups</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Set up uptime monitoring</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Internal QA: all links, forms, consent flows, legal pages</w:t>
            </w:r>
          </w:p>
        </w:tc>
      </w:tr>
      <w:tr>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2"/>
                <w:szCs w:val="22"/>
              </w:rPr>
              <w:t xml:space="preserve">DAY 5</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Client review and feedback round</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Apply final revisions</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Deploy to production (DNS cutover)</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Verify SSL, redirects, sitemap in production</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Submit site to Google Search Console</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Deliver documentation package (admin guide, credentials, data map)</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Conduct client training session (30-60 min)</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Activate 30-day post-launch support window</w:t>
            </w:r>
          </w:p>
          <w:p>
            <w:pPr>
              <w:spacing w:after="40"/>
            </w:pPr>
            <w:r>
              <w:rPr>
                <w:rFonts w:ascii="Arial" w:cs="Arial" w:eastAsia="Arial" w:hAnsi="Arial"/>
                <w:color w:val="2E86C1"/>
                <w:sz w:val="20"/>
                <w:szCs w:val="20"/>
              </w:rPr>
              <w:t xml:space="preserve">• </w:t>
            </w:r>
            <w:r>
              <w:rPr>
                <w:rFonts w:ascii="Arial" w:cs="Arial" w:eastAsia="Arial" w:hAnsi="Arial"/>
                <w:color w:val="1C2833"/>
                <w:sz w:val="20"/>
                <w:szCs w:val="20"/>
              </w:rPr>
              <w:t xml:space="preserve">Archive project files and staging environment</w:t>
            </w:r>
          </w:p>
        </w:tc>
      </w:tr>
    </w:tbl>
    <w:p>
      <w:r>
        <w:br w:type="page"/>
      </w:r>
    </w:p>
    <w:p>
      <w:pPr>
        <w:pStyle w:val="Heading1"/>
        <w:spacing w:after="150" w:before="300"/>
      </w:pPr>
      <w:r>
        <w:t xml:space="preserve">APPENDIX A: LITHUANIAN LEGAL REFERENCE</w:t>
      </w:r>
    </w:p>
    <w:p>
      <w:pPr>
        <w:spacing w:after="150"/>
      </w:pPr>
      <w:r>
        <w:rPr>
          <w:rFonts w:ascii="Arial" w:cs="Arial" w:eastAsia="Arial" w:hAnsi="Arial"/>
          <w:i/>
          <w:iCs/>
          <w:color w:val="5D6D7E"/>
          <w:sz w:val="22"/>
          <w:szCs w:val="22"/>
        </w:rPr>
        <w:t xml:space="preserve">Key legal instruments applicable to website development and operation in Lithuania.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500"/>
        <w:gridCol w:w="5460"/>
      </w:tblGrid>
      <w:tr>
        <w:trPr>
          <w:tblHeader/>
        </w:trP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Instrument</w:t>
            </w:r>
          </w:p>
        </w:tc>
        <w:tc>
          <w:tcPr>
            <w:tcW w:type="dxa" w:w="5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Relevance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GDPR (Regulation 2016/679)</w:t>
            </w:r>
          </w:p>
        </w:tc>
        <w:tc>
          <w:tcPr>
            <w:tcW w:type="dxa" w:w="5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Directly applicable EU regulation governing all personal data processing. Core framework for privacy policies, consent, data subject rights, and breach notification.</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LR Asmens duomenų teisinės apsaugos įstatymas</w:t>
            </w:r>
          </w:p>
        </w:tc>
        <w:tc>
          <w:tcPr>
            <w:tcW w:type="dxa" w:w="5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Lithuanian Law on Legal Protection of Personal Data. Supplements GDPR with national specifics: VDAI powers, penalties, age of consent for information society services (14 years in Lithuania).</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Elektroninių ryšių įstatymas</w:t>
            </w:r>
          </w:p>
        </w:tc>
        <w:tc>
          <w:tcPr>
            <w:tcW w:type="dxa" w:w="5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Law on Electronic Communications. Implements ePrivacy Directive. Governs cookie consent requirements, electronic direct marketing, and traffic data retention.</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Vartotojų teisių apsaugos įstatymas</w:t>
            </w:r>
          </w:p>
        </w:tc>
        <w:tc>
          <w:tcPr>
            <w:tcW w:type="dxa" w:w="5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Consumer Protection Law. Governs e-commerce: distance selling, 14-day withdrawal, pre-contractual disclosure, pricing transparency, complaint handling.</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EU Web Accessibility Directive (2016/2102)</w:t>
            </w:r>
          </w:p>
        </w:tc>
        <w:tc>
          <w:tcPr>
            <w:tcW w:type="dxa" w:w="5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Mandatory for public sector websites. Recommended for private sector. Requires WCAG 2.1 Level AA compliance. May become mandatory for private sector under future European Accessibility Act.</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Supervisory Authority: VDAI</w:t>
            </w:r>
          </w:p>
        </w:tc>
        <w:tc>
          <w:tcPr>
            <w:tcW w:type="dxa" w:w="5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20"/>
                <w:szCs w:val="20"/>
              </w:rPr>
              <w:t xml:space="preserve">Valstybinė duomenų apsaugos inspekcija (State Data Protection Inspectorate). Website: ada.lt. Handles GDPR complaints, audits, and enforcement in Lithuania.</w:t>
            </w:r>
          </w:p>
        </w:tc>
      </w:tr>
    </w:tbl>
    <w:p>
      <w:pPr>
        <w:spacing w:after="0" w:before="200"/>
      </w:pPr>
    </w:p>
    <w:p>
      <w:pPr>
        <w:pStyle w:val="Heading1"/>
        <w:spacing w:after="150" w:before="300"/>
      </w:pPr>
      <w:r>
        <w:t xml:space="preserve">APPENDIX B: RECOMMENDED TOOL STACK</w:t>
      </w:r>
    </w:p>
    <w:p>
      <w:pPr>
        <w:spacing w:after="150"/>
      </w:pPr>
      <w:r>
        <w:rPr>
          <w:rFonts w:ascii="Arial" w:cs="Arial" w:eastAsia="Arial" w:hAnsi="Arial"/>
          <w:i/>
          <w:iCs/>
          <w:color w:val="5D6D7E"/>
          <w:sz w:val="22"/>
          <w:szCs w:val="22"/>
        </w:rPr>
        <w:t xml:space="preserve">Default tools and services for the 5-day delivery model. All selected for EU compliance, ease of use, and cost-effectiveness.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5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Recommended</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CMS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WordPress / Custom (Hono/HTMX)</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WP for quick builds; custom stack for performance-critical or minimal sites.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Hosting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Hetzner Cloud (Falkenstein/Helsinki)</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EU data centers, excellent price/performance, GDPR-friendly. Alternative: DigitalOcean Amsterdam.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CDN / WAF</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Cloudflare (Free/Pro)</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EU nodes, DDoS protection, SSL, page rules. Document as data processor.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SSL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Let’s Encrypt (auto-renew)</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Free, automated via Certbot or hosting panel. 90-day certificates, auto-renewal critical.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Analytics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Plausible / GA4</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Plausible: cookieless, EU-hosted, no consent needed. GA4: if client needs advanced features.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Cookie CMP</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CookieYes / Cookiebot</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Lithuanian language support, automatic cookie scanning, consent logging.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Email/SMTP</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Mailgun / Postmark</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Transactional email for forms. Both offer EU region options.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Backups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UpdraftPlus (WP) / Restic</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Automated daily backups to separate storage (S3-compatible or Hetzner Storage Box).</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Uptime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UptimeRobot / Better Uptime</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Free tier sufficient for basic monitoring. Alerts via email and Slack.</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SEO Audit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Google Lighthouse / PageSpeed</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Built into Chrome DevTools. Free, comprehensive, covers Core Web Vitals.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Forms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WPForms / Custom (server-side)</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WPForms for WP; custom Hono handler for HTMX stack. Always validate server-side.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Payments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Stripe / PayPal</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PCI DSS compliant hosted fields. Stripe supports Lithuanian businesses and SDD.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20"/>
                <w:szCs w:val="20"/>
              </w:rPr>
              <w:t xml:space="preserve">Version Control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Git (GitHub/GitLab)</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5D6D7E"/>
                <w:sz w:val="19"/>
                <w:szCs w:val="19"/>
              </w:rPr>
              <w:t xml:space="preserve">All code in version control. Private repos. Deploy via CI/CD or manual pull.</w:t>
            </w:r>
          </w:p>
        </w:tc>
      </w:tr>
    </w:tbl>
    <w:sectPr>
      <w:headerReference w:type="default" r:id="rId7"/>
      <w:footerReference w:type="default" r:id="rId8"/>
      <w:pgSz w:w="11906" w:h="16838"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Confidential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Website Delivery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4"/>
      </w:pBd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2026-02-26T07:08:43.580Z</dcterms:created>
  <dcterms:modified xsi:type="dcterms:W3CDTF">2026-02-26T07:08:43.581Z</dcterms:modified>
</cp:coreProperties>
</file>

<file path=docProps/custom.xml><?xml version="1.0" encoding="utf-8"?>
<Properties xmlns="http://schemas.openxmlformats.org/officeDocument/2006/custom-properties" xmlns:vt="http://schemas.openxmlformats.org/officeDocument/2006/docPropsVTypes"/>
</file>