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rPr>
          <w:b/>
          <w:bCs/>
          <w:color w:themeColor="text1" w:val="000000"/>
          <w:sz w:val="28"/>
          <w:szCs w:val="28"/>
        </w:rPr>
      </w:pPr>
      <w:r>
        <w:rPr>
          <w:b/>
          <w:bCs/>
          <w:color w:themeColor="text1" w:val="000000"/>
          <w:sz w:val="28"/>
          <w:szCs w:val="28"/>
        </w:rPr>
        <w:t>Supplementary Information, Licheva et al.</w:t>
      </w:r>
    </w:p>
    <w:p>
      <w:pPr>
        <w:pStyle w:val="Normal"/>
        <w:spacing w:lineRule="auto" w:line="240"/>
        <w:rPr>
          <w:color w:themeColor="text1" w:val="000000"/>
        </w:rPr>
      </w:pPr>
      <w:r>
        <w:rPr>
          <w:color w:themeColor="text1" w:val="000000"/>
        </w:rPr>
      </w:r>
    </w:p>
    <w:p>
      <w:pPr>
        <w:pStyle w:val="Normal"/>
        <w:spacing w:lineRule="auto" w:line="240"/>
        <w:rPr>
          <w:color w:themeColor="text1" w:val="000000"/>
        </w:rPr>
      </w:pPr>
      <w:r>
        <w:rPr>
          <w:color w:themeColor="text1" w:val="000000"/>
        </w:rPr>
        <w:t xml:space="preserve">Supplementary Figures S1-S6: </w:t>
        <w:tab/>
        <w:tab/>
        <w:tab/>
        <w:tab/>
        <w:tab/>
        <w:tab/>
        <w:t>Page 2-9</w:t>
      </w:r>
    </w:p>
    <w:p>
      <w:pPr>
        <w:pStyle w:val="Normal"/>
        <w:spacing w:lineRule="auto" w:line="240"/>
        <w:rPr>
          <w:color w:themeColor="text1" w:val="000000"/>
        </w:rPr>
      </w:pPr>
      <w:r>
        <w:rPr>
          <w:color w:themeColor="text1" w:val="000000"/>
        </w:rPr>
        <w:t xml:space="preserve">Supplementary Tables (plasmids, yeast strains): </w:t>
        <w:tab/>
        <w:tab/>
        <w:tab/>
        <w:tab/>
        <w:t>Page 11-12</w:t>
      </w:r>
    </w:p>
    <w:p>
      <w:pPr>
        <w:pStyle w:val="Normal"/>
        <w:spacing w:lineRule="auto" w:line="240"/>
        <w:rPr>
          <w:b/>
          <w:bCs/>
          <w:color w:themeColor="text1" w:val="000000"/>
        </w:rPr>
      </w:pPr>
      <w:r>
        <w:rPr>
          <w:color w:themeColor="text1" w:val="000000"/>
        </w:rPr>
        <w:t xml:space="preserve">Development of mathematical models of Atg11/Atg19-cargo interaction: </w:t>
        <w:tab/>
        <w:t>Page 13-18</w:t>
      </w:r>
    </w:p>
    <w:p>
      <w:pPr>
        <w:pStyle w:val="Normal"/>
        <w:spacing w:lineRule="auto" w:line="240"/>
        <w:rPr>
          <w:color w:themeColor="text1" w:val="000000"/>
        </w:rPr>
      </w:pPr>
      <w:r>
        <w:rPr>
          <w:color w:themeColor="text1" w:val="000000"/>
        </w:rPr>
      </w:r>
    </w:p>
    <w:p>
      <w:pPr>
        <w:pStyle w:val="Normal"/>
        <w:spacing w:lineRule="auto" w:line="240"/>
        <w:rPr>
          <w:b/>
          <w:bCs/>
          <w:color w:themeColor="text1" w:val="000000"/>
          <w:sz w:val="28"/>
          <w:szCs w:val="28"/>
        </w:rPr>
      </w:pPr>
      <w:r>
        <w:rPr>
          <w:b/>
          <w:bCs/>
          <w:color w:themeColor="text1" w:val="000000"/>
          <w:sz w:val="28"/>
          <w:szCs w:val="28"/>
        </w:rPr>
      </w:r>
      <w:r>
        <w:br w:type="page"/>
      </w:r>
    </w:p>
    <w:p>
      <w:pPr>
        <w:pStyle w:val="Normal"/>
        <w:spacing w:lineRule="auto" w:line="240" w:before="0" w:after="0"/>
        <w:jc w:val="both"/>
        <w:rPr>
          <w:b/>
          <w:bCs/>
          <w:color w:themeColor="text1" w:val="000000"/>
          <w:sz w:val="28"/>
          <w:szCs w:val="28"/>
        </w:rPr>
      </w:pPr>
      <w:r>
        <w:rPr>
          <w:b/>
          <w:bCs/>
          <w:color w:themeColor="text1" w:val="000000"/>
          <w:sz w:val="28"/>
          <w:szCs w:val="28"/>
        </w:rPr>
        <w:t>Supplementary Figures</w:t>
      </w:r>
    </w:p>
    <w:p>
      <w:pPr>
        <w:pStyle w:val="Normal"/>
        <w:spacing w:lineRule="auto" w:line="240"/>
        <w:jc w:val="both"/>
        <w:rPr>
          <w:b/>
          <w:bCs/>
          <w:color w:themeColor="text1" w:val="000000"/>
          <w:sz w:val="28"/>
          <w:szCs w:val="28"/>
        </w:rPr>
      </w:pPr>
      <w:r>
        <w:rPr/>
        <w:drawing>
          <wp:inline distT="0" distB="0" distL="0" distR="0">
            <wp:extent cx="5046980" cy="542671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046980" cy="5426710"/>
                    </a:xfrm>
                    <a:prstGeom prst="rect">
                      <a:avLst/>
                    </a:prstGeom>
                  </pic:spPr>
                </pic:pic>
              </a:graphicData>
            </a:graphic>
          </wp:inline>
        </w:drawing>
      </w:r>
    </w:p>
    <w:p>
      <w:pPr>
        <w:pStyle w:val="Normal"/>
        <w:spacing w:lineRule="auto" w:line="240"/>
        <w:jc w:val="both"/>
        <w:rPr>
          <w:b/>
          <w:bCs/>
        </w:rPr>
      </w:pPr>
      <w:r>
        <w:rPr>
          <w:b/>
          <w:bCs/>
        </w:rPr>
      </w:r>
    </w:p>
    <w:p>
      <w:pPr>
        <w:pStyle w:val="Normal"/>
        <w:spacing w:lineRule="auto" w:line="240"/>
        <w:jc w:val="both"/>
        <w:rPr>
          <w:b/>
          <w:bCs/>
        </w:rPr>
      </w:pPr>
      <w:r>
        <w:rPr>
          <w:b/>
          <w:bCs/>
        </w:rPr>
        <w:t xml:space="preserve">Figure S1: </w:t>
      </w:r>
      <w:r>
        <w:rPr>
          <w:b/>
          <w:bCs/>
          <w:color w:themeColor="text1" w:val="000000"/>
        </w:rPr>
        <w:t>High-affinity receptor-cargo interactions impair selective autophagy</w:t>
      </w:r>
      <w:r>
        <w:rPr>
          <w:b/>
          <w:bCs/>
        </w:rPr>
        <w:t>, related to Figure 1</w:t>
      </w:r>
    </w:p>
    <w:p>
      <w:pPr>
        <w:pStyle w:val="Normal"/>
        <w:spacing w:lineRule="auto" w:line="240"/>
        <w:jc w:val="both"/>
        <w:rPr>
          <w:color w:themeColor="accent2" w:val="ED7D31"/>
        </w:rPr>
      </w:pPr>
      <w:r>
        <w:rPr>
          <w:color w:themeColor="text1" w:val="000000"/>
        </w:rPr>
        <w:t>A) Representative fluorescence microscopy images from Figure 1B.</w:t>
      </w:r>
      <w:r>
        <w:rPr>
          <w:color w:themeColor="accent2" w:val="ED7D31"/>
        </w:rPr>
        <w:t xml:space="preserve"> </w:t>
      </w:r>
      <w:r>
        <w:rPr>
          <w:color w:themeColor="text1" w:val="000000"/>
        </w:rPr>
        <w:t xml:space="preserve">One out of three independent experiments are shown. Dashed lines indicate the contour of individual cells. Scale bar: 5 µm. </w:t>
      </w:r>
    </w:p>
    <w:p>
      <w:pPr>
        <w:pStyle w:val="Normal"/>
        <w:spacing w:lineRule="auto" w:line="240"/>
        <w:jc w:val="both"/>
        <w:rPr>
          <w:color w:themeColor="text1" w:val="000000"/>
        </w:rPr>
      </w:pPr>
      <w:r>
        <w:rPr>
          <w:color w:themeColor="text1" w:val="000000"/>
        </w:rPr>
        <w:t xml:space="preserve">B) Cells from A) were TCA precipitated and GFP cleavage was monitored by anti-GFP western blotting. </w:t>
      </w:r>
    </w:p>
    <w:p>
      <w:pPr>
        <w:pStyle w:val="Normal"/>
        <w:spacing w:lineRule="auto" w:line="240"/>
        <w:jc w:val="both"/>
        <w:rPr>
          <w:color w:themeColor="text1" w:val="000000"/>
        </w:rPr>
      </w:pPr>
      <w:r>
        <w:rPr>
          <w:color w:themeColor="text1" w:val="000000"/>
        </w:rPr>
        <w:t>C)</w:t>
      </w:r>
      <w:r>
        <w:rPr>
          <w:color w:themeColor="accent2" w:val="ED7D31"/>
        </w:rPr>
        <w:t xml:space="preserve"> </w:t>
      </w:r>
      <w:r>
        <w:rPr>
          <w:color w:themeColor="text1" w:val="000000"/>
        </w:rPr>
        <w:t>Representative fluorescence microscopy images from Figure 1D. One out of three independent experiments is shown. Dashed lines indicate the contour of individual cells. Scale bar: 2 µm.</w:t>
      </w:r>
    </w:p>
    <w:p>
      <w:pPr>
        <w:pStyle w:val="Normal"/>
        <w:spacing w:lineRule="auto" w:line="240"/>
        <w:jc w:val="both"/>
        <w:rPr>
          <w:color w:themeColor="text1" w:val="000000"/>
        </w:rPr>
      </w:pPr>
      <w:r>
        <w:rPr>
          <w:color w:themeColor="text1" w:val="000000"/>
        </w:rPr>
        <w:t xml:space="preserve">D) </w:t>
      </w:r>
      <w:r>
        <w:rPr/>
        <w:t xml:space="preserve">Quantification of Figure 1E. The ratio of bead-bound protein to soluble protein was measured in a box and whiskers plot. </w:t>
      </w:r>
      <w:r>
        <w:rPr>
          <w:color w:themeColor="text1" w:val="000000"/>
        </w:rPr>
        <w:t>Dark horizontal lines represent the median bound protein; box represents the 25</w:t>
      </w:r>
      <w:r>
        <w:rPr>
          <w:color w:themeColor="text1" w:val="000000"/>
          <w:vertAlign w:val="superscript"/>
        </w:rPr>
        <w:t>th</w:t>
      </w:r>
      <w:r>
        <w:rPr>
          <w:color w:themeColor="text1" w:val="000000"/>
        </w:rPr>
        <w:t xml:space="preserve"> to 75</w:t>
      </w:r>
      <w:r>
        <w:rPr>
          <w:color w:themeColor="text1" w:val="000000"/>
          <w:vertAlign w:val="superscript"/>
        </w:rPr>
        <w:t>th</w:t>
      </w:r>
      <w:r>
        <w:rPr>
          <w:color w:themeColor="text1" w:val="000000"/>
        </w:rPr>
        <w:t xml:space="preserve"> percentiles; whiskers expand to the 5</w:t>
      </w:r>
      <w:r>
        <w:rPr>
          <w:color w:themeColor="text1" w:val="000000"/>
          <w:vertAlign w:val="superscript"/>
        </w:rPr>
        <w:t>th</w:t>
      </w:r>
      <w:r>
        <w:rPr>
          <w:color w:themeColor="text1" w:val="000000"/>
        </w:rPr>
        <w:t xml:space="preserve"> and 95</w:t>
      </w:r>
      <w:r>
        <w:rPr>
          <w:color w:themeColor="text1" w:val="000000"/>
          <w:vertAlign w:val="superscript"/>
        </w:rPr>
        <w:t>th</w:t>
      </w:r>
      <w:r>
        <w:rPr>
          <w:color w:themeColor="text1" w:val="000000"/>
        </w:rPr>
        <w:t xml:space="preserve"> percentiles. </w:t>
      </w:r>
      <w:r>
        <w:rPr/>
        <w:t xml:space="preserve">Gray dots indicate the mean value of each biological replicate. Outliers are shown in black. A total of 50 beads from three independent experiments were quantified. Statistical analysis using </w:t>
      </w:r>
      <w:r>
        <w:rPr>
          <w:color w:val="1A1A1A"/>
          <w:shd w:fill="FFFFFF" w:val="clear"/>
        </w:rPr>
        <w:t xml:space="preserve">two-tailed unpaired </w:t>
      </w:r>
      <w:r>
        <w:rPr>
          <w:i/>
          <w:iCs/>
          <w:color w:val="1A1A1A"/>
          <w:shd w:fill="FFFFFF" w:val="clear"/>
        </w:rPr>
        <w:t>t</w:t>
      </w:r>
      <w:r>
        <w:rPr>
          <w:color w:val="1A1A1A"/>
          <w:shd w:fill="FFFFFF" w:val="clear"/>
        </w:rPr>
        <w:t>-test</w:t>
      </w:r>
      <w:r>
        <w:rPr/>
        <w:t>. Significance is indicated with asterisks: ***p &lt; 0.001, **p &lt; 0.01, *p &lt; 0.05, n.s. (not significant) p &gt; 0.05. a.u. = arbitrary units. Exact numerical values are reported in the source data.</w:t>
      </w:r>
      <w:r>
        <w:br w:type="page"/>
      </w:r>
    </w:p>
    <w:p>
      <w:pPr>
        <w:pStyle w:val="Normal"/>
        <w:spacing w:lineRule="auto" w:line="240" w:before="0" w:after="0"/>
        <w:jc w:val="both"/>
        <w:rPr>
          <w:color w:themeColor="text1" w:val="000000"/>
        </w:rPr>
      </w:pPr>
      <w:r>
        <w:rPr/>
        <w:drawing>
          <wp:inline distT="0" distB="0" distL="0" distR="0">
            <wp:extent cx="5257800" cy="79883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257800" cy="7988300"/>
                    </a:xfrm>
                    <a:prstGeom prst="rect">
                      <a:avLst/>
                    </a:prstGeom>
                  </pic:spPr>
                </pic:pic>
              </a:graphicData>
            </a:graphic>
          </wp:inline>
        </w:drawing>
      </w:r>
    </w:p>
    <w:p>
      <w:pPr>
        <w:pStyle w:val="Normal"/>
        <w:spacing w:lineRule="auto" w:line="240"/>
        <w:jc w:val="both"/>
        <w:rPr>
          <w:b/>
          <w:bCs/>
        </w:rPr>
      </w:pPr>
      <w:r>
        <w:rPr>
          <w:b/>
          <w:bCs/>
        </w:rPr>
      </w:r>
    </w:p>
    <w:p>
      <w:pPr>
        <w:pStyle w:val="Normal"/>
        <w:spacing w:lineRule="auto" w:line="240"/>
        <w:jc w:val="both"/>
        <w:rPr>
          <w:b/>
          <w:bCs/>
        </w:rPr>
      </w:pPr>
      <w:r>
        <w:rPr>
          <w:b/>
          <w:bCs/>
        </w:rPr>
        <w:t xml:space="preserve">Figure S2: </w:t>
      </w:r>
      <w:r>
        <w:rPr>
          <w:b/>
          <w:bCs/>
          <w:color w:themeColor="text1" w:val="000000"/>
        </w:rPr>
        <w:t>Atg11 forms initiation hubs on selective cargo</w:t>
      </w:r>
      <w:r>
        <w:rPr>
          <w:b/>
          <w:bCs/>
        </w:rPr>
        <w:t xml:space="preserve">, related to Figure 2 </w:t>
      </w:r>
    </w:p>
    <w:p>
      <w:pPr>
        <w:pStyle w:val="Normal"/>
        <w:spacing w:lineRule="auto" w:line="240"/>
        <w:jc w:val="both"/>
        <w:rPr/>
      </w:pPr>
      <w:r>
        <w:rPr>
          <w:color w:themeColor="text1" w:val="000000"/>
        </w:rPr>
        <w:t>A)</w:t>
      </w:r>
      <w:r>
        <w:rPr>
          <w:color w:themeColor="accent2" w:val="ED7D31"/>
        </w:rPr>
        <w:t xml:space="preserve"> </w:t>
      </w:r>
      <w:r>
        <w:rPr>
          <w:color w:themeColor="text1" w:val="000000"/>
        </w:rPr>
        <w:t>Indicated cells expressing GFP-Atg11, endogenous BFP-Ape1 and copper-inducible untagged Ape1 were grown to mid-log phase in the presence of 50 µM CuSO</w:t>
      </w:r>
      <w:r>
        <w:rPr>
          <w:color w:themeColor="text1" w:val="000000"/>
          <w:vertAlign w:val="subscript"/>
        </w:rPr>
        <w:t>4</w:t>
      </w:r>
      <w:r>
        <w:rPr>
          <w:color w:themeColor="text1" w:val="000000"/>
        </w:rPr>
        <w:t>. Representative fluorescence microscopy images of one out of three independent experiments are shown. Dashed lines indicate the contour of individual cells. Scale bar: 2 µm. The degree of GFP clustering was quantified in three independent biological replicates. For each condition and replicate at least 50 structures were analyzed and plotted in a box and whisker plot. Dark horizontal lines represent the median bound protein; box represents the 25</w:t>
      </w:r>
      <w:r>
        <w:rPr>
          <w:color w:themeColor="text1" w:val="000000"/>
          <w:vertAlign w:val="superscript"/>
        </w:rPr>
        <w:t>th</w:t>
      </w:r>
      <w:r>
        <w:rPr>
          <w:color w:themeColor="text1" w:val="000000"/>
        </w:rPr>
        <w:t xml:space="preserve"> to 75</w:t>
      </w:r>
      <w:r>
        <w:rPr>
          <w:color w:themeColor="text1" w:val="000000"/>
          <w:vertAlign w:val="superscript"/>
        </w:rPr>
        <w:t>th</w:t>
      </w:r>
      <w:r>
        <w:rPr>
          <w:color w:themeColor="text1" w:val="000000"/>
        </w:rPr>
        <w:t xml:space="preserve"> percentiles; whiskers expand to the 5</w:t>
      </w:r>
      <w:r>
        <w:rPr>
          <w:color w:themeColor="text1" w:val="000000"/>
          <w:vertAlign w:val="superscript"/>
        </w:rPr>
        <w:t>th</w:t>
      </w:r>
      <w:r>
        <w:rPr>
          <w:color w:themeColor="text1" w:val="000000"/>
        </w:rPr>
        <w:t xml:space="preserve"> and 95</w:t>
      </w:r>
      <w:r>
        <w:rPr>
          <w:color w:themeColor="text1" w:val="000000"/>
          <w:vertAlign w:val="superscript"/>
        </w:rPr>
        <w:t>th</w:t>
      </w:r>
      <w:r>
        <w:rPr>
          <w:color w:themeColor="text1" w:val="000000"/>
        </w:rPr>
        <w:t xml:space="preserve"> percentiles. Grey</w:t>
      </w:r>
      <w:r>
        <w:rPr/>
        <w:t xml:space="preserve"> dots indicate the mean value of each biological replicate. Outliers are shown as black circles. Statistical analysis using </w:t>
      </w:r>
      <w:r>
        <w:rPr>
          <w:color w:val="1A1A1A"/>
          <w:shd w:fill="FFFFFF" w:val="clear"/>
        </w:rPr>
        <w:t>one-way ANOVA followed by a Dunnett post-hoc test</w:t>
      </w:r>
      <w:r>
        <w:rPr/>
        <w:t xml:space="preserve">. Significance is indicated with asterisks: ***p &lt; 0.001, **p &lt; 0.01, *p &lt; 0.05, n.s. (not significant) p &gt; 0.05. a.u. = arbitrary units. </w:t>
      </w:r>
    </w:p>
    <w:p>
      <w:pPr>
        <w:pStyle w:val="Normal"/>
        <w:spacing w:lineRule="auto" w:line="240"/>
        <w:jc w:val="both"/>
        <w:rPr>
          <w:color w:themeColor="text1" w:val="000000"/>
        </w:rPr>
      </w:pPr>
      <w:r>
        <w:rPr>
          <w:color w:themeColor="text1" w:val="000000"/>
        </w:rPr>
        <w:t xml:space="preserve">B) Quantification of Figure 3C. The size of </w:t>
      </w:r>
      <w:r>
        <w:rPr>
          <w:i/>
          <w:iCs/>
          <w:color w:themeColor="text1" w:val="000000"/>
        </w:rPr>
        <w:t>in vitro</w:t>
      </w:r>
      <w:r>
        <w:rPr>
          <w:color w:themeColor="text1" w:val="000000"/>
        </w:rPr>
        <w:t xml:space="preserve"> formed </w:t>
      </w:r>
      <w:r>
        <w:rPr/>
        <w:t xml:space="preserve">GFP-Atg11 droplets </w:t>
      </w:r>
      <w:r>
        <w:rPr>
          <w:rFonts w:eastAsia="Times New Roman"/>
        </w:rPr>
        <w:t>(µm</w:t>
      </w:r>
      <w:r>
        <w:rPr>
          <w:rFonts w:eastAsia="Times New Roman"/>
          <w:vertAlign w:val="superscript"/>
        </w:rPr>
        <w:t>2</w:t>
      </w:r>
      <w:r>
        <w:rPr>
          <w:rFonts w:eastAsia="Times New Roman"/>
        </w:rPr>
        <w:t xml:space="preserve">) at different protein concentrations </w:t>
      </w:r>
      <w:r>
        <w:rPr/>
        <w:t xml:space="preserve">was measured </w:t>
      </w:r>
      <w:r>
        <w:rPr>
          <w:rFonts w:eastAsia="Times New Roman"/>
        </w:rPr>
        <w:t xml:space="preserve">from </w:t>
      </w:r>
      <w:r>
        <w:rPr/>
        <w:t>brightfield images</w:t>
      </w:r>
      <w:r>
        <w:rPr>
          <w:rFonts w:eastAsia="Times New Roman"/>
        </w:rPr>
        <w:t xml:space="preserve"> of 30 droplets from three independent experiments</w:t>
      </w:r>
      <w:r>
        <w:rPr/>
        <w:t xml:space="preserve"> </w:t>
      </w:r>
      <w:r>
        <w:rPr>
          <w:color w:val="1A1A1A"/>
          <w:shd w:fill="FFFFFF" w:val="clear"/>
        </w:rPr>
        <w:t xml:space="preserve">and represented in a box and whiskers plot. </w:t>
      </w:r>
      <w:r>
        <w:rPr>
          <w:color w:themeColor="text1" w:val="000000"/>
        </w:rPr>
        <w:t>Dark horizontal lines represent the median area size in µm</w:t>
      </w:r>
      <w:r>
        <w:rPr>
          <w:color w:themeColor="text1" w:val="000000"/>
          <w:vertAlign w:val="superscript"/>
        </w:rPr>
        <w:t>2</w:t>
      </w:r>
      <w:r>
        <w:rPr>
          <w:color w:themeColor="text1" w:val="000000"/>
        </w:rPr>
        <w:t>; the box represents the 25</w:t>
      </w:r>
      <w:r>
        <w:rPr>
          <w:color w:themeColor="text1" w:val="000000"/>
          <w:vertAlign w:val="superscript"/>
        </w:rPr>
        <w:t>th</w:t>
      </w:r>
      <w:r>
        <w:rPr>
          <w:color w:themeColor="text1" w:val="000000"/>
        </w:rPr>
        <w:t xml:space="preserve"> to 75</w:t>
      </w:r>
      <w:r>
        <w:rPr>
          <w:color w:themeColor="text1" w:val="000000"/>
          <w:vertAlign w:val="superscript"/>
        </w:rPr>
        <w:t>th</w:t>
      </w:r>
      <w:r>
        <w:rPr>
          <w:color w:themeColor="text1" w:val="000000"/>
        </w:rPr>
        <w:t xml:space="preserve"> percentiles; whiskers expand to the 5</w:t>
      </w:r>
      <w:r>
        <w:rPr>
          <w:color w:themeColor="text1" w:val="000000"/>
          <w:vertAlign w:val="superscript"/>
        </w:rPr>
        <w:t>th</w:t>
      </w:r>
      <w:r>
        <w:rPr>
          <w:color w:themeColor="text1" w:val="000000"/>
        </w:rPr>
        <w:t xml:space="preserve"> and 95</w:t>
      </w:r>
      <w:r>
        <w:rPr>
          <w:color w:themeColor="text1" w:val="000000"/>
          <w:vertAlign w:val="superscript"/>
        </w:rPr>
        <w:t>th</w:t>
      </w:r>
      <w:r>
        <w:rPr>
          <w:color w:themeColor="text1" w:val="000000"/>
        </w:rPr>
        <w:t xml:space="preserve"> percentiles. Outlined circles indicate the mean value of each biological replicate. Outliers are shown as black dots. Statistical analysis was performed using </w:t>
      </w:r>
      <w:r>
        <w:rPr>
          <w:color w:val="1A1A1A"/>
          <w:shd w:fill="FFFFFF" w:val="clear"/>
        </w:rPr>
        <w:t>one-way ANOVA followed by a Dunnett post-hoc test</w:t>
      </w:r>
      <w:r>
        <w:rPr>
          <w:color w:themeColor="text1" w:val="000000"/>
        </w:rPr>
        <w:t xml:space="preserve">. Significance is indicated with asterisks: ***p &lt; 0.001, **p &lt; 0.01, *p &lt; 0.05, n.s. (not significant) p &gt; 0.05. </w:t>
      </w:r>
    </w:p>
    <w:p>
      <w:pPr>
        <w:pStyle w:val="Normal"/>
        <w:spacing w:lineRule="auto" w:line="240"/>
        <w:jc w:val="both"/>
        <w:rPr>
          <w:color w:themeColor="text1" w:val="000000"/>
        </w:rPr>
      </w:pPr>
      <w:r>
        <w:rPr>
          <w:color w:themeColor="text1" w:val="000000"/>
        </w:rPr>
        <w:t xml:space="preserve">C) Quantification of Figure 3E. The size of </w:t>
      </w:r>
      <w:r>
        <w:rPr>
          <w:i/>
          <w:iCs/>
          <w:color w:themeColor="text1" w:val="000000"/>
        </w:rPr>
        <w:t>in vitro</w:t>
      </w:r>
      <w:r>
        <w:rPr>
          <w:color w:themeColor="text1" w:val="000000"/>
        </w:rPr>
        <w:t xml:space="preserve"> formed </w:t>
      </w:r>
      <w:r>
        <w:rPr/>
        <w:t xml:space="preserve">GFP-Atg11 droplets </w:t>
      </w:r>
      <w:r>
        <w:rPr>
          <w:rFonts w:eastAsia="Times New Roman"/>
        </w:rPr>
        <w:t>(µm</w:t>
      </w:r>
      <w:r>
        <w:rPr>
          <w:rFonts w:eastAsia="Times New Roman"/>
          <w:vertAlign w:val="superscript"/>
        </w:rPr>
        <w:t>2</w:t>
      </w:r>
      <w:r>
        <w:rPr>
          <w:rFonts w:eastAsia="Times New Roman"/>
        </w:rPr>
        <w:t xml:space="preserve">) before and after coalescence </w:t>
      </w:r>
      <w:r>
        <w:rPr/>
        <w:t xml:space="preserve">was measured </w:t>
      </w:r>
      <w:r>
        <w:rPr>
          <w:rFonts w:eastAsia="Times New Roman"/>
        </w:rPr>
        <w:t xml:space="preserve">from </w:t>
      </w:r>
      <w:r>
        <w:rPr/>
        <w:t>brightfield images</w:t>
      </w:r>
      <w:r>
        <w:rPr>
          <w:rFonts w:eastAsia="Times New Roman"/>
        </w:rPr>
        <w:t xml:space="preserve"> of a total of 6 coalescence events</w:t>
      </w:r>
      <w:r>
        <w:rPr/>
        <w:t xml:space="preserve"> </w:t>
      </w:r>
      <w:r>
        <w:rPr>
          <w:color w:val="1A1A1A"/>
          <w:shd w:fill="FFFFFF" w:val="clear"/>
        </w:rPr>
        <w:t xml:space="preserve">and represented in a scatter plot. </w:t>
      </w:r>
      <w:r>
        <w:rPr>
          <w:color w:themeColor="text1" w:val="000000"/>
        </w:rPr>
        <w:t>Dark horizontal lines represent the median area size in µm</w:t>
      </w:r>
      <w:r>
        <w:rPr>
          <w:color w:themeColor="text1" w:val="000000"/>
          <w:vertAlign w:val="superscript"/>
        </w:rPr>
        <w:t>2</w:t>
      </w:r>
      <w:r>
        <w:rPr>
          <w:color w:themeColor="text1" w:val="000000"/>
        </w:rPr>
        <w:t xml:space="preserve">; Statistical analysis using </w:t>
      </w:r>
      <w:r>
        <w:rPr>
          <w:rFonts w:eastAsia="Times New Roman"/>
        </w:rPr>
        <w:t>Welch’s </w:t>
      </w:r>
      <w:r>
        <w:rPr>
          <w:i/>
          <w:iCs/>
        </w:rPr>
        <w:t>t</w:t>
      </w:r>
      <w:r>
        <w:rPr/>
        <w:t>-test assuming unequal variances before and after coalescence</w:t>
      </w:r>
      <w:r>
        <w:rPr>
          <w:rFonts w:eastAsia="Times New Roman"/>
        </w:rPr>
        <w:t>. Significance is indicated with an asterisk: ***p&lt;</w:t>
      </w:r>
      <w:r>
        <w:rPr>
          <w:color w:themeColor="text1" w:val="000000"/>
        </w:rPr>
        <w:t xml:space="preserve">0.001, **p&lt;0.01, *p&lt;0.05, n.s (not significant) p&gt;0.05. </w:t>
      </w:r>
    </w:p>
    <w:p>
      <w:pPr>
        <w:pStyle w:val="Normal"/>
        <w:spacing w:lineRule="auto" w:line="240"/>
        <w:jc w:val="both"/>
        <w:rPr/>
      </w:pPr>
      <w:r>
        <w:rPr/>
        <w:t>D)</w:t>
      </w:r>
      <w:r>
        <w:rPr>
          <w:color w:themeColor="text1" w:val="000000"/>
        </w:rPr>
        <w:t xml:space="preserve"> </w:t>
      </w:r>
      <w:r>
        <w:rPr/>
        <w:t>GST-BFP or GST-BFP-Atg19</w:t>
      </w:r>
      <w:r>
        <w:rPr>
          <w:vertAlign w:val="superscript"/>
        </w:rPr>
        <w:t xml:space="preserve">3D </w:t>
      </w:r>
      <w:r>
        <w:rPr/>
        <w:t xml:space="preserve">(a phospho-mimetic mutant of Atg19 known to stably interact with Atg11, S390D, S391D, and S396D </w:t>
      </w:r>
      <w:r>
        <w:fldChar w:fldCharType="begin"/>
      </w:r>
      <w:r>
        <w:rPr/>
        <w:instrText xml:space="preserve">ADDIN ZOTERO_ITEM CSL_CITATION {"citationID":"Nsf21xvP","properties":{"formattedCitation":"\\super 1\\nosupersub{}","plainCitation":"1","noteIndex":0},"citationItems":[{"id":38,"uris":["http://zotero.org/users/local/pqnyHZtz/items/LGVLDEQ4"],"itemData":{"id":38,"type":"article-journal","abstract":"Autophagy is the major pathway for the delivery of cytoplasmic material to the vacuole or lysosome. Selective autophagy is mediated by cargo receptors, which link the cargo to the scaffold protein Atg11 and to Atg8 family proteins on the forming autophagosomal membrane. We show that the essential kinase Hrr25 activates the cargo receptor Atg19 by phosphorylation, which is required to link cargo to the Atg11 scaffold, allowing selective autophagy to proceed. We also find that the Atg34 cargo receptor is regulated in a similar manner, suggesting a conserved mechanism.","container-title":"EMBO reports","language":"en","page":"9","source":"Zotero","title":"Hrr25 kinase promotes selective autophagy by phosphorylating the cargo receptor Atg19","author":[{"family":"Pfaffenwimmer","given":"Thaddaeus"},{"family":"Reiter","given":"Wolfgang"},{"family":"Brach","given":"Thorsten"},{"family":"Nogellova","given":"Veronika"},{"family":"Papinski","given":"Daniel"},{"family":"Schuschnig","given":"Martina"},{"family":"Abert","given":"Christine"},{"family":"Ammerer","given":"Gustav"},{"family":"Martens","given":"Sascha"},{"family":"Kraft","given":"Claudine"}],"issued":{"date-parts":[["2014"]]}}}],"schema":"https://github.com/citation-style-language/schema/raw/master/csl-citation.json"}</w:instrText>
      </w:r>
      <w:r>
        <w:rPr/>
      </w:r>
      <w:r>
        <w:rPr/>
        <w:fldChar w:fldCharType="separate"/>
      </w:r>
      <w:r>
        <w:rPr/>
      </w:r>
      <w:r>
        <w:rPr>
          <w:color w:val="000000"/>
          <w:vertAlign w:val="superscript"/>
        </w:rPr>
        <w:t>1</w:t>
      </w:r>
      <w:r>
        <w:rPr/>
      </w:r>
      <w:r>
        <w:rPr/>
        <w:fldChar w:fldCharType="end"/>
      </w:r>
      <w:r>
        <w:rPr/>
        <w:t xml:space="preserve">) were expressed in </w:t>
      </w:r>
      <w:r>
        <w:rPr>
          <w:i/>
          <w:iCs/>
        </w:rPr>
        <w:t>E. coli</w:t>
      </w:r>
      <w:r>
        <w:rPr/>
        <w:t xml:space="preserve"> and bound to Glutathione Sepharose (GSH) beads. Protein-bound beads were incubated with Sf9 insect cell lysates containing overexpressed GFP-Atg11, and bound GFP-Atg11 was analyzed before and after eight washing steps by fluorescence microscopy. Representative microscopy images from one out of three independent experiments are shown. Scale bar: 20 µm. </w:t>
      </w:r>
    </w:p>
    <w:p>
      <w:pPr>
        <w:pStyle w:val="Normal"/>
        <w:spacing w:lineRule="auto" w:line="240"/>
        <w:rPr/>
      </w:pPr>
      <w:r>
        <w:rPr/>
      </w:r>
      <w:r>
        <w:br w:type="page"/>
      </w:r>
    </w:p>
    <w:p>
      <w:pPr>
        <w:pStyle w:val="Normal"/>
        <w:spacing w:lineRule="auto" w:line="240" w:before="0" w:after="0"/>
        <w:jc w:val="both"/>
        <w:rPr>
          <w:color w:themeColor="accent2" w:val="ED7D31"/>
        </w:rPr>
      </w:pPr>
      <w:r>
        <w:rPr/>
        <w:drawing>
          <wp:inline distT="0" distB="0" distL="0" distR="0">
            <wp:extent cx="5219700" cy="514794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219700" cy="5147945"/>
                    </a:xfrm>
                    <a:prstGeom prst="rect">
                      <a:avLst/>
                    </a:prstGeom>
                  </pic:spPr>
                </pic:pic>
              </a:graphicData>
            </a:graphic>
          </wp:inline>
        </w:drawing>
      </w:r>
    </w:p>
    <w:p>
      <w:pPr>
        <w:pStyle w:val="Normal"/>
        <w:spacing w:lineRule="auto" w:line="240"/>
        <w:jc w:val="both"/>
        <w:rPr/>
      </w:pPr>
      <w:r>
        <w:rPr/>
      </w:r>
    </w:p>
    <w:p>
      <w:pPr>
        <w:pStyle w:val="Normal"/>
        <w:spacing w:lineRule="auto" w:line="240"/>
        <w:jc w:val="both"/>
        <w:rPr>
          <w:b/>
          <w:bCs/>
          <w:color w:themeColor="text1" w:val="000000"/>
        </w:rPr>
      </w:pPr>
      <w:r>
        <w:rPr>
          <w:b/>
          <w:bCs/>
          <w:color w:themeColor="text1" w:val="000000"/>
        </w:rPr>
        <w:t>Figure S3: Initiation hubs on selective cargo are dynamic, related to Figure 3</w:t>
      </w:r>
    </w:p>
    <w:p>
      <w:pPr>
        <w:pStyle w:val="Normal"/>
        <w:spacing w:lineRule="auto" w:line="240"/>
        <w:jc w:val="both"/>
        <w:rPr>
          <w:color w:themeColor="accent2" w:val="ED7D31"/>
        </w:rPr>
      </w:pPr>
      <w:r>
        <w:rPr>
          <w:color w:themeColor="text1" w:val="000000"/>
        </w:rPr>
        <w:t>A) Vac8-mCherry GFP-Atg11 cells expressing endogenous BFP-Ape1 and copper-inducible untagged Ape1 were grown to mid-log phase in the presence of 50 µM CuSO</w:t>
      </w:r>
      <w:r>
        <w:rPr>
          <w:color w:themeColor="text1" w:val="000000"/>
          <w:vertAlign w:val="subscript"/>
        </w:rPr>
        <w:t>4</w:t>
      </w:r>
      <w:r>
        <w:rPr>
          <w:color w:themeColor="text1" w:val="000000"/>
        </w:rPr>
        <w:t>. The dynamics of GFP-Atg11 foci were monitored over a time course of 180 sec (1 frame/20 sec). Representative fluorescence microscopy images of one out of three independent experiments are shown. The kymograph is shown in Figure S3B. Dashed lines indicate the contour of individual cells. Scale bar: 2 µm.</w:t>
      </w:r>
    </w:p>
    <w:p>
      <w:pPr>
        <w:pStyle w:val="Normal"/>
        <w:spacing w:lineRule="auto" w:line="240"/>
        <w:jc w:val="both"/>
        <w:rPr>
          <w:color w:themeColor="text1" w:val="000000"/>
        </w:rPr>
      </w:pPr>
      <w:r>
        <w:rPr>
          <w:color w:themeColor="text1" w:val="000000"/>
        </w:rPr>
        <w:t xml:space="preserve">B) Kymograph to Figure S3A and further representative examples of kymographs. Dashed lines indicate the contour of individual cells. The blue arrow indicates a stable Atg11 cluster. Scale bar: 2 µm. </w:t>
      </w:r>
    </w:p>
    <w:p>
      <w:pPr>
        <w:pStyle w:val="Normal"/>
        <w:spacing w:lineRule="auto" w:line="240"/>
        <w:jc w:val="both"/>
        <w:rPr>
          <w:b/>
          <w:bCs/>
          <w:color w:themeColor="text1" w:val="000000"/>
        </w:rPr>
      </w:pPr>
      <w:r>
        <w:rPr>
          <w:color w:themeColor="text1" w:val="000000"/>
        </w:rPr>
        <w:t xml:space="preserve">C) Purified vacuoles derived from </w:t>
      </w:r>
      <w:r>
        <w:rPr>
          <w:rFonts w:eastAsia="Times New Roman"/>
        </w:rPr>
        <w:t xml:space="preserve">Vph1-4xmCherry </w:t>
      </w:r>
      <w:r>
        <w:rPr>
          <w:rFonts w:eastAsia="Times New Roman"/>
          <w:i/>
          <w:iCs/>
        </w:rPr>
        <w:t>pep4Δ atg15∆</w:t>
      </w:r>
      <w:r>
        <w:rPr>
          <w:rFonts w:eastAsia="Times New Roman"/>
        </w:rPr>
        <w:t xml:space="preserve"> or Vph1-4xmCherry </w:t>
      </w:r>
      <w:r>
        <w:rPr>
          <w:rFonts w:eastAsia="Times New Roman"/>
          <w:i/>
          <w:iCs/>
        </w:rPr>
        <w:t>pep4∆ atg15∆ vac8∆</w:t>
      </w:r>
      <w:r>
        <w:rPr>
          <w:rFonts w:eastAsia="Times New Roman"/>
        </w:rPr>
        <w:t xml:space="preserve"> cells were incubated with recombinant GFP-Atg11 droplets</w:t>
      </w:r>
      <w:r>
        <w:rPr/>
        <w:t xml:space="preserve">. Representative microscopy images </w:t>
      </w:r>
      <w:r>
        <w:rPr>
          <w:color w:themeColor="text1" w:val="000000"/>
        </w:rPr>
        <w:t>of one out of three independent experiments are shown</w:t>
      </w:r>
      <w:r>
        <w:rPr/>
        <w:t>. Scale bar: 1 µm.</w:t>
      </w:r>
      <w:r>
        <w:rPr>
          <w:rFonts w:eastAsia="Times New Roman"/>
        </w:rPr>
        <w:t xml:space="preserve"> </w:t>
      </w:r>
      <w:r>
        <w:rPr/>
        <w:t>The</w:t>
      </w:r>
      <w:r>
        <w:rPr>
          <w:color w:val="1A1A1A"/>
          <w:shd w:fill="FFFFFF" w:val="clear"/>
        </w:rPr>
        <w:t xml:space="preserve"> ratio of Atg11 condensates bound to vacuoles divided by the total number of Atg11 condensates was quantified and normalized to the wild type. </w:t>
      </w:r>
      <w:r>
        <w:rPr>
          <w:color w:themeColor="text1" w:val="000000"/>
        </w:rPr>
        <w:t>For each condition and replicate at least 600 GFP-Atg11 droplets were analyzed. Dark horizontal lines represent the median binding events; the box represents the 25</w:t>
      </w:r>
      <w:r>
        <w:rPr>
          <w:color w:themeColor="text1" w:val="000000"/>
          <w:vertAlign w:val="superscript"/>
        </w:rPr>
        <w:t>th</w:t>
      </w:r>
      <w:r>
        <w:rPr>
          <w:color w:themeColor="text1" w:val="000000"/>
        </w:rPr>
        <w:t xml:space="preserve"> to 75</w:t>
      </w:r>
      <w:r>
        <w:rPr>
          <w:color w:themeColor="text1" w:val="000000"/>
          <w:vertAlign w:val="superscript"/>
        </w:rPr>
        <w:t>th</w:t>
      </w:r>
      <w:r>
        <w:rPr>
          <w:color w:themeColor="text1" w:val="000000"/>
        </w:rPr>
        <w:t xml:space="preserve"> percentiles; whiskers expand to the 5</w:t>
      </w:r>
      <w:r>
        <w:rPr>
          <w:color w:themeColor="text1" w:val="000000"/>
          <w:vertAlign w:val="superscript"/>
        </w:rPr>
        <w:t>th</w:t>
      </w:r>
      <w:r>
        <w:rPr>
          <w:color w:themeColor="text1" w:val="000000"/>
        </w:rPr>
        <w:t xml:space="preserve"> and 95</w:t>
      </w:r>
      <w:r>
        <w:rPr>
          <w:color w:themeColor="text1" w:val="000000"/>
          <w:vertAlign w:val="superscript"/>
        </w:rPr>
        <w:t>th</w:t>
      </w:r>
      <w:r>
        <w:rPr>
          <w:color w:themeColor="text1" w:val="000000"/>
        </w:rPr>
        <w:t xml:space="preserve"> percentiles. Outlined circles indicate the mean value of each biological replicate. Outliers are shown as black dots. Statistical analysis using </w:t>
      </w:r>
      <w:r>
        <w:rPr>
          <w:color w:val="1A1A1A"/>
          <w:shd w:fill="FFFFFF" w:val="clear"/>
        </w:rPr>
        <w:t xml:space="preserve">Welch’s </w:t>
      </w:r>
      <w:r>
        <w:rPr>
          <w:i/>
          <w:iCs/>
          <w:color w:val="1A1A1A"/>
          <w:shd w:fill="FFFFFF" w:val="clear"/>
        </w:rPr>
        <w:t>t</w:t>
      </w:r>
      <w:r>
        <w:rPr>
          <w:color w:val="1A1A1A"/>
          <w:shd w:fill="FFFFFF" w:val="clear"/>
        </w:rPr>
        <w:t>-test</w:t>
      </w:r>
      <w:r>
        <w:rPr>
          <w:color w:themeColor="text1" w:val="000000"/>
        </w:rPr>
        <w:t xml:space="preserve">. Significance is indicated with asterisks: ***p &lt; 0.001, **p &lt; 0.01, *p &lt; 0.05, n.s. (not significant) p &gt; 0.05. a.u. = arbitrary units. </w:t>
      </w:r>
      <w:r>
        <w:br w:type="page"/>
      </w:r>
    </w:p>
    <w:p>
      <w:pPr>
        <w:pStyle w:val="Normal"/>
        <w:spacing w:lineRule="auto" w:line="240" w:before="0" w:after="0"/>
        <w:jc w:val="both"/>
        <w:rPr>
          <w:b/>
          <w:bCs/>
          <w:color w:themeColor="text1" w:val="000000"/>
        </w:rPr>
      </w:pPr>
      <w:r>
        <w:rPr/>
        <w:drawing>
          <wp:inline distT="0" distB="0" distL="0" distR="0">
            <wp:extent cx="5731510" cy="749236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731510" cy="7492365"/>
                    </a:xfrm>
                    <a:prstGeom prst="rect">
                      <a:avLst/>
                    </a:prstGeom>
                  </pic:spPr>
                </pic:pic>
              </a:graphicData>
            </a:graphic>
          </wp:inline>
        </w:drawing>
      </w:r>
    </w:p>
    <w:p>
      <w:pPr>
        <w:pStyle w:val="Normal"/>
        <w:spacing w:lineRule="auto" w:line="240"/>
        <w:jc w:val="both"/>
        <w:rPr>
          <w:b/>
          <w:bCs/>
          <w:color w:themeColor="text1" w:val="000000"/>
        </w:rPr>
      </w:pPr>
      <w:r>
        <w:rPr>
          <w:b/>
          <w:bCs/>
          <w:color w:themeColor="text1" w:val="000000"/>
        </w:rPr>
      </w:r>
    </w:p>
    <w:p>
      <w:pPr>
        <w:pStyle w:val="Normal"/>
        <w:spacing w:lineRule="auto" w:line="240"/>
        <w:jc w:val="both"/>
        <w:rPr>
          <w:b/>
          <w:bCs/>
          <w:color w:themeColor="text1" w:val="000000"/>
        </w:rPr>
      </w:pPr>
      <w:r>
        <w:rPr>
          <w:b/>
          <w:bCs/>
          <w:color w:themeColor="text1" w:val="000000"/>
        </w:rPr>
        <w:t>Figure S4: Initiation hubs coalesce at the vacuolar contact site to trigger phagophore initiation, related to Figure 4</w:t>
      </w:r>
    </w:p>
    <w:p>
      <w:pPr>
        <w:pStyle w:val="Normal"/>
        <w:spacing w:lineRule="auto" w:line="240"/>
        <w:jc w:val="both"/>
        <w:rPr>
          <w:color w:themeColor="text1" w:val="000000"/>
        </w:rPr>
      </w:pPr>
      <w:r>
        <w:rPr>
          <w:color w:themeColor="text1" w:val="000000"/>
        </w:rPr>
        <w:t>A) GFP-Atg11 Vac8-mCherry cells expressing endogenous BFP-Ape1 and copper-inducible untagged Ape1 were grown to mid-log phase in the presence of 50 µM CuSO</w:t>
      </w:r>
      <w:r>
        <w:rPr>
          <w:color w:themeColor="text1" w:val="000000"/>
          <w:vertAlign w:val="subscript"/>
        </w:rPr>
        <w:t>4</w:t>
      </w:r>
      <w:r>
        <w:rPr>
          <w:color w:themeColor="text1" w:val="000000"/>
        </w:rPr>
        <w:t>. The fluorescence profile of GFP (green) and mCherry (magenta) was measured along the Ape1 condensate surface. Representative fluorescence microscopy images of one out of three independent experiments are shown. Dashed lines indicate the contour of individual cells. Scale bar: 2 µm.</w:t>
      </w:r>
    </w:p>
    <w:p>
      <w:pPr>
        <w:pStyle w:val="Normal"/>
        <w:spacing w:lineRule="auto" w:line="240"/>
        <w:jc w:val="both"/>
        <w:rPr>
          <w:color w:themeColor="text1" w:val="000000"/>
        </w:rPr>
      </w:pPr>
      <w:r>
        <w:rPr>
          <w:color w:themeColor="text1" w:val="000000"/>
        </w:rPr>
        <w:t>B)</w:t>
      </w:r>
      <w:r>
        <w:rPr>
          <w:color w:themeColor="accent2" w:val="ED7D31"/>
        </w:rPr>
        <w:t xml:space="preserve"> </w:t>
      </w:r>
      <w:r>
        <w:rPr>
          <w:color w:themeColor="text1" w:val="000000"/>
        </w:rPr>
        <w:t>Cells expressing Ede1-BFP, mScarlet-Atg11, and Vac8-mNeon were grown to mid-log phase. The fluorescence profile of mNeon (green) and mScarlet (magenta) was measured along the Ede1 condensate surface. Representative fluorescence microscopy images of one out of three independent experiments are shown. Dashed lines indicate the contour of individual cells. Scale bar: 2 µm.</w:t>
      </w:r>
    </w:p>
    <w:p>
      <w:pPr>
        <w:pStyle w:val="Normal"/>
        <w:spacing w:lineRule="auto" w:line="240"/>
        <w:jc w:val="both"/>
        <w:rPr>
          <w:color w:themeColor="text1" w:val="000000"/>
        </w:rPr>
      </w:pPr>
      <w:r>
        <w:rPr>
          <w:color w:themeColor="text1" w:val="000000"/>
        </w:rPr>
        <w:t xml:space="preserve">C) GFP-Atg11 or GFP-Atg11 </w:t>
      </w:r>
      <w:r>
        <w:rPr>
          <w:i/>
          <w:iCs/>
          <w:color w:themeColor="text1" w:val="000000"/>
        </w:rPr>
        <w:t xml:space="preserve">vac8∆ </w:t>
      </w:r>
      <w:r>
        <w:rPr>
          <w:color w:themeColor="text1" w:val="000000"/>
        </w:rPr>
        <w:t>cells expressing endogenous BFP-Ape1 and copper-inducible untagged Ape1 were grown to mid-log phase in the presence of 50 µM CuSO</w:t>
      </w:r>
      <w:r>
        <w:rPr>
          <w:color w:themeColor="text1" w:val="000000"/>
          <w:vertAlign w:val="subscript"/>
        </w:rPr>
        <w:t>4</w:t>
      </w:r>
      <w:r>
        <w:rPr>
          <w:color w:themeColor="text1" w:val="000000"/>
        </w:rPr>
        <w:t>. The fluorescence profile of GFP (green) was measured along the Ape1 condensate surface. Representative fluorescence microscopy images of one out of three independent experiments are shown. Dashed lines indicate the contour of individual cells. Scale bar: 2 µm.</w:t>
      </w:r>
    </w:p>
    <w:p>
      <w:pPr>
        <w:pStyle w:val="Normal"/>
        <w:spacing w:lineRule="auto" w:line="240"/>
        <w:jc w:val="both"/>
        <w:rPr>
          <w:color w:themeColor="text1" w:val="000000"/>
        </w:rPr>
      </w:pPr>
      <w:r>
        <w:rPr/>
        <w:t xml:space="preserve">D) </w:t>
      </w:r>
      <w:r>
        <w:rPr>
          <w:color w:themeColor="text1" w:val="000000"/>
        </w:rPr>
        <w:t>Indicated</w:t>
      </w:r>
      <w:r>
        <w:rPr>
          <w:i/>
          <w:iCs/>
          <w:color w:themeColor="text1" w:val="000000"/>
        </w:rPr>
        <w:t xml:space="preserve"> </w:t>
      </w:r>
      <w:r>
        <w:rPr>
          <w:color w:themeColor="text1" w:val="000000"/>
        </w:rPr>
        <w:t>cells expressing Atg19 or Cnb1-Atg19, and GFP-Ape1 and copper-inducible untagged Ape1 or FKBP-GFP-µNS were grown to mid-log phase in the presence of 50 µM CuSO</w:t>
      </w:r>
      <w:r>
        <w:rPr>
          <w:color w:themeColor="text1" w:val="000000"/>
          <w:vertAlign w:val="subscript"/>
        </w:rPr>
        <w:t>4</w:t>
      </w:r>
      <w:r>
        <w:rPr>
          <w:color w:themeColor="text1" w:val="000000"/>
        </w:rPr>
        <w:t xml:space="preserve"> and treated with FK506. GFP cleavage was monitored by TCA precipitation and anti-GFP western blotting. </w:t>
      </w:r>
    </w:p>
    <w:p>
      <w:pPr>
        <w:pStyle w:val="Normal"/>
        <w:spacing w:lineRule="auto" w:line="240"/>
        <w:jc w:val="both"/>
        <w:rPr>
          <w:color w:themeColor="text1" w:val="000000"/>
        </w:rPr>
      </w:pPr>
      <w:r>
        <w:rPr>
          <w:color w:themeColor="text1" w:val="000000"/>
        </w:rPr>
        <w:t>E) Cells from Figure S4D co-expressing mScarlet-Atg11 were monitored by fluorescence microscopy. Representative fluorescence microscopy images of one out of three independent experiments are shown. Dashed lines indicate the contour of individual cells. Scale bar: 2 µm. The degree of Atg11 clustering</w:t>
      </w:r>
      <w:r>
        <w:rPr>
          <w:color w:themeColor="accent2" w:val="ED7D31"/>
        </w:rPr>
        <w:t xml:space="preserve"> </w:t>
      </w:r>
      <w:r>
        <w:rPr>
          <w:color w:themeColor="text1" w:val="000000"/>
        </w:rPr>
        <w:t xml:space="preserve">represented </w:t>
      </w:r>
      <w:r>
        <w:rPr>
          <w:color w:themeColor="text1" w:val="000000"/>
          <w:shd w:fill="FFFFFF" w:val="clear"/>
        </w:rPr>
        <w:t>as the coefficient of variance (SD/mean mScarlet intensity)</w:t>
      </w:r>
      <w:r>
        <w:rPr>
          <w:color w:themeColor="text1" w:val="000000"/>
        </w:rPr>
        <w:t xml:space="preserve"> was analyzed in three independent biological replicates. For each condition and replicate at least 50 structures were analyzed and plotted in a box and whisker plot. Dark horizontal lines represent the median bound protein; box represents the 25</w:t>
      </w:r>
      <w:r>
        <w:rPr>
          <w:color w:themeColor="text1" w:val="000000"/>
          <w:vertAlign w:val="superscript"/>
        </w:rPr>
        <w:t>th</w:t>
      </w:r>
      <w:r>
        <w:rPr>
          <w:color w:themeColor="text1" w:val="000000"/>
        </w:rPr>
        <w:t xml:space="preserve"> to 75</w:t>
      </w:r>
      <w:r>
        <w:rPr>
          <w:color w:themeColor="text1" w:val="000000"/>
          <w:vertAlign w:val="superscript"/>
        </w:rPr>
        <w:t>th</w:t>
      </w:r>
      <w:r>
        <w:rPr>
          <w:color w:themeColor="text1" w:val="000000"/>
        </w:rPr>
        <w:t xml:space="preserve"> percentiles; whiskers expand to the 5</w:t>
      </w:r>
      <w:r>
        <w:rPr>
          <w:color w:themeColor="text1" w:val="000000"/>
          <w:vertAlign w:val="superscript"/>
        </w:rPr>
        <w:t>th</w:t>
      </w:r>
      <w:r>
        <w:rPr>
          <w:color w:themeColor="text1" w:val="000000"/>
        </w:rPr>
        <w:t xml:space="preserve"> and 95</w:t>
      </w:r>
      <w:r>
        <w:rPr>
          <w:color w:themeColor="text1" w:val="000000"/>
          <w:vertAlign w:val="superscript"/>
        </w:rPr>
        <w:t>th</w:t>
      </w:r>
      <w:r>
        <w:rPr>
          <w:color w:themeColor="text1" w:val="000000"/>
        </w:rPr>
        <w:t xml:space="preserve"> percentiles. Grey</w:t>
      </w:r>
      <w:r>
        <w:rPr/>
        <w:t xml:space="preserve"> dots indicate the mean value of each biological replicate. Outliers are shown as black circles. Statistical analysis using </w:t>
      </w:r>
      <w:r>
        <w:rPr>
          <w:color w:val="1A1A1A"/>
          <w:shd w:fill="FFFFFF" w:val="clear"/>
        </w:rPr>
        <w:t xml:space="preserve">one-tailed unpaired </w:t>
      </w:r>
      <w:r>
        <w:rPr>
          <w:i/>
          <w:iCs/>
          <w:color w:val="1A1A1A"/>
          <w:shd w:fill="FFFFFF" w:val="clear"/>
        </w:rPr>
        <w:t>t</w:t>
      </w:r>
      <w:r>
        <w:rPr>
          <w:color w:val="1A1A1A"/>
          <w:shd w:fill="FFFFFF" w:val="clear"/>
        </w:rPr>
        <w:t>-test</w:t>
      </w:r>
      <w:r>
        <w:rPr/>
        <w:t xml:space="preserve">. Significance is indicated with asterisks: ***p &lt; 0.001, **p &lt; 0.01, *p &lt; 0.05, n.s. (not significant) p &gt; 0.05. a.u. = arbitrary units. </w:t>
      </w:r>
    </w:p>
    <w:p>
      <w:pPr>
        <w:pStyle w:val="Normal"/>
        <w:spacing w:lineRule="auto" w:line="240"/>
        <w:jc w:val="both"/>
        <w:rPr>
          <w:color w:themeColor="text1" w:val="000000"/>
        </w:rPr>
      </w:pPr>
      <w:r>
        <w:rPr>
          <w:color w:themeColor="text1" w:val="000000"/>
        </w:rPr>
      </w:r>
    </w:p>
    <w:p>
      <w:pPr>
        <w:pStyle w:val="Normal"/>
        <w:spacing w:lineRule="auto" w:line="240"/>
        <w:jc w:val="both"/>
        <w:rPr>
          <w:color w:themeColor="text1" w:val="000000"/>
        </w:rPr>
      </w:pPr>
      <w:r>
        <w:rPr>
          <w:color w:themeColor="text1" w:val="000000"/>
        </w:rPr>
      </w:r>
    </w:p>
    <w:p>
      <w:pPr>
        <w:pStyle w:val="Normal"/>
        <w:spacing w:lineRule="auto" w:line="240"/>
        <w:rPr>
          <w:b/>
          <w:bCs/>
        </w:rPr>
      </w:pPr>
      <w:r>
        <w:rPr>
          <w:b/>
          <w:bCs/>
        </w:rPr>
      </w:r>
      <w:r>
        <w:br w:type="page"/>
      </w:r>
    </w:p>
    <w:p>
      <w:pPr>
        <w:pStyle w:val="Normal"/>
        <w:spacing w:lineRule="auto" w:line="240" w:before="0" w:after="0"/>
        <w:jc w:val="both"/>
        <w:rPr>
          <w:b/>
          <w:bCs/>
        </w:rPr>
      </w:pPr>
      <w:r>
        <w:rPr/>
        <w:drawing>
          <wp:inline distT="0" distB="0" distL="0" distR="0">
            <wp:extent cx="5731510" cy="641858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731510" cy="6418580"/>
                    </a:xfrm>
                    <a:prstGeom prst="rect">
                      <a:avLst/>
                    </a:prstGeom>
                  </pic:spPr>
                </pic:pic>
              </a:graphicData>
            </a:graphic>
          </wp:inline>
        </w:drawing>
      </w:r>
    </w:p>
    <w:p>
      <w:pPr>
        <w:pStyle w:val="Normal"/>
        <w:spacing w:lineRule="auto" w:line="240"/>
        <w:jc w:val="both"/>
        <w:rPr>
          <w:b/>
          <w:bCs/>
        </w:rPr>
      </w:pPr>
      <w:r>
        <w:rPr>
          <w:b/>
          <w:bCs/>
        </w:rPr>
      </w:r>
    </w:p>
    <w:p>
      <w:pPr>
        <w:pStyle w:val="Normal"/>
        <w:spacing w:lineRule="auto" w:line="240"/>
        <w:jc w:val="both"/>
        <w:rPr>
          <w:b/>
          <w:bCs/>
          <w:color w:themeColor="text1" w:val="000000"/>
        </w:rPr>
      </w:pPr>
      <w:r>
        <w:rPr>
          <w:b/>
          <w:bCs/>
        </w:rPr>
        <w:t xml:space="preserve">Figure S5: </w:t>
      </w:r>
      <w:r>
        <w:rPr>
          <w:b/>
          <w:bCs/>
          <w:color w:themeColor="text1" w:val="000000"/>
        </w:rPr>
        <w:t>Autophagy initiation hubs are conserved in human cells</w:t>
      </w:r>
      <w:r>
        <w:rPr>
          <w:b/>
          <w:bCs/>
        </w:rPr>
        <w:t>, related to Figure 4</w:t>
      </w:r>
    </w:p>
    <w:p>
      <w:pPr>
        <w:pStyle w:val="Normal"/>
        <w:spacing w:lineRule="auto" w:line="240"/>
        <w:jc w:val="both"/>
        <w:rPr>
          <w:color w:themeColor="text1" w:val="000000"/>
        </w:rPr>
      </w:pPr>
      <w:r>
        <w:rPr/>
        <w:t xml:space="preserve">A) Quantification of Figure 5A. </w:t>
      </w:r>
      <w:r>
        <w:rPr>
          <w:color w:themeColor="text1" w:val="000000"/>
        </w:rPr>
        <w:t xml:space="preserve">The percentage of cells containing GFP-ULK1 foci was quantified from four independent experiments. A total of more than 130 cells was quantified per condition. </w:t>
      </w:r>
      <w:r>
        <w:rPr/>
        <w:t xml:space="preserve">Statistical analysis using </w:t>
      </w:r>
      <w:r>
        <w:rPr>
          <w:color w:val="1A1A1A"/>
          <w:shd w:fill="FFFFFF" w:val="clear"/>
        </w:rPr>
        <w:t xml:space="preserve">one-tailed unpaired </w:t>
      </w:r>
      <w:r>
        <w:rPr>
          <w:i/>
          <w:iCs/>
          <w:color w:val="1A1A1A"/>
          <w:shd w:fill="FFFFFF" w:val="clear"/>
        </w:rPr>
        <w:t>t</w:t>
      </w:r>
      <w:r>
        <w:rPr>
          <w:color w:val="1A1A1A"/>
          <w:shd w:fill="FFFFFF" w:val="clear"/>
        </w:rPr>
        <w:t>-test</w:t>
      </w:r>
      <w:r>
        <w:rPr/>
        <w:t xml:space="preserve">. Significance is indicated with asterisks: ***p &lt; 0.001, **p &lt; 0.01, *p &lt; 0.05, n.s. (not significant) p &gt; 0.05. a.u. = arbitrary units. </w:t>
      </w:r>
    </w:p>
    <w:p>
      <w:pPr>
        <w:pStyle w:val="Normal"/>
        <w:spacing w:lineRule="auto" w:line="240"/>
        <w:jc w:val="both"/>
        <w:rPr>
          <w:color w:themeColor="text1" w:val="000000"/>
        </w:rPr>
      </w:pPr>
      <w:r>
        <w:rPr/>
        <w:t xml:space="preserve">B) </w:t>
      </w:r>
      <w:r>
        <w:rPr>
          <w:color w:themeColor="text1" w:val="000000"/>
        </w:rPr>
        <w:t xml:space="preserve">U2OS cells transfected with mCherry-LC3 and YFP-Parkin were stained with MitoTracker DeepRed. Mitophagy was induced by antimycin A and oligomycin (AO) treatment. Representative live fluorescence microscopy images of one out of three independent experiments are shown. Dashed lines indicate the contour of individual cells. Scale bar: 10 µm, scale bar inset: 1 µm. The percentage of cells containing mCherry-LC3 foci was quantified from three independent experiments. A total of at least 50 cells was quantified per condition. </w:t>
      </w:r>
      <w:r>
        <w:rPr/>
        <w:t xml:space="preserve">Statistical analysis using </w:t>
      </w:r>
      <w:r>
        <w:rPr>
          <w:color w:val="1A1A1A"/>
          <w:shd w:fill="FFFFFF" w:val="clear"/>
        </w:rPr>
        <w:t xml:space="preserve">one-tailed unpaired </w:t>
      </w:r>
      <w:r>
        <w:rPr>
          <w:i/>
          <w:iCs/>
          <w:color w:val="1A1A1A"/>
          <w:shd w:fill="FFFFFF" w:val="clear"/>
        </w:rPr>
        <w:t>t</w:t>
      </w:r>
      <w:r>
        <w:rPr>
          <w:color w:val="1A1A1A"/>
          <w:shd w:fill="FFFFFF" w:val="clear"/>
        </w:rPr>
        <w:t>-test</w:t>
      </w:r>
      <w:r>
        <w:rPr/>
        <w:t xml:space="preserve">. Significance is indicated with asterisks: ***p &lt; 0.001, **p &lt; 0.01, *p &lt; 0.05, n.s. (not significant) p &gt; 0.05. a.u. = arbitrary units. </w:t>
      </w:r>
    </w:p>
    <w:p>
      <w:pPr>
        <w:pStyle w:val="Normal"/>
        <w:spacing w:lineRule="auto" w:line="240"/>
        <w:jc w:val="both"/>
        <w:rPr/>
      </w:pPr>
      <w:r>
        <w:rPr>
          <w:color w:themeColor="text1" w:val="000000"/>
        </w:rPr>
        <w:t>C) U2OS wild type cells stably expressing mito-mKeima and FRB-FIS</w:t>
      </w:r>
      <w:r>
        <w:rPr>
          <w:color w:themeColor="text1" w:val="000000"/>
          <w:vertAlign w:val="superscript"/>
        </w:rPr>
        <w:t>93-152</w:t>
      </w:r>
      <w:r>
        <w:rPr>
          <w:color w:themeColor="text1" w:val="000000"/>
        </w:rPr>
        <w:t xml:space="preserve"> and FKBP-GFP-ULK1 were grown in nutrient-rich media and treated with Bafilomycin A1 (Baf) and rapalog. Gating for GFP-expressing cells was performed. </w:t>
      </w:r>
      <w:r>
        <w:rPr/>
        <w:t>The mito-mKeima ratio of lysosomal mitochondria (561 nm) to cytosolic mitochondria (488 nm) was analyzed by FACS. Quantification was performed from two independent biological replicates and is shown as a ratio normalized to the Bafilomycin treatment.</w:t>
      </w:r>
    </w:p>
    <w:p>
      <w:pPr>
        <w:pStyle w:val="Normal"/>
        <w:spacing w:lineRule="auto" w:line="240"/>
        <w:jc w:val="both"/>
        <w:rPr>
          <w:color w:themeColor="text1" w:val="000000"/>
        </w:rPr>
      </w:pPr>
      <w:r>
        <w:rPr/>
        <w:t xml:space="preserve">D) </w:t>
      </w:r>
      <w:r>
        <w:rPr>
          <w:color w:themeColor="text1" w:val="000000"/>
        </w:rPr>
        <w:t>U2OS cells containing FRB-FIS1</w:t>
      </w:r>
      <w:r>
        <w:rPr>
          <w:color w:themeColor="text1" w:val="000000"/>
          <w:vertAlign w:val="superscript"/>
        </w:rPr>
        <w:t>93-152</w:t>
      </w:r>
      <w:r>
        <w:rPr>
          <w:color w:themeColor="text1" w:val="000000"/>
        </w:rPr>
        <w:t xml:space="preserve"> and transfected FKBP-GFP-ULK1 or FKBP-GFP were cultured in nutrient-rich medium and treated with rapalog. Mitochondria were stained with MitoTracker DeepRed. Representative fluorescence microscopy images of one out of three independent experiments are shown. Scale bar: 10 µm, scale bar inset: 1 µm. All GFP-positive cells showed the respective phenotype (foci on mitochondria for FKBP-GFP-ULK1 and all along the mitochondrial network for FKBP-GFP) and were therefore not quantified. </w:t>
      </w:r>
    </w:p>
    <w:p>
      <w:pPr>
        <w:pStyle w:val="Normal"/>
        <w:spacing w:lineRule="auto" w:line="240"/>
        <w:jc w:val="both"/>
        <w:rPr>
          <w:color w:themeColor="text1" w:val="000000"/>
        </w:rPr>
      </w:pPr>
      <w:r>
        <w:rPr/>
        <w:t xml:space="preserve">E) </w:t>
      </w:r>
      <w:r>
        <w:rPr>
          <w:color w:themeColor="text1" w:val="000000"/>
        </w:rPr>
        <w:t>Quantification of Figure 5C. The percentage of cells containing GFP-ULK1 colocalizing with mitochondria was quantified from two independent experiments. A total of at least 50 cells was quantified per condition.</w:t>
      </w:r>
      <w:r>
        <w:rPr/>
        <w:t xml:space="preserve"> Statistical analysis using </w:t>
      </w:r>
      <w:r>
        <w:rPr>
          <w:color w:val="1A1A1A"/>
          <w:shd w:fill="FFFFFF" w:val="clear"/>
        </w:rPr>
        <w:t>one-way ANOVA followed by Dunnett post-hoc test</w:t>
      </w:r>
      <w:r>
        <w:rPr/>
        <w:t xml:space="preserve">. Significance is indicated with asterisks: ***p &lt; 0.001, **p &lt; 0.01, *p &lt; 0.05, n.s. (not significant) p &gt; 0.05. a.u. = arbitrary units. </w:t>
      </w:r>
    </w:p>
    <w:p>
      <w:pPr>
        <w:pStyle w:val="Normal"/>
        <w:spacing w:lineRule="auto" w:line="240"/>
        <w:jc w:val="both"/>
        <w:rPr>
          <w:color w:themeColor="text1" w:val="000000"/>
        </w:rPr>
      </w:pPr>
      <w:r>
        <w:rPr/>
        <w:t xml:space="preserve">F) </w:t>
      </w:r>
      <w:r>
        <w:rPr>
          <w:color w:themeColor="text1" w:val="000000"/>
        </w:rPr>
        <w:t>U2OS cells containing FRB-FIS1</w:t>
      </w:r>
      <w:r>
        <w:rPr>
          <w:color w:themeColor="text1" w:val="000000"/>
          <w:vertAlign w:val="superscript"/>
        </w:rPr>
        <w:t>93-152</w:t>
      </w:r>
      <w:r>
        <w:rPr>
          <w:color w:themeColor="text1" w:val="000000"/>
        </w:rPr>
        <w:t xml:space="preserve"> and transfected FKBP-GFP-ULK1 and mScarlet-FIP200 were cultured in nutrient-rich medium and rapalog treated. Representative live fluorescence microscopy images of one out of two independent experiments are shown. Scale bar: 10 µm, scale bar inset: 1 µm. The percentage of cells containing mScarlet-FIP200 foci colocalizing with FKBP-GFP-ULK1 foci was quantified from two independent experiments. A total of more than 50 cells was quantified per condition.</w:t>
      </w:r>
      <w:r>
        <w:rPr/>
        <w:t xml:space="preserve"> Statistical analysis using </w:t>
      </w:r>
      <w:r>
        <w:rPr>
          <w:color w:val="1A1A1A"/>
          <w:shd w:fill="FFFFFF" w:val="clear"/>
        </w:rPr>
        <w:t xml:space="preserve">one-tailed unpaired </w:t>
      </w:r>
      <w:r>
        <w:rPr>
          <w:i/>
          <w:iCs/>
          <w:color w:val="1A1A1A"/>
          <w:shd w:fill="FFFFFF" w:val="clear"/>
        </w:rPr>
        <w:t>t</w:t>
      </w:r>
      <w:r>
        <w:rPr>
          <w:color w:val="1A1A1A"/>
          <w:shd w:fill="FFFFFF" w:val="clear"/>
        </w:rPr>
        <w:t>-test</w:t>
      </w:r>
      <w:r>
        <w:rPr/>
        <w:t xml:space="preserve">. Significance is indicated with asterisks: ***p &lt; 0.001, **p &lt; 0.01, *p &lt; 0.05, n.s. (not significant) p &gt; 0.05. a.u. = arbitrary units. </w:t>
      </w:r>
    </w:p>
    <w:p>
      <w:pPr>
        <w:pStyle w:val="Normal"/>
        <w:spacing w:lineRule="auto" w:line="240"/>
        <w:rPr>
          <w:color w:themeColor="text1" w:val="000000"/>
        </w:rPr>
      </w:pPr>
      <w:r>
        <w:rPr>
          <w:color w:themeColor="text1" w:val="000000"/>
        </w:rPr>
      </w:r>
      <w:r>
        <w:br w:type="page"/>
      </w:r>
    </w:p>
    <w:p>
      <w:pPr>
        <w:pStyle w:val="Normal"/>
        <w:spacing w:lineRule="auto" w:line="240" w:before="0" w:after="0"/>
        <w:jc w:val="both"/>
        <w:rPr>
          <w:b/>
          <w:bCs/>
        </w:rPr>
      </w:pPr>
      <w:r>
        <w:rPr/>
        <w:drawing>
          <wp:inline distT="0" distB="0" distL="0" distR="0">
            <wp:extent cx="5731510" cy="62103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731510" cy="6210300"/>
                    </a:xfrm>
                    <a:prstGeom prst="rect">
                      <a:avLst/>
                    </a:prstGeom>
                  </pic:spPr>
                </pic:pic>
              </a:graphicData>
            </a:graphic>
          </wp:inline>
        </w:drawing>
      </w:r>
    </w:p>
    <w:p>
      <w:pPr>
        <w:pStyle w:val="Normal"/>
        <w:spacing w:lineRule="auto" w:line="240"/>
        <w:jc w:val="both"/>
        <w:rPr>
          <w:b/>
          <w:bCs/>
        </w:rPr>
      </w:pPr>
      <w:r>
        <w:rPr>
          <w:b/>
          <w:bCs/>
        </w:rPr>
      </w:r>
    </w:p>
    <w:p>
      <w:pPr>
        <w:pStyle w:val="Normal"/>
        <w:spacing w:lineRule="auto" w:line="240"/>
        <w:jc w:val="both"/>
        <w:rPr>
          <w:b/>
          <w:bCs/>
        </w:rPr>
      </w:pPr>
      <w:r>
        <w:rPr>
          <w:b/>
          <w:bCs/>
        </w:rPr>
        <w:t>Figure S6: Initiation hubs establish ER connections, related to Figure 5</w:t>
      </w:r>
    </w:p>
    <w:p>
      <w:pPr>
        <w:pStyle w:val="Normal"/>
        <w:spacing w:lineRule="auto" w:line="240"/>
        <w:jc w:val="both"/>
        <w:rPr>
          <w:color w:themeColor="text1" w:val="000000"/>
        </w:rPr>
      </w:pPr>
      <w:r>
        <w:rPr>
          <w:color w:themeColor="text1" w:val="000000"/>
        </w:rPr>
        <w:t>A) Schematic representation of the proximity biotinylation setup. FKBP-APEX2-ULK1 is tethered to mitochondrial FIS1-FRB by rapalog addition. FIP200 connects this mitochondrial assembly to the ER. Proximity biotinylation is induced by the addition of biotin-phenol and H</w:t>
      </w:r>
      <w:r>
        <w:rPr>
          <w:color w:themeColor="text1" w:val="000000"/>
          <w:vertAlign w:val="subscript"/>
        </w:rPr>
        <w:t>2</w:t>
      </w:r>
      <w:r>
        <w:rPr>
          <w:color w:themeColor="text1" w:val="000000"/>
        </w:rPr>
        <w:t>O</w:t>
      </w:r>
      <w:r>
        <w:rPr>
          <w:color w:themeColor="text1" w:val="000000"/>
          <w:vertAlign w:val="subscript"/>
        </w:rPr>
        <w:t>2</w:t>
      </w:r>
      <w:r>
        <w:rPr>
          <w:color w:themeColor="text1" w:val="000000"/>
        </w:rPr>
        <w:t>. Biotinylated proteins are isolated by affinity purification with streptavidin beads and analyzed by mass spectrometry.</w:t>
      </w:r>
    </w:p>
    <w:p>
      <w:pPr>
        <w:pStyle w:val="Normal"/>
        <w:spacing w:lineRule="auto" w:line="240"/>
        <w:jc w:val="both"/>
        <w:rPr/>
      </w:pPr>
      <w:r>
        <w:rPr/>
        <w:t xml:space="preserve">B) </w:t>
      </w:r>
      <w:r>
        <w:rPr>
          <w:color w:themeColor="text1" w:val="000000"/>
        </w:rPr>
        <w:t>Mass spectrometry data from Figure 5D: The Kernel density estimate (KDE) plot depicts a comparison between the FKBP-APEX2 and FKBP-APEX2-ULK1 data that is positive for the Gene Ontology (GO) term 'autophagy' (GO:0006914).</w:t>
      </w:r>
    </w:p>
    <w:p>
      <w:pPr>
        <w:pStyle w:val="Normal"/>
        <w:spacing w:lineRule="auto" w:line="240"/>
        <w:jc w:val="both"/>
        <w:rPr>
          <w:color w:themeColor="text1" w:val="000000"/>
        </w:rPr>
      </w:pPr>
      <w:r>
        <w:rPr/>
        <w:t xml:space="preserve">C) </w:t>
      </w:r>
      <w:r>
        <w:rPr>
          <w:color w:themeColor="text1" w:val="000000"/>
        </w:rPr>
        <w:t>Mass spectrometry data from Figure 5E: The Kernel density estimate (KDE) plot, shows the comparison FKBP-APEX2-ULK1 WT vs FKBP-APEX2-ULK1 siFIP200 of all proteins that are positive for the Gene Ontology (GO) term “ER membrane” (GO:0005789). The samples were control-corrected before the analysis.</w:t>
      </w:r>
      <w:r>
        <w:br w:type="page"/>
      </w:r>
    </w:p>
    <w:tbl>
      <w:tblPr>
        <w:tblW w:w="9994" w:type="dxa"/>
        <w:jc w:val="left"/>
        <w:tblInd w:w="-480" w:type="dxa"/>
        <w:tblLayout w:type="fixed"/>
        <w:tblCellMar>
          <w:top w:w="0" w:type="dxa"/>
          <w:left w:w="108" w:type="dxa"/>
          <w:bottom w:w="0" w:type="dxa"/>
          <w:right w:w="108" w:type="dxa"/>
        </w:tblCellMar>
        <w:tblLook w:val="04a0" w:noHBand="0" w:noVBand="1" w:firstColumn="1" w:lastRow="0" w:lastColumn="0" w:firstRow="1"/>
      </w:tblPr>
      <w:tblGrid>
        <w:gridCol w:w="793"/>
        <w:gridCol w:w="457"/>
        <w:gridCol w:w="4712"/>
        <w:gridCol w:w="920"/>
        <w:gridCol w:w="666"/>
        <w:gridCol w:w="608"/>
        <w:gridCol w:w="1325"/>
        <w:gridCol w:w="512"/>
      </w:tblGrid>
      <w:tr>
        <w:trPr>
          <w:trHeight w:val="315" w:hRule="atLeast"/>
        </w:trPr>
        <w:tc>
          <w:tcPr>
            <w:tcW w:w="9481" w:type="dxa"/>
            <w:gridSpan w:val="7"/>
            <w:tcBorders/>
            <w:shd w:color="auto" w:fill="auto" w:val="clear"/>
            <w:vAlign w:val="bottom"/>
          </w:tcPr>
          <w:p>
            <w:pPr>
              <w:pStyle w:val="Normal"/>
              <w:pageBreakBefore/>
              <w:spacing w:lineRule="auto" w:line="240" w:before="0" w:after="0"/>
              <w:rPr>
                <w:b/>
                <w:bCs/>
                <w:color w:themeColor="text1" w:val="000000"/>
                <w:sz w:val="28"/>
                <w:szCs w:val="28"/>
              </w:rPr>
            </w:pPr>
            <w:r>
              <w:rPr>
                <w:b/>
                <w:bCs/>
                <w:color w:themeColor="text1" w:val="000000"/>
                <w:sz w:val="28"/>
                <w:szCs w:val="28"/>
              </w:rPr>
              <w:t>Supplementary Tables</w:t>
            </w:r>
          </w:p>
          <w:p>
            <w:pPr>
              <w:pStyle w:val="Normal"/>
              <w:spacing w:lineRule="auto" w:line="240"/>
              <w:rPr>
                <w:b/>
                <w:bCs/>
                <w:color w:themeColor="text1" w:val="000000"/>
                <w:sz w:val="28"/>
                <w:szCs w:val="28"/>
              </w:rPr>
            </w:pPr>
            <w:r>
              <w:rPr>
                <w:b/>
                <w:bCs/>
                <w:color w:themeColor="text1" w:val="000000"/>
                <w:sz w:val="28"/>
                <w:szCs w:val="28"/>
              </w:rPr>
            </w:r>
          </w:p>
          <w:p>
            <w:pPr>
              <w:pStyle w:val="Normal"/>
              <w:spacing w:lineRule="auto" w:line="240"/>
              <w:rPr>
                <w:b/>
                <w:bCs/>
                <w:color w:themeColor="text1" w:val="000000"/>
              </w:rPr>
            </w:pPr>
            <w:r>
              <w:rPr>
                <w:b/>
                <w:bCs/>
                <w:color w:themeColor="text1" w:val="000000"/>
              </w:rPr>
              <w:t>Appendix Table S1 – Mammalian plasmids used in this study</w:t>
            </w:r>
          </w:p>
        </w:tc>
        <w:tc>
          <w:tcPr>
            <w:tcW w:w="512" w:type="dxa"/>
            <w:tcBorders/>
          </w:tcPr>
          <w:p>
            <w:pPr>
              <w:pStyle w:val="Normal"/>
              <w:rPr/>
            </w:pPr>
            <w:r>
              <w:rPr/>
            </w:r>
          </w:p>
        </w:tc>
      </w:tr>
      <w:tr>
        <w:trPr>
          <w:trHeight w:val="162" w:hRule="atLeast"/>
        </w:trPr>
        <w:tc>
          <w:tcPr>
            <w:tcW w:w="793" w:type="dxa"/>
            <w:tcBorders/>
            <w:shd w:color="auto" w:fill="auto" w:val="clear"/>
            <w:vAlign w:val="bottom"/>
          </w:tcPr>
          <w:p>
            <w:pPr>
              <w:pStyle w:val="Normal"/>
              <w:spacing w:lineRule="auto" w:line="240"/>
              <w:rPr>
                <w:b/>
                <w:bCs/>
                <w:color w:themeColor="text1" w:val="000000"/>
                <w:sz w:val="16"/>
                <w:szCs w:val="16"/>
              </w:rPr>
            </w:pPr>
            <w:r>
              <w:rPr>
                <w:b/>
                <w:bCs/>
                <w:color w:themeColor="text1" w:val="000000"/>
                <w:sz w:val="16"/>
                <w:szCs w:val="16"/>
              </w:rPr>
            </w:r>
          </w:p>
        </w:tc>
        <w:tc>
          <w:tcPr>
            <w:tcW w:w="5169" w:type="dxa"/>
            <w:gridSpan w:val="2"/>
            <w:tcBorders/>
            <w:shd w:color="auto" w:fill="auto" w:val="clear"/>
            <w:vAlign w:val="bottom"/>
          </w:tcPr>
          <w:p>
            <w:pPr>
              <w:pStyle w:val="Normal"/>
              <w:spacing w:lineRule="auto" w:line="240"/>
              <w:rPr>
                <w:color w:themeColor="text1" w:val="000000"/>
                <w:sz w:val="16"/>
                <w:szCs w:val="16"/>
              </w:rPr>
            </w:pPr>
            <w:r>
              <w:rPr>
                <w:color w:themeColor="text1" w:val="000000"/>
                <w:sz w:val="16"/>
                <w:szCs w:val="16"/>
              </w:rPr>
            </w:r>
          </w:p>
        </w:tc>
        <w:tc>
          <w:tcPr>
            <w:tcW w:w="920" w:type="dxa"/>
            <w:tcBorders/>
            <w:shd w:color="auto" w:fill="auto" w:val="clear"/>
            <w:vAlign w:val="bottom"/>
          </w:tcPr>
          <w:p>
            <w:pPr>
              <w:pStyle w:val="Normal"/>
              <w:spacing w:lineRule="auto" w:line="240"/>
              <w:rPr>
                <w:color w:themeColor="text1" w:val="000000"/>
                <w:sz w:val="16"/>
                <w:szCs w:val="16"/>
              </w:rPr>
            </w:pPr>
            <w:r>
              <w:rPr>
                <w:color w:themeColor="text1" w:val="000000"/>
                <w:sz w:val="16"/>
                <w:szCs w:val="16"/>
              </w:rPr>
            </w:r>
          </w:p>
        </w:tc>
        <w:tc>
          <w:tcPr>
            <w:tcW w:w="666" w:type="dxa"/>
            <w:tcBorders/>
            <w:shd w:color="auto" w:fill="auto" w:val="clear"/>
            <w:vAlign w:val="bottom"/>
          </w:tcPr>
          <w:p>
            <w:pPr>
              <w:pStyle w:val="Normal"/>
              <w:spacing w:lineRule="auto" w:line="240"/>
              <w:rPr>
                <w:color w:themeColor="text1" w:val="000000"/>
                <w:sz w:val="16"/>
                <w:szCs w:val="16"/>
              </w:rPr>
            </w:pPr>
            <w:r>
              <w:rPr>
                <w:color w:themeColor="text1" w:val="000000"/>
                <w:sz w:val="16"/>
                <w:szCs w:val="16"/>
              </w:rPr>
            </w:r>
          </w:p>
        </w:tc>
        <w:tc>
          <w:tcPr>
            <w:tcW w:w="1933" w:type="dxa"/>
            <w:gridSpan w:val="2"/>
            <w:tcBorders/>
            <w:shd w:color="auto" w:fill="auto" w:val="clear"/>
            <w:vAlign w:val="bottom"/>
          </w:tcPr>
          <w:p>
            <w:pPr>
              <w:pStyle w:val="Normal"/>
              <w:spacing w:lineRule="auto" w:line="240"/>
              <w:rPr>
                <w:color w:themeColor="text1" w:val="000000"/>
                <w:sz w:val="16"/>
                <w:szCs w:val="16"/>
              </w:rPr>
            </w:pPr>
            <w:r>
              <w:rPr>
                <w:color w:themeColor="text1" w:val="000000"/>
                <w:sz w:val="16"/>
                <w:szCs w:val="16"/>
              </w:rPr>
            </w:r>
          </w:p>
        </w:tc>
        <w:tc>
          <w:tcPr>
            <w:tcW w:w="512" w:type="dxa"/>
            <w:tcBorders/>
          </w:tcPr>
          <w:p>
            <w:pPr>
              <w:pStyle w:val="Normal"/>
              <w:rPr/>
            </w:pPr>
            <w:r>
              <w:rPr/>
            </w:r>
          </w:p>
        </w:tc>
      </w:tr>
      <w:tr>
        <w:trPr>
          <w:trHeight w:val="282" w:hRule="atLeast"/>
        </w:trPr>
        <w:tc>
          <w:tcPr>
            <w:tcW w:w="1250" w:type="dxa"/>
            <w:gridSpan w:val="2"/>
            <w:tcBorders>
              <w:top w:val="single" w:sz="4" w:space="0" w:color="000000"/>
              <w:bottom w:val="single" w:sz="4" w:space="0" w:color="000000"/>
            </w:tcBorders>
            <w:shd w:color="auto" w:fill="F2F2F2" w:themeFill="background1" w:themeFillShade="f2" w:val="clear"/>
            <w:vAlign w:val="center"/>
          </w:tcPr>
          <w:p>
            <w:pPr>
              <w:pStyle w:val="Normal"/>
              <w:spacing w:lineRule="auto" w:line="240"/>
              <w:rPr>
                <w:b/>
                <w:bCs/>
                <w:color w:themeColor="text1" w:val="000000"/>
                <w:sz w:val="16"/>
                <w:szCs w:val="16"/>
              </w:rPr>
            </w:pPr>
            <w:r>
              <w:rPr>
                <w:b/>
                <w:bCs/>
                <w:color w:themeColor="text1" w:val="000000"/>
                <w:sz w:val="16"/>
                <w:szCs w:val="16"/>
              </w:rPr>
              <w:t>Name</w:t>
            </w:r>
          </w:p>
        </w:tc>
        <w:tc>
          <w:tcPr>
            <w:tcW w:w="4712" w:type="dxa"/>
            <w:tcBorders>
              <w:top w:val="single" w:sz="4" w:space="0" w:color="000000"/>
              <w:bottom w:val="single" w:sz="4" w:space="0" w:color="000000"/>
            </w:tcBorders>
            <w:shd w:color="auto" w:fill="F2F2F2" w:themeFill="background1" w:themeFillShade="f2" w:val="clear"/>
            <w:vAlign w:val="center"/>
          </w:tcPr>
          <w:p>
            <w:pPr>
              <w:pStyle w:val="Normal"/>
              <w:spacing w:lineRule="auto" w:line="240"/>
              <w:rPr>
                <w:b/>
                <w:bCs/>
                <w:color w:themeColor="text1" w:val="000000"/>
                <w:sz w:val="16"/>
                <w:szCs w:val="16"/>
              </w:rPr>
            </w:pPr>
            <w:r>
              <w:rPr>
                <w:b/>
                <w:bCs/>
                <w:color w:themeColor="text1" w:val="000000"/>
                <w:sz w:val="16"/>
                <w:szCs w:val="16"/>
              </w:rPr>
              <w:t>Characteristics</w:t>
            </w:r>
          </w:p>
        </w:tc>
        <w:tc>
          <w:tcPr>
            <w:tcW w:w="920" w:type="dxa"/>
            <w:tcBorders>
              <w:top w:val="single" w:sz="4" w:space="0" w:color="000000"/>
              <w:bottom w:val="single" w:sz="4" w:space="0" w:color="000000"/>
            </w:tcBorders>
            <w:shd w:color="auto" w:fill="F2F2F2" w:themeFill="background1" w:themeFillShade="f2" w:val="clear"/>
            <w:vAlign w:val="center"/>
          </w:tcPr>
          <w:p>
            <w:pPr>
              <w:pStyle w:val="Normal"/>
              <w:spacing w:lineRule="auto" w:line="240"/>
              <w:jc w:val="center"/>
              <w:rPr>
                <w:b/>
                <w:bCs/>
                <w:color w:themeColor="text1" w:val="000000"/>
                <w:sz w:val="16"/>
                <w:szCs w:val="16"/>
              </w:rPr>
            </w:pPr>
            <w:r>
              <w:rPr>
                <w:b/>
                <w:bCs/>
                <w:color w:themeColor="text1" w:val="000000"/>
                <w:sz w:val="16"/>
                <w:szCs w:val="16"/>
              </w:rPr>
              <w:t>Promoter</w:t>
            </w:r>
          </w:p>
        </w:tc>
        <w:tc>
          <w:tcPr>
            <w:tcW w:w="1274" w:type="dxa"/>
            <w:gridSpan w:val="2"/>
            <w:tcBorders>
              <w:top w:val="single" w:sz="4" w:space="0" w:color="000000"/>
              <w:bottom w:val="single" w:sz="4" w:space="0" w:color="000000"/>
            </w:tcBorders>
            <w:shd w:color="auto" w:fill="F2F2F2" w:themeFill="background1" w:themeFillShade="f2" w:val="clear"/>
            <w:vAlign w:val="center"/>
          </w:tcPr>
          <w:p>
            <w:pPr>
              <w:pStyle w:val="Normal"/>
              <w:spacing w:lineRule="auto" w:line="240"/>
              <w:jc w:val="center"/>
              <w:rPr>
                <w:b/>
                <w:bCs/>
                <w:color w:themeColor="text1" w:val="000000"/>
                <w:sz w:val="16"/>
                <w:szCs w:val="16"/>
              </w:rPr>
            </w:pPr>
            <w:r>
              <w:rPr>
                <w:b/>
                <w:bCs/>
                <w:color w:themeColor="text1" w:val="000000"/>
                <w:sz w:val="16"/>
                <w:szCs w:val="16"/>
              </w:rPr>
              <w:t>Terminator</w:t>
            </w:r>
          </w:p>
        </w:tc>
        <w:tc>
          <w:tcPr>
            <w:tcW w:w="1837" w:type="dxa"/>
            <w:gridSpan w:val="2"/>
            <w:tcBorders>
              <w:top w:val="single" w:sz="4" w:space="0" w:color="000000"/>
              <w:bottom w:val="single" w:sz="4" w:space="0" w:color="000000"/>
            </w:tcBorders>
            <w:shd w:color="auto" w:fill="F2F2F2" w:themeFill="background1" w:themeFillShade="f2" w:val="clear"/>
            <w:vAlign w:val="center"/>
          </w:tcPr>
          <w:p>
            <w:pPr>
              <w:pStyle w:val="Normal"/>
              <w:spacing w:lineRule="auto" w:line="240"/>
              <w:rPr>
                <w:b/>
                <w:bCs/>
                <w:color w:themeColor="text1" w:val="000000"/>
                <w:sz w:val="16"/>
                <w:szCs w:val="16"/>
              </w:rPr>
            </w:pPr>
            <w:r>
              <w:rPr>
                <w:b/>
                <w:bCs/>
                <w:color w:themeColor="text1" w:val="000000"/>
                <w:sz w:val="16"/>
                <w:szCs w:val="16"/>
              </w:rPr>
              <w:t>Source</w:t>
            </w:r>
          </w:p>
        </w:tc>
      </w:tr>
      <w:tr>
        <w:trPr>
          <w:trHeight w:val="244" w:hRule="atLeast"/>
        </w:trPr>
        <w:tc>
          <w:tcPr>
            <w:tcW w:w="1250" w:type="dxa"/>
            <w:gridSpan w:val="2"/>
            <w:tcBorders>
              <w:top w:val="dotted" w:sz="4" w:space="0" w:color="000000"/>
              <w:bottom w:val="dotted" w:sz="4" w:space="0" w:color="000000"/>
            </w:tcBorders>
            <w:shd w:color="auto" w:fill="auto" w:val="clear"/>
          </w:tcPr>
          <w:p>
            <w:pPr>
              <w:pStyle w:val="ListParagraph"/>
              <w:numPr>
                <w:ilvl w:val="0"/>
                <w:numId w:val="1"/>
              </w:numPr>
              <w:spacing w:lineRule="auto" w:line="240"/>
              <w:rPr>
                <w:color w:themeColor="text1" w:val="000000"/>
                <w:sz w:val="16"/>
                <w:szCs w:val="16"/>
              </w:rPr>
            </w:pPr>
            <w:r>
              <w:rPr>
                <w:color w:themeColor="text1" w:val="000000"/>
                <w:sz w:val="16"/>
                <w:szCs w:val="16"/>
              </w:rPr>
            </w:r>
          </w:p>
        </w:tc>
        <w:tc>
          <w:tcPr>
            <w:tcW w:w="4712"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mCherry-LC3</w:t>
            </w:r>
          </w:p>
        </w:tc>
        <w:tc>
          <w:tcPr>
            <w:tcW w:w="920" w:type="dxa"/>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CMV</w:t>
            </w:r>
          </w:p>
        </w:tc>
        <w:tc>
          <w:tcPr>
            <w:tcW w:w="1274" w:type="dxa"/>
            <w:gridSpan w:val="2"/>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bGH PolyA</w:t>
            </w:r>
          </w:p>
        </w:tc>
        <w:tc>
          <w:tcPr>
            <w:tcW w:w="1837"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Addgene #40827</w:t>
            </w:r>
          </w:p>
        </w:tc>
      </w:tr>
      <w:tr>
        <w:trPr>
          <w:trHeight w:val="244" w:hRule="atLeast"/>
        </w:trPr>
        <w:tc>
          <w:tcPr>
            <w:tcW w:w="1250"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pCE32</w:t>
            </w:r>
          </w:p>
        </w:tc>
        <w:tc>
          <w:tcPr>
            <w:tcW w:w="4712"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2xFKBP-GFP-ULK1</w:t>
            </w:r>
          </w:p>
        </w:tc>
        <w:tc>
          <w:tcPr>
            <w:tcW w:w="920" w:type="dxa"/>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CMV</w:t>
            </w:r>
          </w:p>
        </w:tc>
        <w:tc>
          <w:tcPr>
            <w:tcW w:w="1274" w:type="dxa"/>
            <w:gridSpan w:val="2"/>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hGH PolyA</w:t>
            </w:r>
          </w:p>
        </w:tc>
        <w:tc>
          <w:tcPr>
            <w:tcW w:w="1837"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This study</w:t>
            </w:r>
          </w:p>
        </w:tc>
      </w:tr>
      <w:tr>
        <w:trPr>
          <w:trHeight w:val="244" w:hRule="atLeast"/>
        </w:trPr>
        <w:tc>
          <w:tcPr>
            <w:tcW w:w="1250"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pRB34</w:t>
            </w:r>
          </w:p>
        </w:tc>
        <w:tc>
          <w:tcPr>
            <w:tcW w:w="4712"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mScarlet-FIP200</w:t>
            </w:r>
          </w:p>
        </w:tc>
        <w:tc>
          <w:tcPr>
            <w:tcW w:w="920" w:type="dxa"/>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CMV</w:t>
            </w:r>
          </w:p>
        </w:tc>
        <w:tc>
          <w:tcPr>
            <w:tcW w:w="1274" w:type="dxa"/>
            <w:gridSpan w:val="2"/>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bGH PolyA</w:t>
            </w:r>
          </w:p>
        </w:tc>
        <w:tc>
          <w:tcPr>
            <w:tcW w:w="1837"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This study</w:t>
            </w:r>
          </w:p>
        </w:tc>
      </w:tr>
    </w:tbl>
    <w:p>
      <w:pPr>
        <w:pStyle w:val="Normal"/>
        <w:spacing w:lineRule="auto" w:line="240"/>
        <w:rPr/>
      </w:pPr>
      <w:r>
        <w:rPr/>
      </w:r>
    </w:p>
    <w:p>
      <w:pPr>
        <w:pStyle w:val="Normal"/>
        <w:spacing w:lineRule="auto" w:line="240"/>
        <w:rPr/>
      </w:pPr>
      <w:r>
        <w:rPr/>
      </w:r>
    </w:p>
    <w:p>
      <w:pPr>
        <w:pStyle w:val="Normal"/>
        <w:spacing w:lineRule="auto" w:line="240"/>
        <w:rPr/>
      </w:pPr>
      <w:r>
        <w:rPr/>
      </w:r>
    </w:p>
    <w:tbl>
      <w:tblPr>
        <w:tblW w:w="10205" w:type="dxa"/>
        <w:jc w:val="left"/>
        <w:tblInd w:w="-480" w:type="dxa"/>
        <w:tblLayout w:type="fixed"/>
        <w:tblCellMar>
          <w:top w:w="0" w:type="dxa"/>
          <w:left w:w="108" w:type="dxa"/>
          <w:bottom w:w="0" w:type="dxa"/>
          <w:right w:w="108" w:type="dxa"/>
        </w:tblCellMar>
        <w:tblLook w:val="04a0" w:noHBand="0" w:noVBand="1" w:firstColumn="1" w:lastRow="0" w:lastColumn="0" w:firstRow="1"/>
      </w:tblPr>
      <w:tblGrid>
        <w:gridCol w:w="800"/>
        <w:gridCol w:w="460"/>
        <w:gridCol w:w="4606"/>
        <w:gridCol w:w="1062"/>
        <w:gridCol w:w="812"/>
        <w:gridCol w:w="395"/>
        <w:gridCol w:w="1546"/>
        <w:gridCol w:w="382"/>
        <w:gridCol w:w="141"/>
      </w:tblGrid>
      <w:tr>
        <w:trPr>
          <w:trHeight w:val="315" w:hRule="atLeast"/>
        </w:trPr>
        <w:tc>
          <w:tcPr>
            <w:tcW w:w="10063" w:type="dxa"/>
            <w:gridSpan w:val="8"/>
            <w:tcBorders/>
            <w:shd w:color="auto" w:fill="auto" w:val="clear"/>
            <w:vAlign w:val="bottom"/>
          </w:tcPr>
          <w:p>
            <w:pPr>
              <w:pStyle w:val="Normal"/>
              <w:spacing w:lineRule="auto" w:line="240"/>
              <w:rPr>
                <w:b/>
                <w:bCs/>
                <w:color w:themeColor="text1" w:val="000000"/>
              </w:rPr>
            </w:pPr>
            <w:r>
              <w:rPr>
                <w:b/>
                <w:bCs/>
                <w:color w:themeColor="text1" w:val="000000"/>
              </w:rPr>
              <w:t>Appendix Table S2 – Yeast, bacterial and insect cell expression plasmids used in this study</w:t>
            </w:r>
          </w:p>
        </w:tc>
        <w:tc>
          <w:tcPr>
            <w:tcW w:w="141" w:type="dxa"/>
            <w:tcBorders/>
          </w:tcPr>
          <w:p>
            <w:pPr>
              <w:pStyle w:val="Normal"/>
              <w:rPr/>
            </w:pPr>
            <w:r>
              <w:rPr/>
            </w:r>
          </w:p>
        </w:tc>
      </w:tr>
      <w:tr>
        <w:trPr>
          <w:trHeight w:val="162" w:hRule="atLeast"/>
        </w:trPr>
        <w:tc>
          <w:tcPr>
            <w:tcW w:w="800" w:type="dxa"/>
            <w:tcBorders/>
            <w:shd w:color="auto" w:fill="auto" w:val="clear"/>
            <w:vAlign w:val="bottom"/>
          </w:tcPr>
          <w:p>
            <w:pPr>
              <w:pStyle w:val="Normal"/>
              <w:spacing w:lineRule="auto" w:line="240"/>
              <w:rPr>
                <w:b/>
                <w:bCs/>
                <w:color w:themeColor="text1" w:val="000000"/>
                <w:sz w:val="16"/>
                <w:szCs w:val="16"/>
              </w:rPr>
            </w:pPr>
            <w:r>
              <w:rPr>
                <w:b/>
                <w:bCs/>
                <w:color w:themeColor="text1" w:val="000000"/>
                <w:sz w:val="16"/>
                <w:szCs w:val="16"/>
              </w:rPr>
            </w:r>
          </w:p>
        </w:tc>
        <w:tc>
          <w:tcPr>
            <w:tcW w:w="5066" w:type="dxa"/>
            <w:gridSpan w:val="2"/>
            <w:tcBorders/>
            <w:shd w:color="auto" w:fill="auto" w:val="clear"/>
            <w:vAlign w:val="bottom"/>
          </w:tcPr>
          <w:p>
            <w:pPr>
              <w:pStyle w:val="Normal"/>
              <w:spacing w:lineRule="auto" w:line="240"/>
              <w:rPr>
                <w:color w:themeColor="text1" w:val="000000"/>
                <w:sz w:val="16"/>
                <w:szCs w:val="16"/>
              </w:rPr>
            </w:pPr>
            <w:r>
              <w:rPr>
                <w:color w:themeColor="text1" w:val="000000"/>
                <w:sz w:val="16"/>
                <w:szCs w:val="16"/>
              </w:rPr>
            </w:r>
          </w:p>
        </w:tc>
        <w:tc>
          <w:tcPr>
            <w:tcW w:w="1062" w:type="dxa"/>
            <w:tcBorders/>
            <w:shd w:color="auto" w:fill="auto" w:val="clear"/>
            <w:vAlign w:val="bottom"/>
          </w:tcPr>
          <w:p>
            <w:pPr>
              <w:pStyle w:val="Normal"/>
              <w:spacing w:lineRule="auto" w:line="240"/>
              <w:rPr>
                <w:color w:themeColor="text1" w:val="000000"/>
                <w:sz w:val="16"/>
                <w:szCs w:val="16"/>
              </w:rPr>
            </w:pPr>
            <w:r>
              <w:rPr>
                <w:color w:themeColor="text1" w:val="000000"/>
                <w:sz w:val="16"/>
                <w:szCs w:val="16"/>
              </w:rPr>
            </w:r>
          </w:p>
        </w:tc>
        <w:tc>
          <w:tcPr>
            <w:tcW w:w="812" w:type="dxa"/>
            <w:tcBorders/>
            <w:shd w:color="auto" w:fill="auto" w:val="clear"/>
            <w:vAlign w:val="bottom"/>
          </w:tcPr>
          <w:p>
            <w:pPr>
              <w:pStyle w:val="Normal"/>
              <w:spacing w:lineRule="auto" w:line="240"/>
              <w:rPr>
                <w:color w:themeColor="text1" w:val="000000"/>
                <w:sz w:val="16"/>
                <w:szCs w:val="16"/>
              </w:rPr>
            </w:pPr>
            <w:r>
              <w:rPr>
                <w:color w:themeColor="text1" w:val="000000"/>
                <w:sz w:val="16"/>
                <w:szCs w:val="16"/>
              </w:rPr>
            </w:r>
          </w:p>
        </w:tc>
        <w:tc>
          <w:tcPr>
            <w:tcW w:w="1941" w:type="dxa"/>
            <w:gridSpan w:val="2"/>
            <w:tcBorders/>
            <w:shd w:color="auto" w:fill="auto" w:val="clear"/>
            <w:vAlign w:val="bottom"/>
          </w:tcPr>
          <w:p>
            <w:pPr>
              <w:pStyle w:val="Normal"/>
              <w:spacing w:lineRule="auto" w:line="240"/>
              <w:rPr>
                <w:color w:themeColor="text1" w:val="000000"/>
                <w:sz w:val="16"/>
                <w:szCs w:val="16"/>
              </w:rPr>
            </w:pPr>
            <w:r>
              <w:rPr>
                <w:color w:themeColor="text1" w:val="000000"/>
                <w:sz w:val="16"/>
                <w:szCs w:val="16"/>
              </w:rPr>
            </w:r>
          </w:p>
        </w:tc>
        <w:tc>
          <w:tcPr>
            <w:tcW w:w="382" w:type="dxa"/>
            <w:tcBorders/>
          </w:tcPr>
          <w:p>
            <w:pPr>
              <w:pStyle w:val="Normal"/>
              <w:rPr/>
            </w:pPr>
            <w:r>
              <w:rPr/>
            </w:r>
          </w:p>
        </w:tc>
        <w:tc>
          <w:tcPr>
            <w:tcW w:w="141" w:type="dxa"/>
            <w:tcBorders/>
          </w:tcPr>
          <w:p>
            <w:pPr>
              <w:pStyle w:val="Normal"/>
              <w:rPr/>
            </w:pPr>
            <w:r>
              <w:rPr/>
            </w:r>
          </w:p>
        </w:tc>
      </w:tr>
      <w:tr>
        <w:trPr>
          <w:trHeight w:val="282" w:hRule="atLeast"/>
        </w:trPr>
        <w:tc>
          <w:tcPr>
            <w:tcW w:w="1260" w:type="dxa"/>
            <w:gridSpan w:val="2"/>
            <w:tcBorders>
              <w:top w:val="single" w:sz="4" w:space="0" w:color="000000"/>
              <w:bottom w:val="single" w:sz="4" w:space="0" w:color="000000"/>
            </w:tcBorders>
            <w:shd w:color="auto" w:fill="F2F2F2" w:themeFill="background1" w:themeFillShade="f2" w:val="clear"/>
            <w:vAlign w:val="center"/>
          </w:tcPr>
          <w:p>
            <w:pPr>
              <w:pStyle w:val="Normal"/>
              <w:spacing w:lineRule="auto" w:line="240"/>
              <w:rPr>
                <w:b/>
                <w:bCs/>
                <w:color w:themeColor="text1" w:val="000000"/>
                <w:sz w:val="16"/>
                <w:szCs w:val="16"/>
              </w:rPr>
            </w:pPr>
            <w:r>
              <w:rPr>
                <w:b/>
                <w:bCs/>
                <w:color w:themeColor="text1" w:val="000000"/>
                <w:sz w:val="16"/>
                <w:szCs w:val="16"/>
              </w:rPr>
              <w:t>Name</w:t>
            </w:r>
          </w:p>
        </w:tc>
        <w:tc>
          <w:tcPr>
            <w:tcW w:w="4606" w:type="dxa"/>
            <w:tcBorders>
              <w:top w:val="single" w:sz="4" w:space="0" w:color="000000"/>
              <w:bottom w:val="single" w:sz="4" w:space="0" w:color="000000"/>
            </w:tcBorders>
            <w:shd w:color="auto" w:fill="F2F2F2" w:themeFill="background1" w:themeFillShade="f2" w:val="clear"/>
            <w:vAlign w:val="center"/>
          </w:tcPr>
          <w:p>
            <w:pPr>
              <w:pStyle w:val="Normal"/>
              <w:spacing w:lineRule="auto" w:line="240"/>
              <w:rPr>
                <w:b/>
                <w:bCs/>
                <w:color w:themeColor="text1" w:val="000000"/>
                <w:sz w:val="16"/>
                <w:szCs w:val="16"/>
              </w:rPr>
            </w:pPr>
            <w:r>
              <w:rPr>
                <w:b/>
                <w:bCs/>
                <w:color w:themeColor="text1" w:val="000000"/>
                <w:sz w:val="16"/>
                <w:szCs w:val="16"/>
              </w:rPr>
              <w:t>Characteristics</w:t>
            </w:r>
          </w:p>
        </w:tc>
        <w:tc>
          <w:tcPr>
            <w:tcW w:w="1062" w:type="dxa"/>
            <w:tcBorders>
              <w:top w:val="single" w:sz="4" w:space="0" w:color="000000"/>
              <w:bottom w:val="single" w:sz="4" w:space="0" w:color="000000"/>
            </w:tcBorders>
            <w:shd w:color="auto" w:fill="F2F2F2" w:themeFill="background1" w:themeFillShade="f2" w:val="clear"/>
            <w:vAlign w:val="center"/>
          </w:tcPr>
          <w:p>
            <w:pPr>
              <w:pStyle w:val="Normal"/>
              <w:spacing w:lineRule="auto" w:line="240"/>
              <w:jc w:val="center"/>
              <w:rPr>
                <w:b/>
                <w:bCs/>
                <w:color w:themeColor="text1" w:val="000000"/>
                <w:sz w:val="16"/>
                <w:szCs w:val="16"/>
              </w:rPr>
            </w:pPr>
            <w:r>
              <w:rPr>
                <w:b/>
                <w:bCs/>
                <w:color w:themeColor="text1" w:val="000000"/>
                <w:sz w:val="16"/>
                <w:szCs w:val="16"/>
              </w:rPr>
              <w:t>Promoter</w:t>
            </w:r>
          </w:p>
        </w:tc>
        <w:tc>
          <w:tcPr>
            <w:tcW w:w="1207" w:type="dxa"/>
            <w:gridSpan w:val="2"/>
            <w:tcBorders>
              <w:top w:val="single" w:sz="4" w:space="0" w:color="000000"/>
              <w:bottom w:val="single" w:sz="4" w:space="0" w:color="000000"/>
            </w:tcBorders>
            <w:shd w:color="auto" w:fill="F2F2F2" w:themeFill="background1" w:themeFillShade="f2" w:val="clear"/>
            <w:vAlign w:val="center"/>
          </w:tcPr>
          <w:p>
            <w:pPr>
              <w:pStyle w:val="Normal"/>
              <w:spacing w:lineRule="auto" w:line="240"/>
              <w:jc w:val="center"/>
              <w:rPr>
                <w:b/>
                <w:bCs/>
                <w:color w:themeColor="text1" w:val="000000"/>
                <w:sz w:val="16"/>
                <w:szCs w:val="16"/>
              </w:rPr>
            </w:pPr>
            <w:r>
              <w:rPr>
                <w:b/>
                <w:bCs/>
                <w:color w:themeColor="text1" w:val="000000"/>
                <w:sz w:val="16"/>
                <w:szCs w:val="16"/>
              </w:rPr>
              <w:t>Terminator</w:t>
            </w:r>
          </w:p>
        </w:tc>
        <w:tc>
          <w:tcPr>
            <w:tcW w:w="2069" w:type="dxa"/>
            <w:gridSpan w:val="3"/>
            <w:tcBorders>
              <w:top w:val="single" w:sz="4" w:space="0" w:color="000000"/>
              <w:bottom w:val="single" w:sz="4" w:space="0" w:color="000000"/>
            </w:tcBorders>
            <w:shd w:color="auto" w:fill="F2F2F2" w:themeFill="background1" w:themeFillShade="f2" w:val="clear"/>
            <w:vAlign w:val="center"/>
          </w:tcPr>
          <w:p>
            <w:pPr>
              <w:pStyle w:val="Normal"/>
              <w:spacing w:lineRule="auto" w:line="240"/>
              <w:rPr>
                <w:b/>
                <w:bCs/>
                <w:color w:themeColor="text1" w:val="000000"/>
                <w:sz w:val="16"/>
                <w:szCs w:val="16"/>
              </w:rPr>
            </w:pPr>
            <w:r>
              <w:rPr>
                <w:b/>
                <w:bCs/>
                <w:color w:themeColor="text1" w:val="000000"/>
                <w:sz w:val="16"/>
                <w:szCs w:val="16"/>
              </w:rPr>
              <w:t>Source</w:t>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pRS315</w:t>
            </w:r>
          </w:p>
        </w:tc>
        <w:tc>
          <w:tcPr>
            <w:tcW w:w="4606"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CEN, LEU2</w:t>
            </w:r>
          </w:p>
        </w:tc>
        <w:tc>
          <w:tcPr>
            <w:tcW w:w="1062" w:type="dxa"/>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w:t>
            </w:r>
          </w:p>
        </w:tc>
        <w:tc>
          <w:tcPr>
            <w:tcW w:w="2069" w:type="dxa"/>
            <w:gridSpan w:val="3"/>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 xml:space="preserve">Sikorski and Hieter 1989 </w:t>
            </w:r>
            <w:r>
              <w:fldChar w:fldCharType="begin"/>
            </w:r>
            <w:r>
              <w:rPr>
                <w:sz w:val="16"/>
                <w:szCs w:val="16"/>
              </w:rPr>
              <w:instrText xml:space="preserve">ADDIN ZOTERO_ITEM CSL_CITATION {"citationID":"dvWFrFyP","properties":{"formattedCitation":"\\super 2\\nosupersub{}","plainCitation":"2","noteIndex":0},"citationItems":[{"id":692,"uris":["http://zotero.org/users/local/pqnyHZtz/items/W6C8UCQ7"],"itemData":{"id":692,"type":"webpage","title":"A System of Shuttle Vectors and Yeast Host Strains Designed for Efficient Manipulation of DNA in Saccharomyces Cerevisiae - PMC","URL":"https://www.ncbi.nlm.nih.gov/pmc/articles/PMC1203683/","author":[{"family":"Sikorski and Hieter","given":""}],"accessed":{"date-parts":[["2024",1,6]]},"issued":{"date-parts":[["1989"]]}}}],"schema":"https://github.com/citation-style-language/schema/raw/master/csl-citation.json"}</w:instrText>
            </w:r>
            <w:r>
              <w:rPr>
                <w:sz w:val="16"/>
                <w:szCs w:val="16"/>
              </w:rPr>
            </w:r>
            <w:r>
              <w:rPr>
                <w:sz w:val="16"/>
                <w:szCs w:val="16"/>
              </w:rPr>
              <w:fldChar w:fldCharType="separate"/>
            </w:r>
            <w:r>
              <w:rPr>
                <w:sz w:val="16"/>
                <w:szCs w:val="16"/>
              </w:rPr>
            </w:r>
            <w:r>
              <w:rPr>
                <w:sz w:val="16"/>
                <w:vertAlign w:val="superscript"/>
              </w:rPr>
              <w:t>2</w:t>
            </w:r>
            <w:r/>
            <w:r>
              <w:rPr>
                <w:sz w:val="16"/>
                <w:szCs w:val="16"/>
              </w:rPr>
              <w:fldChar w:fldCharType="end"/>
            </w:r>
            <w:r>
              <w:rPr>
                <w:sz w:val="16"/>
                <w:szCs w:val="16"/>
              </w:rPr>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pRS316</w:t>
            </w:r>
          </w:p>
        </w:tc>
        <w:tc>
          <w:tcPr>
            <w:tcW w:w="4606"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CEN, URA3</w:t>
            </w:r>
          </w:p>
        </w:tc>
        <w:tc>
          <w:tcPr>
            <w:tcW w:w="1062" w:type="dxa"/>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w:t>
            </w:r>
          </w:p>
        </w:tc>
        <w:tc>
          <w:tcPr>
            <w:tcW w:w="2069" w:type="dxa"/>
            <w:gridSpan w:val="3"/>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 xml:space="preserve">Sikorski and Hieter 1989 </w:t>
            </w:r>
            <w:r>
              <w:fldChar w:fldCharType="begin"/>
            </w:r>
            <w:r>
              <w:rPr>
                <w:sz w:val="16"/>
                <w:szCs w:val="16"/>
              </w:rPr>
              <w:instrText xml:space="preserve">ADDIN ZOTERO_ITEM CSL_CITATION {"citationID":"tHJ9TZ7Y","properties":{"formattedCitation":"\\super 2\\nosupersub{}","plainCitation":"2","noteIndex":0},"citationItems":[{"id":692,"uris":["http://zotero.org/users/local/pqnyHZtz/items/W6C8UCQ7"],"itemData":{"id":692,"type":"webpage","title":"A System of Shuttle Vectors and Yeast Host Strains Designed for Efficient Manipulation of DNA in Saccharomyces Cerevisiae - PMC","URL":"https://www.ncbi.nlm.nih.gov/pmc/articles/PMC1203683/","author":[{"family":"Sikorski and Hieter","given":""}],"accessed":{"date-parts":[["2024",1,6]]},"issued":{"date-parts":[["1989"]]}}}],"schema":"https://github.com/citation-style-language/schema/raw/master/csl-citation.json"}</w:instrText>
            </w:r>
            <w:r>
              <w:rPr>
                <w:sz w:val="16"/>
                <w:szCs w:val="16"/>
              </w:rPr>
            </w:r>
            <w:r>
              <w:rPr>
                <w:sz w:val="16"/>
                <w:szCs w:val="16"/>
              </w:rPr>
              <w:fldChar w:fldCharType="separate"/>
            </w:r>
            <w:r>
              <w:rPr>
                <w:sz w:val="16"/>
                <w:szCs w:val="16"/>
              </w:rPr>
            </w:r>
            <w:r>
              <w:rPr>
                <w:sz w:val="16"/>
                <w:vertAlign w:val="superscript"/>
              </w:rPr>
              <w:t>2</w:t>
            </w:r>
            <w:r/>
            <w:r>
              <w:rPr>
                <w:sz w:val="16"/>
                <w:szCs w:val="16"/>
              </w:rPr>
              <w:fldChar w:fldCharType="end"/>
            </w:r>
            <w:r>
              <w:rPr>
                <w:sz w:val="16"/>
                <w:szCs w:val="16"/>
              </w:rPr>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pRS415</w:t>
            </w:r>
          </w:p>
        </w:tc>
        <w:tc>
          <w:tcPr>
            <w:tcW w:w="4606"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CEN, LEU2</w:t>
            </w:r>
          </w:p>
        </w:tc>
        <w:tc>
          <w:tcPr>
            <w:tcW w:w="1062" w:type="dxa"/>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w:t>
            </w:r>
          </w:p>
        </w:tc>
        <w:tc>
          <w:tcPr>
            <w:tcW w:w="2069" w:type="dxa"/>
            <w:gridSpan w:val="3"/>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 xml:space="preserve">Sikorski and Hieter 1989 </w:t>
            </w:r>
            <w:r>
              <w:fldChar w:fldCharType="begin"/>
            </w:r>
            <w:r>
              <w:rPr>
                <w:sz w:val="16"/>
                <w:szCs w:val="16"/>
              </w:rPr>
              <w:instrText xml:space="preserve">ADDIN ZOTERO_ITEM CSL_CITATION {"citationID":"9hC7S3Jg","properties":{"formattedCitation":"\\super 2\\nosupersub{}","plainCitation":"2","noteIndex":0},"citationItems":[{"id":692,"uris":["http://zotero.org/users/local/pqnyHZtz/items/W6C8UCQ7"],"itemData":{"id":692,"type":"webpage","title":"A System of Shuttle Vectors and Yeast Host Strains Designed for Efficient Manipulation of DNA in Saccharomyces Cerevisiae - PMC","URL":"https://www.ncbi.nlm.nih.gov/pmc/articles/PMC1203683/","author":[{"family":"Sikorski and Hieter","given":""}],"accessed":{"date-parts":[["2024",1,6]]},"issued":{"date-parts":[["1989"]]}}}],"schema":"https://github.com/citation-style-language/schema/raw/master/csl-citation.json"}</w:instrText>
            </w:r>
            <w:r>
              <w:rPr>
                <w:sz w:val="16"/>
                <w:szCs w:val="16"/>
              </w:rPr>
            </w:r>
            <w:r>
              <w:rPr>
                <w:sz w:val="16"/>
                <w:szCs w:val="16"/>
              </w:rPr>
              <w:fldChar w:fldCharType="separate"/>
            </w:r>
            <w:r>
              <w:rPr>
                <w:sz w:val="16"/>
                <w:szCs w:val="16"/>
              </w:rPr>
            </w:r>
            <w:r>
              <w:rPr>
                <w:sz w:val="16"/>
                <w:vertAlign w:val="superscript"/>
              </w:rPr>
              <w:t>2</w:t>
            </w:r>
            <w:r/>
            <w:r>
              <w:rPr>
                <w:sz w:val="16"/>
                <w:szCs w:val="16"/>
              </w:rPr>
              <w:fldChar w:fldCharType="end"/>
            </w:r>
            <w:r>
              <w:rPr>
                <w:sz w:val="16"/>
                <w:szCs w:val="16"/>
              </w:rPr>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pRS416</w:t>
            </w:r>
          </w:p>
        </w:tc>
        <w:tc>
          <w:tcPr>
            <w:tcW w:w="4606"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CEN, URA3</w:t>
            </w:r>
          </w:p>
        </w:tc>
        <w:tc>
          <w:tcPr>
            <w:tcW w:w="1062" w:type="dxa"/>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w:t>
            </w:r>
          </w:p>
        </w:tc>
        <w:tc>
          <w:tcPr>
            <w:tcW w:w="2069" w:type="dxa"/>
            <w:gridSpan w:val="3"/>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 xml:space="preserve">Sikorski and Hieter 1989 </w:t>
            </w:r>
            <w:r>
              <w:fldChar w:fldCharType="begin"/>
            </w:r>
            <w:r>
              <w:rPr>
                <w:sz w:val="16"/>
                <w:szCs w:val="16"/>
              </w:rPr>
              <w:instrText xml:space="preserve">ADDIN ZOTERO_ITEM CSL_CITATION {"citationID":"ThiVQ7lT","properties":{"formattedCitation":"\\super 2\\nosupersub{}","plainCitation":"2","noteIndex":0},"citationItems":[{"id":692,"uris":["http://zotero.org/users/local/pqnyHZtz/items/W6C8UCQ7"],"itemData":{"id":692,"type":"webpage","title":"A System of Shuttle Vectors and Yeast Host Strains Designed for Efficient Manipulation of DNA in Saccharomyces Cerevisiae - PMC","URL":"https://www.ncbi.nlm.nih.gov/pmc/articles/PMC1203683/","author":[{"family":"Sikorski and Hieter","given":""}],"accessed":{"date-parts":[["2024",1,6]]},"issued":{"date-parts":[["1989"]]}}}],"schema":"https://github.com/citation-style-language/schema/raw/master/csl-citation.json"}</w:instrText>
            </w:r>
            <w:r>
              <w:rPr>
                <w:sz w:val="16"/>
                <w:szCs w:val="16"/>
              </w:rPr>
            </w:r>
            <w:r>
              <w:rPr>
                <w:sz w:val="16"/>
                <w:szCs w:val="16"/>
              </w:rPr>
              <w:fldChar w:fldCharType="separate"/>
            </w:r>
            <w:r>
              <w:rPr>
                <w:sz w:val="16"/>
                <w:szCs w:val="16"/>
              </w:rPr>
            </w:r>
            <w:r>
              <w:rPr>
                <w:sz w:val="16"/>
                <w:vertAlign w:val="superscript"/>
              </w:rPr>
              <w:t>2</w:t>
            </w:r>
            <w:r/>
            <w:r>
              <w:rPr>
                <w:sz w:val="16"/>
                <w:szCs w:val="16"/>
              </w:rPr>
              <w:fldChar w:fldCharType="end"/>
            </w:r>
            <w:r>
              <w:rPr>
                <w:sz w:val="16"/>
                <w:szCs w:val="16"/>
              </w:rPr>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pRS304</w:t>
            </w:r>
          </w:p>
        </w:tc>
        <w:tc>
          <w:tcPr>
            <w:tcW w:w="460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Integrative, TRP1</w:t>
            </w:r>
          </w:p>
        </w:tc>
        <w:tc>
          <w:tcPr>
            <w:tcW w:w="1062" w:type="dxa"/>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w:t>
            </w:r>
          </w:p>
        </w:tc>
        <w:tc>
          <w:tcPr>
            <w:tcW w:w="2069" w:type="dxa"/>
            <w:gridSpan w:val="3"/>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 xml:space="preserve">Sikorski and Hieter 1989 </w:t>
            </w:r>
            <w:r>
              <w:fldChar w:fldCharType="begin"/>
            </w:r>
            <w:r>
              <w:rPr>
                <w:sz w:val="16"/>
                <w:szCs w:val="16"/>
              </w:rPr>
              <w:instrText xml:space="preserve">ADDIN ZOTERO_ITEM CSL_CITATION {"citationID":"K9DdTudR","properties":{"formattedCitation":"\\super 2\\nosupersub{}","plainCitation":"2","noteIndex":0},"citationItems":[{"id":692,"uris":["http://zotero.org/users/local/pqnyHZtz/items/W6C8UCQ7"],"itemData":{"id":692,"type":"webpage","title":"A System of Shuttle Vectors and Yeast Host Strains Designed for Efficient Manipulation of DNA in Saccharomyces Cerevisiae - PMC","URL":"https://www.ncbi.nlm.nih.gov/pmc/articles/PMC1203683/","author":[{"family":"Sikorski and Hieter","given":""}],"accessed":{"date-parts":[["2024",1,6]]},"issued":{"date-parts":[["1989"]]}}}],"schema":"https://github.com/citation-style-language/schema/raw/master/csl-citation.json"}</w:instrText>
            </w:r>
            <w:r>
              <w:rPr>
                <w:sz w:val="16"/>
                <w:szCs w:val="16"/>
              </w:rPr>
            </w:r>
            <w:r>
              <w:rPr>
                <w:sz w:val="16"/>
                <w:szCs w:val="16"/>
              </w:rPr>
              <w:fldChar w:fldCharType="separate"/>
            </w:r>
            <w:r>
              <w:rPr>
                <w:sz w:val="16"/>
                <w:szCs w:val="16"/>
              </w:rPr>
            </w:r>
            <w:r>
              <w:rPr>
                <w:sz w:val="16"/>
                <w:vertAlign w:val="superscript"/>
                <w:lang w:val="en-GB"/>
              </w:rPr>
              <w:t>2</w:t>
            </w:r>
            <w:r/>
            <w:r>
              <w:rPr>
                <w:sz w:val="16"/>
                <w:szCs w:val="16"/>
              </w:rPr>
              <w:fldChar w:fldCharType="end"/>
            </w:r>
            <w:r>
              <w:rPr>
                <w:sz w:val="16"/>
                <w:szCs w:val="16"/>
              </w:rPr>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pRS305</w:t>
            </w:r>
          </w:p>
        </w:tc>
        <w:tc>
          <w:tcPr>
            <w:tcW w:w="460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Integrative, LEU2</w:t>
            </w:r>
          </w:p>
        </w:tc>
        <w:tc>
          <w:tcPr>
            <w:tcW w:w="1062" w:type="dxa"/>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w:t>
            </w:r>
          </w:p>
        </w:tc>
        <w:tc>
          <w:tcPr>
            <w:tcW w:w="2069" w:type="dxa"/>
            <w:gridSpan w:val="3"/>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 xml:space="preserve">Sikorski and Hieter 1989 </w:t>
            </w:r>
            <w:r>
              <w:fldChar w:fldCharType="begin"/>
            </w:r>
            <w:r>
              <w:rPr>
                <w:sz w:val="16"/>
                <w:szCs w:val="16"/>
              </w:rPr>
              <w:instrText xml:space="preserve">ADDIN ZOTERO_ITEM CSL_CITATION {"citationID":"5oqXE79k","properties":{"formattedCitation":"\\super 2\\nosupersub{}","plainCitation":"2","noteIndex":0},"citationItems":[{"id":692,"uris":["http://zotero.org/users/local/pqnyHZtz/items/W6C8UCQ7"],"itemData":{"id":692,"type":"webpage","title":"A System of Shuttle Vectors and Yeast Host Strains Designed for Efficient Manipulation of DNA in Saccharomyces Cerevisiae - PMC","URL":"https://www.ncbi.nlm.nih.gov/pmc/articles/PMC1203683/","author":[{"family":"Sikorski and Hieter","given":""}],"accessed":{"date-parts":[["2024",1,6]]},"issued":{"date-parts":[["1989"]]}}}],"schema":"https://github.com/citation-style-language/schema/raw/master/csl-citation.json"}</w:instrText>
            </w:r>
            <w:r>
              <w:rPr>
                <w:sz w:val="16"/>
                <w:szCs w:val="16"/>
              </w:rPr>
            </w:r>
            <w:r>
              <w:rPr>
                <w:sz w:val="16"/>
                <w:szCs w:val="16"/>
              </w:rPr>
              <w:fldChar w:fldCharType="separate"/>
            </w:r>
            <w:r>
              <w:rPr>
                <w:sz w:val="16"/>
                <w:szCs w:val="16"/>
              </w:rPr>
            </w:r>
            <w:r>
              <w:rPr>
                <w:sz w:val="16"/>
                <w:vertAlign w:val="superscript"/>
                <w:lang w:val="en-GB"/>
              </w:rPr>
              <w:t>2</w:t>
            </w:r>
            <w:r/>
            <w:r>
              <w:rPr>
                <w:sz w:val="16"/>
                <w:szCs w:val="16"/>
              </w:rPr>
              <w:fldChar w:fldCharType="end"/>
            </w:r>
            <w:r>
              <w:rPr>
                <w:sz w:val="16"/>
                <w:szCs w:val="16"/>
              </w:rPr>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pCK782</w:t>
            </w:r>
          </w:p>
        </w:tc>
        <w:tc>
          <w:tcPr>
            <w:tcW w:w="4606"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Ape1; pRS315</w:t>
            </w:r>
          </w:p>
        </w:tc>
        <w:tc>
          <w:tcPr>
            <w:tcW w:w="1062" w:type="dxa"/>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CUP1</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CYC1</w:t>
            </w:r>
          </w:p>
        </w:tc>
        <w:tc>
          <w:tcPr>
            <w:tcW w:w="2069" w:type="dxa"/>
            <w:gridSpan w:val="3"/>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This study</w:t>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pCK969</w:t>
            </w:r>
          </w:p>
        </w:tc>
        <w:tc>
          <w:tcPr>
            <w:tcW w:w="460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mTagBFP-Ape1/Ape1</w:t>
            </w:r>
          </w:p>
        </w:tc>
        <w:tc>
          <w:tcPr>
            <w:tcW w:w="1062" w:type="dxa"/>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Ape1/CUP1</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CYC1/Ape1</w:t>
            </w:r>
          </w:p>
        </w:tc>
        <w:tc>
          <w:tcPr>
            <w:tcW w:w="2069" w:type="dxa"/>
            <w:gridSpan w:val="3"/>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pDH48</w:t>
            </w:r>
          </w:p>
        </w:tc>
        <w:tc>
          <w:tcPr>
            <w:tcW w:w="460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mScarlet-Atg11; pRS416</w:t>
            </w:r>
          </w:p>
        </w:tc>
        <w:tc>
          <w:tcPr>
            <w:tcW w:w="1062" w:type="dxa"/>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Atg11</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CYC1</w:t>
            </w:r>
          </w:p>
        </w:tc>
        <w:tc>
          <w:tcPr>
            <w:tcW w:w="2069" w:type="dxa"/>
            <w:gridSpan w:val="3"/>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 xml:space="preserve">Hollenstein et al., 2021 </w:t>
            </w:r>
            <w:r>
              <w:fldChar w:fldCharType="begin"/>
            </w:r>
            <w:r>
              <w:rPr>
                <w:sz w:val="16"/>
                <w:szCs w:val="16"/>
              </w:rPr>
              <w:instrText xml:space="preserve">ADDIN ZOTERO_ITEM CSL_CITATION {"citationID":"DI1aD2C5","properties":{"formattedCitation":"\\super 3\\nosupersub{}","plainCitation":"3","noteIndex":0},"citationItems":[{"id":247,"uris":["http://zotero.org/users/local/pqnyHZtz/items/TMUBSMCP"],"itemData":{"id":247,"type":"article-journal","abstract":"Autophagosomes form at the endoplasmic reticulum in mammals, and between the vacuole and the endoplasmic reticulum in yeast. However, the roles of these sites and the mechanisms regulating autophagosome formation are incompletely understood. Vac8 is required for autophagy and recruits the Atg1 kinase complex to the vacuole. Here we show that Vac8 acts as a central hub to nucleate the phagophore assembly site at the vacuolar membrane during selective autophagy. Vac8 directly recruits the cargo complex via the Atg11 scaffold. In addition, Vac8 recruits the phosphatidylinositol 3-kinase complex independently of autophagy. Cargo-dependent clustering and Vac8-dependent sequestering of these early autophagy factors, along with local Atg1 activation, promote phagophore assembly site assembly at the vacuole. Importantly, ectopic Vac8 redirects autophagosome formation to the nuclear membrane, indicating that the vacuolar membrane is not specifically required. We propose that multiple avidity-driven interactions drive the initiation and progression of selective autophagy.","container-title":"Nature Communications","DOI":"10.1038/s41467-021-27420-3","ISSN":"2041-1723","issue":"1","journalAbbreviation":"Nat Commun","language":"en","license":"2021 The Author(s)","note":"number: 1\npublisher: Nature Publishing Group","page":"7194","source":"www.nature.com","title":"Spatial control of avidity regulates initiation and progression of selective autophagy","volume":"12","author":[{"family":"Hollenstein","given":"David M."},{"family":"Licheva","given":"Mariya"},{"family":"Konradi","given":"Nicole"},{"family":"Schweida","given":"David"},{"family":"Mancilla","given":"Hector"},{"family":"Mari","given":"Muriel"},{"family":"Reggiori","given":"Fulvio"},{"family":"Kraft","given":"Claudine"}],"issued":{"date-parts":[["2021",12,10]]}}}],"schema":"https://github.com/citation-style-language/schema/raw/master/csl-citation.json"}</w:instrText>
            </w:r>
            <w:r>
              <w:rPr>
                <w:sz w:val="16"/>
                <w:szCs w:val="16"/>
              </w:rPr>
            </w:r>
            <w:r>
              <w:rPr>
                <w:sz w:val="16"/>
                <w:szCs w:val="16"/>
              </w:rPr>
              <w:fldChar w:fldCharType="separate"/>
            </w:r>
            <w:r>
              <w:rPr>
                <w:sz w:val="16"/>
                <w:szCs w:val="16"/>
              </w:rPr>
            </w:r>
            <w:r>
              <w:rPr>
                <w:sz w:val="16"/>
                <w:vertAlign w:val="superscript"/>
              </w:rPr>
              <w:t>3</w:t>
            </w:r>
            <w:r/>
            <w:r>
              <w:rPr>
                <w:sz w:val="16"/>
                <w:szCs w:val="16"/>
              </w:rPr>
              <w:fldChar w:fldCharType="end"/>
            </w:r>
            <w:r>
              <w:rPr>
                <w:sz w:val="16"/>
                <w:szCs w:val="16"/>
              </w:rPr>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pDP108</w:t>
            </w:r>
          </w:p>
        </w:tc>
        <w:tc>
          <w:tcPr>
            <w:tcW w:w="460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GFP-Ape1; pRS315</w:t>
            </w:r>
          </w:p>
        </w:tc>
        <w:tc>
          <w:tcPr>
            <w:tcW w:w="1062" w:type="dxa"/>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Ape1</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CYC1</w:t>
            </w:r>
          </w:p>
        </w:tc>
        <w:tc>
          <w:tcPr>
            <w:tcW w:w="2069" w:type="dxa"/>
            <w:gridSpan w:val="3"/>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pHM83</w:t>
            </w:r>
          </w:p>
        </w:tc>
        <w:tc>
          <w:tcPr>
            <w:tcW w:w="460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StrepII-TEV-GFP-Atg11 codon-optimized for insect cells; pLIB</w:t>
            </w:r>
          </w:p>
        </w:tc>
        <w:tc>
          <w:tcPr>
            <w:tcW w:w="1062" w:type="dxa"/>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polh</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SV40</w:t>
            </w:r>
          </w:p>
        </w:tc>
        <w:tc>
          <w:tcPr>
            <w:tcW w:w="2069" w:type="dxa"/>
            <w:gridSpan w:val="3"/>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pHM84</w:t>
            </w:r>
          </w:p>
        </w:tc>
        <w:tc>
          <w:tcPr>
            <w:tcW w:w="460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GST-Thrombin-mCherry-Atg19</w:t>
            </w:r>
            <w:r>
              <w:rPr>
                <w:sz w:val="16"/>
                <w:szCs w:val="16"/>
                <w:vertAlign w:val="superscript"/>
              </w:rPr>
              <w:t>3D</w:t>
            </w:r>
            <w:r>
              <w:rPr>
                <w:sz w:val="16"/>
                <w:szCs w:val="16"/>
              </w:rPr>
              <w:t>; pGEX-4T-1</w:t>
            </w:r>
          </w:p>
        </w:tc>
        <w:tc>
          <w:tcPr>
            <w:tcW w:w="1062" w:type="dxa"/>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tac</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w:t>
            </w:r>
          </w:p>
        </w:tc>
        <w:tc>
          <w:tcPr>
            <w:tcW w:w="2069" w:type="dxa"/>
            <w:gridSpan w:val="3"/>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pHM135</w:t>
            </w:r>
          </w:p>
        </w:tc>
        <w:tc>
          <w:tcPr>
            <w:tcW w:w="460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GST-Thrombin-mTagBFP2; pGEX-4T-1</w:t>
            </w:r>
          </w:p>
        </w:tc>
        <w:tc>
          <w:tcPr>
            <w:tcW w:w="1062" w:type="dxa"/>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tac</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w:t>
            </w:r>
          </w:p>
        </w:tc>
        <w:tc>
          <w:tcPr>
            <w:tcW w:w="2069" w:type="dxa"/>
            <w:gridSpan w:val="3"/>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pHM144</w:t>
            </w:r>
          </w:p>
        </w:tc>
        <w:tc>
          <w:tcPr>
            <w:tcW w:w="460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GST-Thrombin-mTagBFP2-Ape1(1-45); pGEX-4T-1</w:t>
            </w:r>
          </w:p>
        </w:tc>
        <w:tc>
          <w:tcPr>
            <w:tcW w:w="1062" w:type="dxa"/>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tac</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w:t>
            </w:r>
          </w:p>
        </w:tc>
        <w:tc>
          <w:tcPr>
            <w:tcW w:w="2069" w:type="dxa"/>
            <w:gridSpan w:val="3"/>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pHM145</w:t>
            </w:r>
          </w:p>
        </w:tc>
        <w:tc>
          <w:tcPr>
            <w:tcW w:w="460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GST-Thrombin-mTagBFP2-Atg19</w:t>
            </w:r>
            <w:r>
              <w:rPr>
                <w:sz w:val="16"/>
                <w:szCs w:val="16"/>
                <w:vertAlign w:val="superscript"/>
              </w:rPr>
              <w:t>3D</w:t>
            </w:r>
            <w:r>
              <w:rPr>
                <w:sz w:val="16"/>
                <w:szCs w:val="16"/>
              </w:rPr>
              <w:t>; pGEX-4T-1</w:t>
            </w:r>
          </w:p>
        </w:tc>
        <w:tc>
          <w:tcPr>
            <w:tcW w:w="1062" w:type="dxa"/>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tac</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w:t>
            </w:r>
          </w:p>
        </w:tc>
        <w:tc>
          <w:tcPr>
            <w:tcW w:w="2069" w:type="dxa"/>
            <w:gridSpan w:val="3"/>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pJE7</w:t>
            </w:r>
          </w:p>
        </w:tc>
        <w:tc>
          <w:tcPr>
            <w:tcW w:w="4606"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Atg19; pRS416</w:t>
            </w:r>
          </w:p>
        </w:tc>
        <w:tc>
          <w:tcPr>
            <w:tcW w:w="1062" w:type="dxa"/>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Atg19</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CYC1</w:t>
            </w:r>
          </w:p>
        </w:tc>
        <w:tc>
          <w:tcPr>
            <w:tcW w:w="2069" w:type="dxa"/>
            <w:gridSpan w:val="3"/>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This study</w:t>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pJE17</w:t>
            </w:r>
          </w:p>
        </w:tc>
        <w:tc>
          <w:tcPr>
            <w:tcW w:w="460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GFP-Ape1/Ape1</w:t>
            </w:r>
          </w:p>
        </w:tc>
        <w:tc>
          <w:tcPr>
            <w:tcW w:w="1062" w:type="dxa"/>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Ape1/CUP1</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CYC1/Ape1</w:t>
            </w:r>
          </w:p>
        </w:tc>
        <w:tc>
          <w:tcPr>
            <w:tcW w:w="2069" w:type="dxa"/>
            <w:gridSpan w:val="3"/>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pJE29</w:t>
            </w:r>
          </w:p>
        </w:tc>
        <w:tc>
          <w:tcPr>
            <w:tcW w:w="4606"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Atg19-GBP; pRS416</w:t>
            </w:r>
          </w:p>
        </w:tc>
        <w:tc>
          <w:tcPr>
            <w:tcW w:w="1062" w:type="dxa"/>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Atg19</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CYC1</w:t>
            </w:r>
          </w:p>
        </w:tc>
        <w:tc>
          <w:tcPr>
            <w:tcW w:w="2069" w:type="dxa"/>
            <w:gridSpan w:val="3"/>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This study</w:t>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pML14</w:t>
            </w:r>
          </w:p>
        </w:tc>
        <w:tc>
          <w:tcPr>
            <w:tcW w:w="460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GFP-Atg11; pRS315</w:t>
            </w:r>
          </w:p>
        </w:tc>
        <w:tc>
          <w:tcPr>
            <w:tcW w:w="1062" w:type="dxa"/>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Atg11</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CYC1</w:t>
            </w:r>
          </w:p>
        </w:tc>
        <w:tc>
          <w:tcPr>
            <w:tcW w:w="2069" w:type="dxa"/>
            <w:gridSpan w:val="3"/>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 xml:space="preserve">Hollenstein et al., 2021 </w:t>
            </w:r>
            <w:r>
              <w:fldChar w:fldCharType="begin"/>
            </w:r>
            <w:r>
              <w:rPr>
                <w:sz w:val="16"/>
                <w:szCs w:val="16"/>
              </w:rPr>
              <w:instrText xml:space="preserve">ADDIN ZOTERO_ITEM CSL_CITATION {"citationID":"DI1aD2C5","properties":{"formattedCitation":"\\super 3\\nosupersub{}","plainCitation":"3","noteIndex":0},"citationItems":[{"id":247,"uris":["http://zotero.org/users/local/pqnyHZtz/items/TMUBSMCP"],"itemData":{"id":247,"type":"article-journal","abstract":"Autophagosomes form at the endoplasmic reticulum in mammals, and between the vacuole and the endoplasmic reticulum in yeast. However, the roles of these sites and the mechanisms regulating autophagosome formation are incompletely understood. Vac8 is required for autophagy and recruits the Atg1 kinase complex to the vacuole. Here we show that Vac8 acts as a central hub to nucleate the phagophore assembly site at the vacuolar membrane during selective autophagy. Vac8 directly recruits the cargo complex via the Atg11 scaffold. In addition, Vac8 recruits the phosphatidylinositol 3-kinase complex independently of autophagy. Cargo-dependent clustering and Vac8-dependent sequestering of these early autophagy factors, along with local Atg1 activation, promote phagophore assembly site assembly at the vacuole. Importantly, ectopic Vac8 redirects autophagosome formation to the nuclear membrane, indicating that the vacuolar membrane is not specifically required. We propose that multiple avidity-driven interactions drive the initiation and progression of selective autophagy.","container-title":"Nature Communications","DOI":"10.1038/s41467-021-27420-3","ISSN":"2041-1723","issue":"1","journalAbbreviation":"Nat Commun","language":"en","license":"2021 The Author(s)","note":"number: 1\npublisher: Nature Publishing Group","page":"7194","source":"www.nature.com","title":"Spatial control of avidity regulates initiation and progression of selective autophagy","volume":"12","author":[{"family":"Hollenstein","given":"David M."},{"family":"Licheva","given":"Mariya"},{"family":"Konradi","given":"Nicole"},{"family":"Schweida","given":"David"},{"family":"Mancilla","given":"Hector"},{"family":"Mari","given":"Muriel"},{"family":"Reggiori","given":"Fulvio"},{"family":"Kraft","given":"Claudine"}],"issued":{"date-parts":[["2021",12,10]]}}}],"schema":"https://github.com/citation-style-language/schema/raw/master/csl-citation.json"}</w:instrText>
            </w:r>
            <w:r>
              <w:rPr>
                <w:sz w:val="16"/>
                <w:szCs w:val="16"/>
              </w:rPr>
            </w:r>
            <w:r>
              <w:rPr>
                <w:sz w:val="16"/>
                <w:szCs w:val="16"/>
              </w:rPr>
              <w:fldChar w:fldCharType="separate"/>
            </w:r>
            <w:r>
              <w:rPr>
                <w:sz w:val="16"/>
                <w:szCs w:val="16"/>
              </w:rPr>
            </w:r>
            <w:r>
              <w:rPr>
                <w:sz w:val="16"/>
                <w:vertAlign w:val="superscript"/>
              </w:rPr>
              <w:t>3</w:t>
            </w:r>
            <w:r/>
            <w:r>
              <w:rPr>
                <w:sz w:val="16"/>
                <w:szCs w:val="16"/>
              </w:rPr>
              <w:fldChar w:fldCharType="end"/>
            </w:r>
            <w:r>
              <w:rPr>
                <w:sz w:val="16"/>
                <w:szCs w:val="16"/>
              </w:rPr>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pML86</w:t>
            </w:r>
          </w:p>
        </w:tc>
        <w:tc>
          <w:tcPr>
            <w:tcW w:w="460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Ape1(1-45)-GFP-µNS(471-721); pRS415</w:t>
            </w:r>
          </w:p>
        </w:tc>
        <w:tc>
          <w:tcPr>
            <w:tcW w:w="1062" w:type="dxa"/>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GPD</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CYC1</w:t>
            </w:r>
          </w:p>
        </w:tc>
        <w:tc>
          <w:tcPr>
            <w:tcW w:w="2069" w:type="dxa"/>
            <w:gridSpan w:val="3"/>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pML92</w:t>
            </w:r>
          </w:p>
        </w:tc>
        <w:tc>
          <w:tcPr>
            <w:tcW w:w="4606"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Atg19-GFP-µNS(471-721); pRS415</w:t>
            </w:r>
          </w:p>
        </w:tc>
        <w:tc>
          <w:tcPr>
            <w:tcW w:w="1062" w:type="dxa"/>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GPD</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CYC1</w:t>
            </w:r>
          </w:p>
        </w:tc>
        <w:tc>
          <w:tcPr>
            <w:tcW w:w="2069" w:type="dxa"/>
            <w:gridSpan w:val="3"/>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This study</w:t>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pML145</w:t>
            </w:r>
          </w:p>
        </w:tc>
        <w:tc>
          <w:tcPr>
            <w:tcW w:w="460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Cnb1-2xProteinA-Atg19; pRS416</w:t>
            </w:r>
          </w:p>
        </w:tc>
        <w:tc>
          <w:tcPr>
            <w:tcW w:w="1062" w:type="dxa"/>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Atg19</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CYC1</w:t>
            </w:r>
          </w:p>
        </w:tc>
        <w:tc>
          <w:tcPr>
            <w:tcW w:w="2069" w:type="dxa"/>
            <w:gridSpan w:val="3"/>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pML146</w:t>
            </w:r>
          </w:p>
        </w:tc>
        <w:tc>
          <w:tcPr>
            <w:tcW w:w="4606"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FKBP-GFP-µNS(471-721); pRS415</w:t>
            </w:r>
          </w:p>
        </w:tc>
        <w:tc>
          <w:tcPr>
            <w:tcW w:w="1062" w:type="dxa"/>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GPD</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color w:themeColor="text1" w:val="000000"/>
                <w:sz w:val="16"/>
                <w:szCs w:val="16"/>
              </w:rPr>
            </w:pPr>
            <w:r>
              <w:rPr>
                <w:sz w:val="16"/>
                <w:szCs w:val="16"/>
              </w:rPr>
              <w:t>CYC1</w:t>
            </w:r>
          </w:p>
        </w:tc>
        <w:tc>
          <w:tcPr>
            <w:tcW w:w="2069" w:type="dxa"/>
            <w:gridSpan w:val="3"/>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This study</w:t>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FWP00841</w:t>
            </w:r>
          </w:p>
        </w:tc>
        <w:tc>
          <w:tcPr>
            <w:tcW w:w="460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mTagBFP-3xGBP; pRS304</w:t>
            </w:r>
          </w:p>
        </w:tc>
        <w:tc>
          <w:tcPr>
            <w:tcW w:w="1062" w:type="dxa"/>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CUP1</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w:t>
            </w:r>
          </w:p>
        </w:tc>
        <w:tc>
          <w:tcPr>
            <w:tcW w:w="2069" w:type="dxa"/>
            <w:gridSpan w:val="3"/>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44" w:hRule="atLeast"/>
        </w:trPr>
        <w:tc>
          <w:tcPr>
            <w:tcW w:w="1260"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FWP00344</w:t>
            </w:r>
          </w:p>
        </w:tc>
        <w:tc>
          <w:tcPr>
            <w:tcW w:w="460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mCherry-Atg8; pRS305</w:t>
            </w:r>
          </w:p>
        </w:tc>
        <w:tc>
          <w:tcPr>
            <w:tcW w:w="1062" w:type="dxa"/>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ADH1</w:t>
            </w:r>
          </w:p>
        </w:tc>
        <w:tc>
          <w:tcPr>
            <w:tcW w:w="1207" w:type="dxa"/>
            <w:gridSpan w:val="2"/>
            <w:tcBorders>
              <w:top w:val="dotted" w:sz="4" w:space="0" w:color="000000"/>
              <w:bottom w:val="dotted" w:sz="4" w:space="0" w:color="000000"/>
            </w:tcBorders>
            <w:shd w:color="auto" w:fill="auto" w:val="clear"/>
          </w:tcPr>
          <w:p>
            <w:pPr>
              <w:pStyle w:val="Normal"/>
              <w:spacing w:lineRule="auto" w:line="240"/>
              <w:jc w:val="center"/>
              <w:rPr>
                <w:sz w:val="16"/>
                <w:szCs w:val="16"/>
              </w:rPr>
            </w:pPr>
            <w:r>
              <w:rPr>
                <w:sz w:val="16"/>
                <w:szCs w:val="16"/>
              </w:rPr>
              <w:t>-</w:t>
            </w:r>
          </w:p>
        </w:tc>
        <w:tc>
          <w:tcPr>
            <w:tcW w:w="2069" w:type="dxa"/>
            <w:gridSpan w:val="3"/>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bl>
    <w:tbl>
      <w:tblPr>
        <w:tblpPr w:vertAnchor="text" w:horzAnchor="margin" w:tblpXSpec="center" w:leftFromText="180" w:rightFromText="180" w:tblpY="-556"/>
        <w:tblW w:w="11043"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265"/>
        <w:gridCol w:w="6266"/>
        <w:gridCol w:w="1149"/>
        <w:gridCol w:w="1912"/>
        <w:gridCol w:w="450"/>
      </w:tblGrid>
      <w:tr>
        <w:trPr>
          <w:trHeight w:val="315" w:hRule="atLeast"/>
        </w:trPr>
        <w:tc>
          <w:tcPr>
            <w:tcW w:w="10592" w:type="dxa"/>
            <w:gridSpan w:val="4"/>
            <w:tcBorders/>
            <w:shd w:color="auto" w:fill="auto" w:val="clear"/>
            <w:vAlign w:val="bottom"/>
          </w:tcPr>
          <w:p>
            <w:pPr>
              <w:pStyle w:val="Normal"/>
              <w:spacing w:lineRule="auto" w:line="240" w:before="0" w:after="240"/>
              <w:rPr>
                <w:b/>
                <w:bCs/>
                <w:color w:themeColor="text1" w:val="000000"/>
              </w:rPr>
            </w:pPr>
            <w:r>
              <w:rPr>
                <w:b/>
                <w:bCs/>
                <w:color w:themeColor="text1" w:val="000000"/>
              </w:rPr>
              <w:t>Appendix Table S3 – Yeast strains used in this study</w:t>
            </w:r>
          </w:p>
          <w:p>
            <w:pPr>
              <w:pStyle w:val="Normal"/>
              <w:spacing w:lineRule="auto" w:line="240" w:before="0" w:after="240"/>
              <w:rPr>
                <w:b/>
                <w:bCs/>
                <w:color w:themeColor="text1" w:val="000000"/>
              </w:rPr>
            </w:pPr>
            <w:r>
              <w:rPr>
                <w:b/>
                <w:bCs/>
                <w:color w:themeColor="text1" w:val="000000"/>
              </w:rPr>
            </w:r>
          </w:p>
        </w:tc>
        <w:tc>
          <w:tcPr>
            <w:tcW w:w="450" w:type="dxa"/>
            <w:tcBorders/>
          </w:tcPr>
          <w:p>
            <w:pPr>
              <w:pStyle w:val="Normal"/>
              <w:rPr/>
            </w:pPr>
            <w:r>
              <w:rPr/>
            </w:r>
          </w:p>
        </w:tc>
      </w:tr>
      <w:tr>
        <w:trPr>
          <w:trHeight w:val="282" w:hRule="atLeast"/>
        </w:trPr>
        <w:tc>
          <w:tcPr>
            <w:tcW w:w="1265" w:type="dxa"/>
            <w:tcBorders>
              <w:top w:val="single" w:sz="4" w:space="0" w:color="000000"/>
              <w:bottom w:val="single" w:sz="4" w:space="0" w:color="000000"/>
            </w:tcBorders>
            <w:shd w:color="auto" w:fill="F2F2F2" w:themeFill="background1" w:themeFillShade="f2" w:val="clear"/>
            <w:vAlign w:val="center"/>
          </w:tcPr>
          <w:p>
            <w:pPr>
              <w:pStyle w:val="Normal"/>
              <w:spacing w:lineRule="auto" w:line="240"/>
              <w:rPr>
                <w:b/>
                <w:bCs/>
                <w:color w:themeColor="text1" w:val="000000"/>
                <w:sz w:val="16"/>
                <w:szCs w:val="16"/>
              </w:rPr>
            </w:pPr>
            <w:r>
              <w:rPr>
                <w:b/>
                <w:bCs/>
                <w:color w:themeColor="text1" w:val="000000"/>
                <w:sz w:val="16"/>
                <w:szCs w:val="16"/>
              </w:rPr>
              <w:t>Name</w:t>
            </w:r>
          </w:p>
        </w:tc>
        <w:tc>
          <w:tcPr>
            <w:tcW w:w="6266" w:type="dxa"/>
            <w:tcBorders>
              <w:top w:val="single" w:sz="4" w:space="0" w:color="000000"/>
              <w:bottom w:val="single" w:sz="4" w:space="0" w:color="000000"/>
            </w:tcBorders>
            <w:shd w:color="auto" w:fill="F2F2F2" w:themeFill="background1" w:themeFillShade="f2" w:val="clear"/>
            <w:vAlign w:val="center"/>
          </w:tcPr>
          <w:p>
            <w:pPr>
              <w:pStyle w:val="Normal"/>
              <w:spacing w:lineRule="auto" w:line="240"/>
              <w:rPr>
                <w:b/>
                <w:bCs/>
                <w:color w:themeColor="text1" w:val="000000"/>
                <w:sz w:val="16"/>
                <w:szCs w:val="16"/>
              </w:rPr>
            </w:pPr>
            <w:r>
              <w:rPr>
                <w:b/>
                <w:bCs/>
                <w:color w:themeColor="text1" w:val="000000"/>
                <w:sz w:val="16"/>
                <w:szCs w:val="16"/>
              </w:rPr>
              <w:t>Genotype</w:t>
            </w:r>
          </w:p>
        </w:tc>
        <w:tc>
          <w:tcPr>
            <w:tcW w:w="1149" w:type="dxa"/>
            <w:tcBorders>
              <w:top w:val="single" w:sz="4" w:space="0" w:color="000000"/>
              <w:bottom w:val="single" w:sz="4" w:space="0" w:color="000000"/>
            </w:tcBorders>
            <w:shd w:color="auto" w:fill="F2F2F2" w:themeFill="background1" w:themeFillShade="f2" w:val="clear"/>
            <w:vAlign w:val="center"/>
          </w:tcPr>
          <w:p>
            <w:pPr>
              <w:pStyle w:val="Normal"/>
              <w:spacing w:lineRule="auto" w:line="240"/>
              <w:rPr>
                <w:b/>
                <w:bCs/>
                <w:color w:themeColor="text1" w:val="000000"/>
                <w:sz w:val="16"/>
                <w:szCs w:val="16"/>
              </w:rPr>
            </w:pPr>
            <w:r>
              <w:rPr>
                <w:b/>
                <w:bCs/>
                <w:color w:themeColor="text1" w:val="000000"/>
                <w:sz w:val="16"/>
                <w:szCs w:val="16"/>
              </w:rPr>
              <w:t>Background</w:t>
            </w:r>
          </w:p>
        </w:tc>
        <w:tc>
          <w:tcPr>
            <w:tcW w:w="2362" w:type="dxa"/>
            <w:gridSpan w:val="2"/>
            <w:tcBorders>
              <w:top w:val="single" w:sz="4" w:space="0" w:color="000000"/>
              <w:bottom w:val="single" w:sz="4" w:space="0" w:color="000000"/>
            </w:tcBorders>
            <w:shd w:color="auto" w:fill="F2F2F2" w:themeFill="background1" w:themeFillShade="f2" w:val="clear"/>
            <w:vAlign w:val="center"/>
          </w:tcPr>
          <w:p>
            <w:pPr>
              <w:pStyle w:val="Normal"/>
              <w:spacing w:lineRule="auto" w:line="240"/>
              <w:rPr>
                <w:b/>
                <w:bCs/>
                <w:color w:themeColor="text1" w:val="000000"/>
                <w:sz w:val="16"/>
                <w:szCs w:val="16"/>
              </w:rPr>
            </w:pPr>
            <w:r>
              <w:rPr>
                <w:b/>
                <w:bCs/>
                <w:color w:themeColor="text1" w:val="000000"/>
                <w:sz w:val="16"/>
                <w:szCs w:val="16"/>
              </w:rPr>
              <w:t>Source</w:t>
            </w:r>
          </w:p>
        </w:tc>
      </w:tr>
      <w:tr>
        <w:trPr>
          <w:trHeight w:val="244" w:hRule="exact"/>
        </w:trPr>
        <w:tc>
          <w:tcPr>
            <w:tcW w:w="1265" w:type="dxa"/>
            <w:tcBorders>
              <w:top w:val="single"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BY4741</w:t>
            </w:r>
          </w:p>
        </w:tc>
        <w:tc>
          <w:tcPr>
            <w:tcW w:w="6266" w:type="dxa"/>
            <w:tcBorders>
              <w:top w:val="single"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his3∆1 leu2∆0 met15∆0 ura3∆0; Mat a</w:t>
            </w:r>
          </w:p>
        </w:tc>
        <w:tc>
          <w:tcPr>
            <w:tcW w:w="1149" w:type="dxa"/>
            <w:tcBorders>
              <w:top w:val="single"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BY474x</w:t>
            </w:r>
          </w:p>
        </w:tc>
        <w:tc>
          <w:tcPr>
            <w:tcW w:w="2362" w:type="dxa"/>
            <w:gridSpan w:val="2"/>
            <w:tcBorders>
              <w:top w:val="single"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Euroscarf</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DF5</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leu2-3 leu2-112 his3-∆200 lys2-801 trp1-1(am) ura3</w:t>
            </w:r>
          </w:p>
        </w:tc>
        <w:tc>
          <w:tcPr>
            <w:tcW w:w="1149"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DF5</w:t>
            </w:r>
          </w:p>
        </w:tc>
        <w:tc>
          <w:tcPr>
            <w:tcW w:w="2362"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 xml:space="preserve">Finley </w:t>
            </w:r>
            <w:r>
              <w:rPr>
                <w:i/>
                <w:iCs/>
                <w:sz w:val="16"/>
                <w:szCs w:val="16"/>
              </w:rPr>
              <w:t>et al</w:t>
            </w:r>
            <w:r>
              <w:rPr>
                <w:sz w:val="16"/>
                <w:szCs w:val="16"/>
              </w:rPr>
              <w:t xml:space="preserve">., 1987 </w:t>
            </w:r>
            <w:r>
              <w:fldChar w:fldCharType="begin"/>
            </w:r>
            <w:r>
              <w:rPr>
                <w:sz w:val="16"/>
                <w:szCs w:val="16"/>
              </w:rPr>
              <w:instrText xml:space="preserve">ADDIN ZOTERO_ITEM CSL_CITATION {"citationID":"rGxhUVxE","properties":{"formattedCitation":"\\super 4\\nosupersub{}","plainCitation":"4","noteIndex":0},"citationItems":[{"id":853,"uris":["http://zotero.org/users/local/pqnyHZtz/items/C7IDBSQX"],"itemData":{"id":853,"type":"article-journal","container-title":"Cell","DOI":"10.1016/0092-8674(87)90711-2","ISSN":"0092-8674, 1097-4172","issue":"6","journalAbbreviation":"Cell","language":"English","note":"publisher: Elsevier\nPMID: 3030556","page":"1035-1046","source":"www.cell.com","title":"The yeast polyubiquitin gene is essential for resistance to high temperatures, starvation, and other stresses","volume":"48","author":[{"family":"Finley","given":"Daniel"},{"family":"Özkaynak","given":"Engin"},{"family":"Varshavsky","given":"Alexander"}],"issued":{"date-parts":[["1987",3,27]]}}}],"schema":"https://github.com/citation-style-language/schema/raw/master/csl-citation.json"}</w:instrText>
            </w:r>
            <w:r>
              <w:rPr>
                <w:sz w:val="16"/>
                <w:szCs w:val="16"/>
              </w:rPr>
            </w:r>
            <w:r>
              <w:rPr>
                <w:sz w:val="16"/>
                <w:szCs w:val="16"/>
              </w:rPr>
              <w:fldChar w:fldCharType="separate"/>
            </w:r>
            <w:r>
              <w:rPr>
                <w:sz w:val="16"/>
                <w:szCs w:val="16"/>
              </w:rPr>
            </w:r>
            <w:r>
              <w:rPr>
                <w:sz w:val="16"/>
                <w:vertAlign w:val="superscript"/>
                <w:lang w:val="en-GB"/>
              </w:rPr>
              <w:t>4</w:t>
            </w:r>
            <w:r/>
            <w:r>
              <w:rPr>
                <w:sz w:val="16"/>
                <w:szCs w:val="16"/>
              </w:rPr>
              <w:fldChar w:fldCharType="end"/>
            </w:r>
            <w:r>
              <w:rPr>
                <w:sz w:val="16"/>
                <w:szCs w:val="16"/>
              </w:rPr>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yDH231</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GFP-Atg11 vac8::kan; Mat a</w:t>
            </w:r>
          </w:p>
        </w:tc>
        <w:tc>
          <w:tcPr>
            <w:tcW w:w="1149"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 xml:space="preserve">Hollenstein </w:t>
            </w:r>
            <w:r>
              <w:rPr>
                <w:i/>
                <w:iCs/>
                <w:sz w:val="16"/>
                <w:szCs w:val="16"/>
              </w:rPr>
              <w:t>et al</w:t>
            </w:r>
            <w:r>
              <w:rPr>
                <w:sz w:val="16"/>
                <w:szCs w:val="16"/>
              </w:rPr>
              <w:t xml:space="preserve">., 2021 </w:t>
            </w:r>
            <w:r>
              <w:fldChar w:fldCharType="begin"/>
            </w:r>
            <w:r>
              <w:rPr>
                <w:sz w:val="16"/>
                <w:szCs w:val="16"/>
              </w:rPr>
              <w:instrText xml:space="preserve">ADDIN ZOTERO_ITEM CSL_CITATION {"citationID":"83QxgbTR","properties":{"formattedCitation":"\\super 3\\nosupersub{}","plainCitation":"3","noteIndex":0},"citationItems":[{"id":247,"uris":["http://zotero.org/users/local/pqnyHZtz/items/TMUBSMCP"],"itemData":{"id":247,"type":"article-journal","abstract":"Autophagosomes form at the endoplasmic reticulum in mammals, and between the vacuole and the endoplasmic reticulum in yeast. However, the roles of these sites and the mechanisms regulating autophagosome formation are incompletely understood. Vac8 is required for autophagy and recruits the Atg1 kinase complex to the vacuole. Here we show that Vac8 acts as a central hub to nucleate the phagophore assembly site at the vacuolar membrane during selective autophagy. Vac8 directly recruits the cargo complex via the Atg11 scaffold. In addition, Vac8 recruits the phosphatidylinositol 3-kinase complex independently of autophagy. Cargo-dependent clustering and Vac8-dependent sequestering of these early autophagy factors, along with local Atg1 activation, promote phagophore assembly site assembly at the vacuole. Importantly, ectopic Vac8 redirects autophagosome formation to the nuclear membrane, indicating that the vacuolar membrane is not specifically required. We propose that multiple avidity-driven interactions drive the initiation and progression of selective autophagy.","container-title":"Nature Communications","DOI":"10.1038/s41467-021-27420-3","ISSN":"2041-1723","issue":"1","journalAbbreviation":"Nat Commun","language":"en","license":"2021 The Author(s)","note":"number: 1\npublisher: Nature Publishing Group","page":"7194","source":"www.nature.com","title":"Spatial control of avidity regulates initiation and progression of selective autophagy","volume":"12","author":[{"family":"Hollenstein","given":"David M."},{"family":"Licheva","given":"Mariya"},{"family":"Konradi","given":"Nicole"},{"family":"Schweida","given":"David"},{"family":"Mancilla","given":"Hector"},{"family":"Mari","given":"Muriel"},{"family":"Reggiori","given":"Fulvio"},{"family":"Kraft","given":"Claudine"}],"issued":{"date-parts":[["2021",12,10]]}}}],"schema":"https://github.com/citation-style-language/schema/raw/master/csl-citation.json"}</w:instrText>
            </w:r>
            <w:r>
              <w:rPr>
                <w:sz w:val="16"/>
                <w:szCs w:val="16"/>
              </w:rPr>
            </w:r>
            <w:r>
              <w:rPr>
                <w:sz w:val="16"/>
                <w:szCs w:val="16"/>
              </w:rPr>
              <w:fldChar w:fldCharType="separate"/>
            </w:r>
            <w:r>
              <w:rPr>
                <w:sz w:val="16"/>
                <w:szCs w:val="16"/>
              </w:rPr>
            </w:r>
            <w:r>
              <w:rPr>
                <w:sz w:val="16"/>
                <w:vertAlign w:val="superscript"/>
              </w:rPr>
              <w:t>3</w:t>
            </w:r>
            <w:r/>
            <w:r>
              <w:rPr>
                <w:sz w:val="16"/>
                <w:szCs w:val="16"/>
              </w:rPr>
              <w:fldChar w:fldCharType="end"/>
            </w:r>
            <w:r>
              <w:rPr>
                <w:sz w:val="16"/>
                <w:szCs w:val="16"/>
              </w:rPr>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yDH334</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ape1::kan atg19::hyg; Mat a</w:t>
            </w:r>
          </w:p>
        </w:tc>
        <w:tc>
          <w:tcPr>
            <w:tcW w:w="1149"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This study</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yDH439</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Vph1-GFP:His atg19::hyg vac8::kan; Mat alpha</w:t>
            </w:r>
          </w:p>
        </w:tc>
        <w:tc>
          <w:tcPr>
            <w:tcW w:w="1149"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 xml:space="preserve">Hollenstein </w:t>
            </w:r>
            <w:r>
              <w:rPr>
                <w:i/>
                <w:iCs/>
                <w:sz w:val="16"/>
                <w:szCs w:val="16"/>
              </w:rPr>
              <w:t>et al</w:t>
            </w:r>
            <w:r>
              <w:rPr>
                <w:sz w:val="16"/>
                <w:szCs w:val="16"/>
              </w:rPr>
              <w:t xml:space="preserve">., 2021 </w:t>
            </w:r>
            <w:r>
              <w:fldChar w:fldCharType="begin"/>
            </w:r>
            <w:r>
              <w:rPr>
                <w:sz w:val="16"/>
                <w:szCs w:val="16"/>
              </w:rPr>
              <w:instrText xml:space="preserve">ADDIN ZOTERO_ITEM CSL_CITATION {"citationID":"diBV80ms","properties":{"formattedCitation":"\\super 3\\nosupersub{}","plainCitation":"3","noteIndex":0},"citationItems":[{"id":247,"uris":["http://zotero.org/users/local/pqnyHZtz/items/TMUBSMCP"],"itemData":{"id":247,"type":"article-journal","abstract":"Autophagosomes form at the endoplasmic reticulum in mammals, and between the vacuole and the endoplasmic reticulum in yeast. However, the roles of these sites and the mechanisms regulating autophagosome formation are incompletely understood. Vac8 is required for autophagy and recruits the Atg1 kinase complex to the vacuole. Here we show that Vac8 acts as a central hub to nucleate the phagophore assembly site at the vacuolar membrane during selective autophagy. Vac8 directly recruits the cargo complex via the Atg11 scaffold. In addition, Vac8 recruits the phosphatidylinositol 3-kinase complex independently of autophagy. Cargo-dependent clustering and Vac8-dependent sequestering of these early autophagy factors, along with local Atg1 activation, promote phagophore assembly site assembly at the vacuole. Importantly, ectopic Vac8 redirects autophagosome formation to the nuclear membrane, indicating that the vacuolar membrane is not specifically required. We propose that multiple avidity-driven interactions drive the initiation and progression of selective autophagy.","container-title":"Nature Communications","DOI":"10.1038/s41467-021-27420-3","ISSN":"2041-1723","issue":"1","journalAbbreviation":"Nat Commun","language":"en","license":"2021 The Author(s)","note":"number: 1\npublisher: Nature Publishing Group","page":"7194","source":"www.nature.com","title":"Spatial control of avidity regulates initiation and progression of selective autophagy","volume":"12","author":[{"family":"Hollenstein","given":"David M."},{"family":"Licheva","given":"Mariya"},{"family":"Konradi","given":"Nicole"},{"family":"Schweida","given":"David"},{"family":"Mancilla","given":"Hector"},{"family":"Mari","given":"Muriel"},{"family":"Reggiori","given":"Fulvio"},{"family":"Kraft","given":"Claudine"}],"issued":{"date-parts":[["2021",12,10]]}}}],"schema":"https://github.com/citation-style-language/schema/raw/master/csl-citation.json"}</w:instrText>
            </w:r>
            <w:r>
              <w:rPr>
                <w:sz w:val="16"/>
                <w:szCs w:val="16"/>
              </w:rPr>
            </w:r>
            <w:r>
              <w:rPr>
                <w:sz w:val="16"/>
                <w:szCs w:val="16"/>
              </w:rPr>
              <w:fldChar w:fldCharType="separate"/>
            </w:r>
            <w:r>
              <w:rPr>
                <w:sz w:val="16"/>
                <w:szCs w:val="16"/>
              </w:rPr>
            </w:r>
            <w:r>
              <w:rPr>
                <w:sz w:val="16"/>
                <w:vertAlign w:val="superscript"/>
              </w:rPr>
              <w:t>3</w:t>
            </w:r>
            <w:r/>
            <w:r>
              <w:rPr>
                <w:sz w:val="16"/>
                <w:szCs w:val="16"/>
              </w:rPr>
              <w:fldChar w:fldCharType="end"/>
            </w:r>
            <w:r>
              <w:rPr>
                <w:sz w:val="16"/>
                <w:szCs w:val="16"/>
              </w:rPr>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yDH445</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GFP-Atg11 atg9:kan vac8::kan; Mat a</w:t>
            </w:r>
          </w:p>
        </w:tc>
        <w:tc>
          <w:tcPr>
            <w:tcW w:w="1149"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yDH485</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atg19::hyg cnb1::kan fpr1::hyg; Mat a</w:t>
            </w:r>
          </w:p>
        </w:tc>
        <w:tc>
          <w:tcPr>
            <w:tcW w:w="1149"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yDP692</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GFP-Atg19:Ura, Mat a</w:t>
            </w:r>
          </w:p>
        </w:tc>
        <w:tc>
          <w:tcPr>
            <w:tcW w:w="1149"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This study</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yDP451</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atg19::hyg; Mat A</w:t>
            </w:r>
          </w:p>
        </w:tc>
        <w:tc>
          <w:tcPr>
            <w:tcW w:w="1149"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yFK7</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Vph1-4xmCherry:Ura3 pep4::nat atg15::kan; Mat alpha</w:t>
            </w:r>
          </w:p>
        </w:tc>
        <w:tc>
          <w:tcPr>
            <w:tcW w:w="1149"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 xml:space="preserve">Hollenstein </w:t>
            </w:r>
            <w:r>
              <w:rPr>
                <w:i/>
                <w:iCs/>
                <w:sz w:val="16"/>
                <w:szCs w:val="16"/>
              </w:rPr>
              <w:t>et al</w:t>
            </w:r>
            <w:r>
              <w:rPr>
                <w:sz w:val="16"/>
                <w:szCs w:val="16"/>
              </w:rPr>
              <w:t xml:space="preserve">., 2019 </w:t>
            </w:r>
            <w:r>
              <w:fldChar w:fldCharType="begin"/>
            </w:r>
            <w:r>
              <w:rPr>
                <w:sz w:val="16"/>
                <w:szCs w:val="16"/>
              </w:rPr>
              <w:instrText xml:space="preserve">ADDIN ZOTERO_ITEM CSL_CITATION {"citationID":"5wrS0FQG","properties":{"formattedCitation":"\\super 5\\nosupersub{}","plainCitation":"5","noteIndex":0},"citationItems":[{"id":508,"uris":["http://zotero.org/users/local/pqnyHZtz/items/9I5PFTZD"],"itemData":{"id":508,"type":"article-journal","abstract":"Autophagy is initiated by the formation of a phagophore assembly site (PAS), the precursor of autophagosomes. In mammals, autophagosome formation sites form throughout the cytosol in specialized subdomains of the endoplasmic reticulum (ER). In yeast, the PAS is also generated close to the ER, but always in the vicinity of the vacuole. How the PAS is anchored to the vacuole and the functional significance of this localization are unknown. Here, we investigated the role of the PAS-vacuole connection for bulk autophagy in the yeast Saccharomyces cerevisiae We show that Vac8 constitutes a vacuolar tether that stably anchors the PAS to the vacuole throughout autophagosome biogenesis via the PAS component Atg13. S. cerevisiae lacking Vac8 show inefficient autophagosome-vacuole fusion, and form fewer and smaller autophagosomes that often localize away from the vacuole. Thus, the stable PAS-vacuole connection established by Vac8 creates a confined space for autophagosome biogenesis between the ER and the vacuole, and allows spatial coordination of autophagosome formation and autophagosome-vacuole fusion. These findings reveal that the spatial regulation of autophagosome formation at the vacuole is required for efficient bulk autophagy.","container-title":"Journal of Cell Science","DOI":"10.1242/jcs.235002","ISSN":"1477-9137","issue":"22","journalAbbreviation":"J Cell Sci","language":"eng","note":"PMID: 31649143\nPMCID: PMC6899017","page":"jcs235002","source":"PubMed","title":"Vac8 spatially confines autophagosome formation at the vacuole in S. cerevisiae","volume":"132","author":[{"family":"Hollenstein","given":"David M."},{"family":"Gómez-Sánchez","given":"Rubén"},{"family":"Ciftci","given":"Akif"},{"family":"Kriegenburg","given":"Franziska"},{"family":"Mari","given":"Muriel"},{"family":"Torggler","given":"Raffaela"},{"family":"Licheva","given":"Mariya"},{"family":"Reggiori","given":"Fulvio"},{"family":"Kraft","given":"Claudine"}],"issued":{"date-parts":[["2019",11,14]]}}}],"schema":"https://github.com/citation-style-language/schema/raw/master/csl-citation.json"}</w:instrText>
            </w:r>
            <w:r>
              <w:rPr>
                <w:sz w:val="16"/>
                <w:szCs w:val="16"/>
              </w:rPr>
            </w:r>
            <w:r>
              <w:rPr>
                <w:sz w:val="16"/>
                <w:szCs w:val="16"/>
              </w:rPr>
              <w:fldChar w:fldCharType="separate"/>
            </w:r>
            <w:r>
              <w:rPr>
                <w:sz w:val="16"/>
                <w:szCs w:val="16"/>
              </w:rPr>
            </w:r>
            <w:r>
              <w:rPr>
                <w:sz w:val="16"/>
                <w:vertAlign w:val="superscript"/>
                <w:lang w:val="en-GB"/>
              </w:rPr>
              <w:t>5</w:t>
            </w:r>
            <w:r/>
            <w:r>
              <w:rPr>
                <w:sz w:val="16"/>
                <w:szCs w:val="16"/>
              </w:rPr>
              <w:fldChar w:fldCharType="end"/>
            </w:r>
            <w:r>
              <w:rPr>
                <w:sz w:val="16"/>
                <w:szCs w:val="16"/>
              </w:rPr>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yFK10</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Vph1-4xmCherry:Ura3 pep4::nat atg15::kan vac8::kan; Mat a</w:t>
            </w:r>
          </w:p>
        </w:tc>
        <w:tc>
          <w:tcPr>
            <w:tcW w:w="1149"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yML39</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GFP-Atg11 atg9::kan; Mat a</w:t>
            </w:r>
          </w:p>
        </w:tc>
        <w:tc>
          <w:tcPr>
            <w:tcW w:w="1149"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 xml:space="preserve">Hollenstein </w:t>
            </w:r>
            <w:r>
              <w:rPr>
                <w:i/>
                <w:iCs/>
                <w:sz w:val="16"/>
                <w:szCs w:val="16"/>
              </w:rPr>
              <w:t>et al</w:t>
            </w:r>
            <w:r>
              <w:rPr>
                <w:sz w:val="16"/>
                <w:szCs w:val="16"/>
              </w:rPr>
              <w:t xml:space="preserve">., 2021 </w:t>
            </w:r>
            <w:r>
              <w:fldChar w:fldCharType="begin"/>
            </w:r>
            <w:r>
              <w:rPr>
                <w:sz w:val="16"/>
                <w:szCs w:val="16"/>
              </w:rPr>
              <w:instrText xml:space="preserve">ADDIN ZOTERO_ITEM CSL_CITATION {"citationID":"Oz8Sq8dh","properties":{"formattedCitation":"\\super 3\\nosupersub{}","plainCitation":"3","noteIndex":0},"citationItems":[{"id":247,"uris":["http://zotero.org/users/local/pqnyHZtz/items/TMUBSMCP"],"itemData":{"id":247,"type":"article-journal","abstract":"Autophagosomes form at the endoplasmic reticulum in mammals, and between the vacuole and the endoplasmic reticulum in yeast. However, the roles of these sites and the mechanisms regulating autophagosome formation are incompletely understood. Vac8 is required for autophagy and recruits the Atg1 kinase complex to the vacuole. Here we show that Vac8 acts as a central hub to nucleate the phagophore assembly site at the vacuolar membrane during selective autophagy. Vac8 directly recruits the cargo complex via the Atg11 scaffold. In addition, Vac8 recruits the phosphatidylinositol 3-kinase complex independently of autophagy. Cargo-dependent clustering and Vac8-dependent sequestering of these early autophagy factors, along with local Atg1 activation, promote phagophore assembly site assembly at the vacuole. Importantly, ectopic Vac8 redirects autophagosome formation to the nuclear membrane, indicating that the vacuolar membrane is not specifically required. We propose that multiple avidity-driven interactions drive the initiation and progression of selective autophagy.","container-title":"Nature Communications","DOI":"10.1038/s41467-021-27420-3","ISSN":"2041-1723","issue":"1","journalAbbreviation":"Nat Commun","language":"en","license":"2021 The Author(s)","note":"number: 1\npublisher: Nature Publishing Group","page":"7194","source":"www.nature.com","title":"Spatial control of avidity regulates initiation and progression of selective autophagy","volume":"12","author":[{"family":"Hollenstein","given":"David M."},{"family":"Licheva","given":"Mariya"},{"family":"Konradi","given":"Nicole"},{"family":"Schweida","given":"David"},{"family":"Mancilla","given":"Hector"},{"family":"Mari","given":"Muriel"},{"family":"Reggiori","given":"Fulvio"},{"family":"Kraft","given":"Claudine"}],"issued":{"date-parts":[["2021",12,10]]}}}],"schema":"https://github.com/citation-style-language/schema/raw/master/csl-citation.json"}</w:instrText>
            </w:r>
            <w:r>
              <w:rPr>
                <w:sz w:val="16"/>
                <w:szCs w:val="16"/>
              </w:rPr>
            </w:r>
            <w:r>
              <w:rPr>
                <w:sz w:val="16"/>
                <w:szCs w:val="16"/>
              </w:rPr>
              <w:fldChar w:fldCharType="separate"/>
            </w:r>
            <w:r>
              <w:rPr>
                <w:sz w:val="16"/>
                <w:szCs w:val="16"/>
              </w:rPr>
            </w:r>
            <w:r>
              <w:rPr>
                <w:sz w:val="16"/>
                <w:vertAlign w:val="superscript"/>
              </w:rPr>
              <w:t>3</w:t>
            </w:r>
            <w:r/>
            <w:r>
              <w:rPr>
                <w:sz w:val="16"/>
                <w:szCs w:val="16"/>
              </w:rPr>
              <w:fldChar w:fldCharType="end"/>
            </w:r>
            <w:r>
              <w:rPr>
                <w:sz w:val="16"/>
                <w:szCs w:val="16"/>
              </w:rPr>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yML68</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Atg9-3xGFP:nat atg11::kan; Mat a</w:t>
            </w:r>
          </w:p>
        </w:tc>
        <w:tc>
          <w:tcPr>
            <w:tcW w:w="1149"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 xml:space="preserve">Hollenstein </w:t>
            </w:r>
            <w:r>
              <w:rPr>
                <w:i/>
                <w:iCs/>
                <w:sz w:val="16"/>
                <w:szCs w:val="16"/>
              </w:rPr>
              <w:t>et al</w:t>
            </w:r>
            <w:r>
              <w:rPr>
                <w:sz w:val="16"/>
                <w:szCs w:val="16"/>
              </w:rPr>
              <w:t xml:space="preserve">., 2021 </w:t>
            </w:r>
            <w:r>
              <w:fldChar w:fldCharType="begin"/>
            </w:r>
            <w:r>
              <w:rPr>
                <w:sz w:val="16"/>
                <w:szCs w:val="16"/>
              </w:rPr>
              <w:instrText xml:space="preserve">ADDIN ZOTERO_ITEM CSL_CITATION {"citationID":"n0INoJsq","properties":{"formattedCitation":"\\super 3\\nosupersub{}","plainCitation":"3","noteIndex":0},"citationItems":[{"id":247,"uris":["http://zotero.org/users/local/pqnyHZtz/items/TMUBSMCP"],"itemData":{"id":247,"type":"article-journal","abstract":"Autophagosomes form at the endoplasmic reticulum in mammals, and between the vacuole and the endoplasmic reticulum in yeast. However, the roles of these sites and the mechanisms regulating autophagosome formation are incompletely understood. Vac8 is required for autophagy and recruits the Atg1 kinase complex to the vacuole. Here we show that Vac8 acts as a central hub to nucleate the phagophore assembly site at the vacuolar membrane during selective autophagy. Vac8 directly recruits the cargo complex via the Atg11 scaffold. In addition, Vac8 recruits the phosphatidylinositol 3-kinase complex independently of autophagy. Cargo-dependent clustering and Vac8-dependent sequestering of these early autophagy factors, along with local Atg1 activation, promote phagophore assembly site assembly at the vacuole. Importantly, ectopic Vac8 redirects autophagosome formation to the nuclear membrane, indicating that the vacuolar membrane is not specifically required. We propose that multiple avidity-driven interactions drive the initiation and progression of selective autophagy.","container-title":"Nature Communications","DOI":"10.1038/s41467-021-27420-3","ISSN":"2041-1723","issue":"1","journalAbbreviation":"Nat Commun","language":"en","license":"2021 The Author(s)","note":"number: 1\npublisher: Nature Publishing Group","page":"7194","source":"www.nature.com","title":"Spatial control of avidity regulates initiation and progression of selective autophagy","volume":"12","author":[{"family":"Hollenstein","given":"David M."},{"family":"Licheva","given":"Mariya"},{"family":"Konradi","given":"Nicole"},{"family":"Schweida","given":"David"},{"family":"Mancilla","given":"Hector"},{"family":"Mari","given":"Muriel"},{"family":"Reggiori","given":"Fulvio"},{"family":"Kraft","given":"Claudine"}],"issued":{"date-parts":[["2021",12,10]]}}}],"schema":"https://github.com/citation-style-language/schema/raw/master/csl-citation.json"}</w:instrText>
            </w:r>
            <w:r>
              <w:rPr>
                <w:sz w:val="16"/>
                <w:szCs w:val="16"/>
              </w:rPr>
            </w:r>
            <w:r>
              <w:rPr>
                <w:sz w:val="16"/>
                <w:szCs w:val="16"/>
              </w:rPr>
              <w:fldChar w:fldCharType="separate"/>
            </w:r>
            <w:r>
              <w:rPr>
                <w:sz w:val="16"/>
                <w:szCs w:val="16"/>
              </w:rPr>
            </w:r>
            <w:r>
              <w:rPr>
                <w:sz w:val="16"/>
                <w:vertAlign w:val="superscript"/>
              </w:rPr>
              <w:t>3</w:t>
            </w:r>
            <w:r/>
            <w:r>
              <w:rPr>
                <w:sz w:val="16"/>
                <w:szCs w:val="16"/>
              </w:rPr>
              <w:fldChar w:fldCharType="end"/>
            </w:r>
            <w:r>
              <w:rPr>
                <w:sz w:val="16"/>
                <w:szCs w:val="16"/>
              </w:rPr>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yML112</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atg11::nat atg19:hyg ape1::kan; Mat a</w:t>
            </w:r>
          </w:p>
        </w:tc>
        <w:tc>
          <w:tcPr>
            <w:tcW w:w="1149"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This study</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yML118</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Nup170-GFP:His; Mat a</w:t>
            </w:r>
          </w:p>
        </w:tc>
        <w:tc>
          <w:tcPr>
            <w:tcW w:w="1149"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This study</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yML134</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mScarlet-Atg11:nat atg19::hyg; Mat a</w:t>
            </w:r>
          </w:p>
        </w:tc>
        <w:tc>
          <w:tcPr>
            <w:tcW w:w="1149"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This study</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yML135</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mScarlet-Atg11:nat atg19::hyg cnb1::kan fpr1::hyg; Mat alpha</w:t>
            </w:r>
          </w:p>
        </w:tc>
        <w:tc>
          <w:tcPr>
            <w:tcW w:w="1149"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This study</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yML153</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mScarlet-Atg11:nat atg19::hyg ape1::kan; Mat a</w:t>
            </w:r>
          </w:p>
        </w:tc>
        <w:tc>
          <w:tcPr>
            <w:tcW w:w="1149"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This study</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yML154</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mScarlet-Atg11:nat atg19::hyg ape1::kan cnb1::kan fpr1::hyg; Mat alpha</w:t>
            </w:r>
          </w:p>
        </w:tc>
        <w:tc>
          <w:tcPr>
            <w:tcW w:w="1149"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This study</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yML160</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atg19::hyg ape1::kan cnb1::kan fpr1::hyg; Mat a</w:t>
            </w:r>
          </w:p>
        </w:tc>
        <w:tc>
          <w:tcPr>
            <w:tcW w:w="1149"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This study</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yML172</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mScarlet-Atg8:nat Atg9-3xGFP:nat; Mat a</w:t>
            </w:r>
          </w:p>
        </w:tc>
        <w:tc>
          <w:tcPr>
            <w:tcW w:w="1149"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This study</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yML177</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Atg1-3xGFP:Ura mScarlet-Atg11:nat; Mat a</w:t>
            </w:r>
          </w:p>
        </w:tc>
        <w:tc>
          <w:tcPr>
            <w:tcW w:w="1149"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This study</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yTB283</w:t>
            </w:r>
          </w:p>
        </w:tc>
        <w:tc>
          <w:tcPr>
            <w:tcW w:w="6266"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GFP-Atg11; Mat a</w:t>
            </w:r>
          </w:p>
        </w:tc>
        <w:tc>
          <w:tcPr>
            <w:tcW w:w="1149"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 xml:space="preserve">Pfaffenwimmer </w:t>
            </w:r>
            <w:r>
              <w:rPr>
                <w:i/>
                <w:iCs/>
                <w:sz w:val="16"/>
                <w:szCs w:val="16"/>
              </w:rPr>
              <w:t>et al</w:t>
            </w:r>
            <w:r>
              <w:rPr>
                <w:sz w:val="16"/>
                <w:szCs w:val="16"/>
              </w:rPr>
              <w:t xml:space="preserve">., 2014 </w:t>
            </w:r>
            <w:r>
              <w:fldChar w:fldCharType="begin"/>
            </w:r>
            <w:r>
              <w:rPr>
                <w:sz w:val="16"/>
                <w:szCs w:val="16"/>
              </w:rPr>
              <w:instrText xml:space="preserve">ADDIN ZOTERO_ITEM CSL_CITATION {"citationID":"tnamF0Bq","properties":{"formattedCitation":"\\super 1\\nosupersub{}","plainCitation":"1","noteIndex":0},"citationItems":[{"id":38,"uris":["http://zotero.org/users/local/pqnyHZtz/items/LGVLDEQ4"],"itemData":{"id":38,"type":"article-journal","abstract":"Autophagy is the major pathway for the delivery of cytoplasmic material to the vacuole or lysosome. Selective autophagy is mediated by cargo receptors, which link the cargo to the scaffold protein Atg11 and to Atg8 family proteins on the forming autophagosomal membrane. We show that the essential kinase Hrr25 activates the cargo receptor Atg19 by phosphorylation, which is required to link cargo to the Atg11 scaffold, allowing selective autophagy to proceed. We also find that the Atg34 cargo receptor is regulated in a similar manner, suggesting a conserved mechanism.","container-title":"EMBO reports","language":"en","page":"9","source":"Zotero","title":"Hrr25 kinase promotes selective autophagy by phosphorylating the cargo receptor Atg19","author":[{"family":"Pfaffenwimmer","given":"Thaddaeus"},{"family":"Reiter","given":"Wolfgang"},{"family":"Brach","given":"Thorsten"},{"family":"Nogellova","given":"Veronika"},{"family":"Papinski","given":"Daniel"},{"family":"Schuschnig","given":"Martina"},{"family":"Abert","given":"Christine"},{"family":"Ammerer","given":"Gustav"},{"family":"Martens","given":"Sascha"},{"family":"Kraft","given":"Claudine"}],"issued":{"date-parts":[["2014"]]}}}],"schema":"https://github.com/citation-style-language/schema/raw/master/csl-citation.json"}</w:instrText>
            </w:r>
            <w:r>
              <w:rPr>
                <w:sz w:val="16"/>
                <w:szCs w:val="16"/>
              </w:rPr>
            </w:r>
            <w:r>
              <w:rPr>
                <w:sz w:val="16"/>
                <w:szCs w:val="16"/>
              </w:rPr>
              <w:fldChar w:fldCharType="separate"/>
            </w:r>
            <w:r>
              <w:rPr>
                <w:sz w:val="16"/>
                <w:szCs w:val="16"/>
              </w:rPr>
            </w:r>
            <w:r>
              <w:rPr>
                <w:sz w:val="16"/>
                <w:vertAlign w:val="superscript"/>
              </w:rPr>
              <w:t>1</w:t>
            </w:r>
            <w:r/>
            <w:r>
              <w:rPr>
                <w:sz w:val="16"/>
                <w:szCs w:val="16"/>
              </w:rPr>
              <w:fldChar w:fldCharType="end"/>
            </w:r>
            <w:r>
              <w:rPr>
                <w:sz w:val="16"/>
                <w:szCs w:val="16"/>
              </w:rPr>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yTB281</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lang w:val="de-DE"/>
              </w:rPr>
            </w:pPr>
            <w:r>
              <w:rPr>
                <w:sz w:val="16"/>
                <w:szCs w:val="16"/>
                <w:lang w:val="de-DE"/>
              </w:rPr>
              <w:t>GFP-Atg8; Mat a</w:t>
            </w:r>
          </w:p>
        </w:tc>
        <w:tc>
          <w:tcPr>
            <w:tcW w:w="1149"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yTB485</w:t>
            </w:r>
          </w:p>
        </w:tc>
        <w:tc>
          <w:tcPr>
            <w:tcW w:w="6266"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GFP-Atg11 Vac8-mCherry; Mat alpha</w:t>
            </w:r>
          </w:p>
        </w:tc>
        <w:tc>
          <w:tcPr>
            <w:tcW w:w="1149" w:type="dxa"/>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color w:themeColor="text1" w:val="000000"/>
                <w:sz w:val="16"/>
                <w:szCs w:val="16"/>
              </w:rPr>
            </w:pPr>
            <w:r>
              <w:rPr>
                <w:sz w:val="16"/>
                <w:szCs w:val="16"/>
              </w:rPr>
              <w:t>This study</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yTP65</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atg19::kan; Mat a</w:t>
            </w:r>
          </w:p>
        </w:tc>
        <w:tc>
          <w:tcPr>
            <w:tcW w:w="1149"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BY474x</w:t>
            </w:r>
          </w:p>
        </w:tc>
        <w:tc>
          <w:tcPr>
            <w:tcW w:w="2362"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 xml:space="preserve">Pfaffenwimmer </w:t>
            </w:r>
            <w:r>
              <w:rPr>
                <w:i/>
                <w:iCs/>
                <w:sz w:val="16"/>
                <w:szCs w:val="16"/>
              </w:rPr>
              <w:t>et al</w:t>
            </w:r>
            <w:r>
              <w:rPr>
                <w:sz w:val="16"/>
                <w:szCs w:val="16"/>
              </w:rPr>
              <w:t xml:space="preserve">., 2014 </w:t>
            </w:r>
            <w:r>
              <w:fldChar w:fldCharType="begin"/>
            </w:r>
            <w:r>
              <w:rPr>
                <w:sz w:val="16"/>
                <w:szCs w:val="16"/>
              </w:rPr>
              <w:instrText xml:space="preserve">ADDIN ZOTERO_TEMP</w:instrText>
            </w:r>
            <w:r>
              <w:rPr>
                <w:sz w:val="16"/>
                <w:szCs w:val="16"/>
              </w:rPr>
            </w:r>
            <w:r>
              <w:rPr>
                <w:sz w:val="16"/>
                <w:szCs w:val="16"/>
              </w:rPr>
              <w:fldChar w:fldCharType="separate"/>
            </w:r>
            <w:r>
              <w:rPr>
                <w:sz w:val="16"/>
                <w:szCs w:val="16"/>
              </w:rPr>
            </w:r>
            <w:r>
              <w:rPr>
                <w:sz w:val="16"/>
                <w:vertAlign w:val="superscript"/>
              </w:rPr>
              <w:t>1</w:t>
            </w:r>
            <w:r/>
            <w:r>
              <w:rPr>
                <w:sz w:val="16"/>
                <w:szCs w:val="16"/>
              </w:rPr>
              <w:fldChar w:fldCharType="end"/>
            </w:r>
            <w:r>
              <w:rPr>
                <w:sz w:val="16"/>
                <w:szCs w:val="16"/>
              </w:rPr>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FWY006612</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natNT2::pADH::EGFP-Ede1-EGFP:His leu2∆::pADH1::mCherry-Atg8:Leu; Mat alpha</w:t>
            </w:r>
          </w:p>
        </w:tc>
        <w:tc>
          <w:tcPr>
            <w:tcW w:w="1149"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DF5</w:t>
            </w:r>
          </w:p>
        </w:tc>
        <w:tc>
          <w:tcPr>
            <w:tcW w:w="2362"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FWY006617</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natNT2::pADH::EGFP-Ede1-EGFP:His; Mat alpha</w:t>
            </w:r>
          </w:p>
        </w:tc>
        <w:tc>
          <w:tcPr>
            <w:tcW w:w="1149"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DF5</w:t>
            </w:r>
          </w:p>
        </w:tc>
        <w:tc>
          <w:tcPr>
            <w:tcW w:w="2362"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435"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FWY006626</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natNT2::pADH::EGFP-Ede1-EGFP:His trp1∆::pCUP1::mTagBFP-3xGBP:Trp1  leu2∆::pADH::mCherry-Atg8:Leu; Mat alpha</w:t>
            </w:r>
          </w:p>
        </w:tc>
        <w:tc>
          <w:tcPr>
            <w:tcW w:w="1149"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DF5</w:t>
            </w:r>
          </w:p>
        </w:tc>
        <w:tc>
          <w:tcPr>
            <w:tcW w:w="2362"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427"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FWY006654</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natNT2::pADH::EGFP-Ede1-EGFP:His trp1∆::pCUP1::mTagBFP-3xGBP:Trp1; Mat alpha</w:t>
            </w:r>
          </w:p>
        </w:tc>
        <w:tc>
          <w:tcPr>
            <w:tcW w:w="1149"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DF5</w:t>
            </w:r>
          </w:p>
        </w:tc>
        <w:tc>
          <w:tcPr>
            <w:tcW w:w="2362"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44"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FWY006898</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natNT2::pADH::EGFP-Ede1-EGFP:His atg19::hyg; Mat alpha</w:t>
            </w:r>
          </w:p>
        </w:tc>
        <w:tc>
          <w:tcPr>
            <w:tcW w:w="1149"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DF5</w:t>
            </w:r>
          </w:p>
        </w:tc>
        <w:tc>
          <w:tcPr>
            <w:tcW w:w="2362"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451" w:hRule="exact"/>
        </w:trPr>
        <w:tc>
          <w:tcPr>
            <w:tcW w:w="1265"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FWY006900</w:t>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natNT2::pADH::EGFP-Ede1-EGFP:His  trp1∆::pCUP1::mTagBFP-3xGBP:Trp1 atg19::hyg; Mat alpha</w:t>
            </w:r>
          </w:p>
        </w:tc>
        <w:tc>
          <w:tcPr>
            <w:tcW w:w="1149"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DF5</w:t>
            </w:r>
          </w:p>
        </w:tc>
        <w:tc>
          <w:tcPr>
            <w:tcW w:w="2362"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90" w:hRule="exact"/>
        </w:trPr>
        <w:tc>
          <w:tcPr>
            <w:tcW w:w="1265" w:type="dxa"/>
            <w:tcBorders>
              <w:top w:val="dotted" w:sz="4" w:space="0" w:color="000000"/>
              <w:bottom w:val="dotted" w:sz="4" w:space="0" w:color="000000"/>
            </w:tcBorders>
            <w:shd w:color="auto" w:fill="auto" w:val="clear"/>
          </w:tcPr>
          <w:p>
            <w:pPr>
              <w:pStyle w:val="Normal"/>
              <w:spacing w:lineRule="auto" w:line="240"/>
              <w:rPr>
                <w:rFonts w:eastAsia="Times New Roman"/>
                <w:color w:val="000000"/>
                <w:sz w:val="14"/>
                <w:szCs w:val="14"/>
                <w:lang w:val="en-DE"/>
              </w:rPr>
            </w:pPr>
            <w:r>
              <w:rPr>
                <w:color w:val="000000"/>
                <w:sz w:val="16"/>
                <w:szCs w:val="16"/>
              </w:rPr>
              <w:t>FWY006975</w:t>
            </w:r>
          </w:p>
          <w:p>
            <w:pPr>
              <w:pStyle w:val="Normal"/>
              <w:spacing w:lineRule="auto" w:line="240"/>
              <w:rPr>
                <w:sz w:val="16"/>
                <w:szCs w:val="16"/>
              </w:rPr>
            </w:pPr>
            <w:r>
              <w:rPr>
                <w:sz w:val="16"/>
                <w:szCs w:val="16"/>
              </w:rPr>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natNT2::pADH::Ede1::mTagBFP::His Atg9::mNeon::klTRP1, Mat alpha</w:t>
            </w:r>
          </w:p>
        </w:tc>
        <w:tc>
          <w:tcPr>
            <w:tcW w:w="1149"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DF5</w:t>
            </w:r>
          </w:p>
        </w:tc>
        <w:tc>
          <w:tcPr>
            <w:tcW w:w="2362"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90" w:hRule="exact"/>
        </w:trPr>
        <w:tc>
          <w:tcPr>
            <w:tcW w:w="1265" w:type="dxa"/>
            <w:tcBorders>
              <w:top w:val="dotted" w:sz="4" w:space="0" w:color="000000"/>
              <w:bottom w:val="dotted" w:sz="4" w:space="0" w:color="000000"/>
            </w:tcBorders>
            <w:shd w:color="auto" w:fill="auto" w:val="clear"/>
          </w:tcPr>
          <w:p>
            <w:pPr>
              <w:pStyle w:val="Normal"/>
              <w:spacing w:lineRule="auto" w:line="240"/>
              <w:rPr>
                <w:rFonts w:eastAsia="Times New Roman"/>
                <w:color w:val="000000"/>
                <w:sz w:val="14"/>
                <w:szCs w:val="14"/>
                <w:lang w:val="en-DE"/>
              </w:rPr>
            </w:pPr>
            <w:r>
              <w:rPr>
                <w:color w:val="000000"/>
                <w:sz w:val="16"/>
                <w:szCs w:val="16"/>
              </w:rPr>
              <w:t>FWY006977</w:t>
            </w:r>
          </w:p>
          <w:p>
            <w:pPr>
              <w:pStyle w:val="Normal"/>
              <w:spacing w:lineRule="auto" w:line="240"/>
              <w:rPr>
                <w:sz w:val="16"/>
                <w:szCs w:val="16"/>
              </w:rPr>
            </w:pPr>
            <w:r>
              <w:rPr>
                <w:sz w:val="16"/>
                <w:szCs w:val="16"/>
              </w:rPr>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natNT2::pADH::Ede1::mTagBFP::His Vac8::mNeon::klTRP1, Mat alpha</w:t>
            </w:r>
          </w:p>
        </w:tc>
        <w:tc>
          <w:tcPr>
            <w:tcW w:w="1149"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DF5</w:t>
            </w:r>
          </w:p>
        </w:tc>
        <w:tc>
          <w:tcPr>
            <w:tcW w:w="2362"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r>
        <w:trPr>
          <w:trHeight w:val="290" w:hRule="exact"/>
        </w:trPr>
        <w:tc>
          <w:tcPr>
            <w:tcW w:w="1265" w:type="dxa"/>
            <w:tcBorders>
              <w:top w:val="dotted" w:sz="4" w:space="0" w:color="000000"/>
              <w:bottom w:val="dotted" w:sz="4" w:space="0" w:color="000000"/>
            </w:tcBorders>
            <w:shd w:color="auto" w:fill="auto" w:val="clear"/>
          </w:tcPr>
          <w:p>
            <w:pPr>
              <w:pStyle w:val="Normal"/>
              <w:spacing w:lineRule="auto" w:line="240"/>
              <w:rPr>
                <w:rFonts w:eastAsia="Times New Roman"/>
                <w:color w:val="000000"/>
                <w:sz w:val="14"/>
                <w:szCs w:val="14"/>
                <w:lang w:val="en-DE"/>
              </w:rPr>
            </w:pPr>
            <w:r>
              <w:rPr>
                <w:color w:val="000000"/>
                <w:sz w:val="16"/>
                <w:szCs w:val="16"/>
              </w:rPr>
              <w:t>FWY006979</w:t>
            </w:r>
          </w:p>
          <w:p>
            <w:pPr>
              <w:pStyle w:val="Normal"/>
              <w:spacing w:lineRule="auto" w:line="240"/>
              <w:rPr>
                <w:sz w:val="16"/>
                <w:szCs w:val="16"/>
              </w:rPr>
            </w:pPr>
            <w:r>
              <w:rPr>
                <w:sz w:val="16"/>
                <w:szCs w:val="16"/>
              </w:rPr>
            </w:r>
          </w:p>
        </w:tc>
        <w:tc>
          <w:tcPr>
            <w:tcW w:w="6266"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natNT2::pADH::Ede1::mTagBFP::His Atg1::mNeon::klTRP1, Mat alpha</w:t>
            </w:r>
          </w:p>
        </w:tc>
        <w:tc>
          <w:tcPr>
            <w:tcW w:w="1149" w:type="dxa"/>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DF5</w:t>
            </w:r>
          </w:p>
        </w:tc>
        <w:tc>
          <w:tcPr>
            <w:tcW w:w="2362" w:type="dxa"/>
            <w:gridSpan w:val="2"/>
            <w:tcBorders>
              <w:top w:val="dotted" w:sz="4" w:space="0" w:color="000000"/>
              <w:bottom w:val="dotted" w:sz="4" w:space="0" w:color="000000"/>
            </w:tcBorders>
            <w:shd w:color="auto" w:fill="auto" w:val="clear"/>
          </w:tcPr>
          <w:p>
            <w:pPr>
              <w:pStyle w:val="Normal"/>
              <w:spacing w:lineRule="auto" w:line="240"/>
              <w:rPr>
                <w:sz w:val="16"/>
                <w:szCs w:val="16"/>
              </w:rPr>
            </w:pPr>
            <w:r>
              <w:rPr>
                <w:sz w:val="16"/>
                <w:szCs w:val="16"/>
              </w:rPr>
              <w:t>This study</w:t>
            </w:r>
          </w:p>
        </w:tc>
      </w:tr>
    </w:tbl>
    <w:p>
      <w:pPr>
        <w:pStyle w:val="Normal"/>
        <w:spacing w:lineRule="auto" w:line="240"/>
        <w:rPr/>
      </w:pPr>
      <w:r>
        <w:rPr/>
      </w:r>
    </w:p>
    <w:p>
      <w:pPr>
        <w:pStyle w:val="Normal"/>
        <w:spacing w:lineRule="auto" w:line="240"/>
        <w:rPr>
          <w:b/>
          <w:bCs/>
        </w:rPr>
      </w:pPr>
      <w:r>
        <w:rPr>
          <w:b/>
          <w:bCs/>
        </w:rPr>
        <w:t>References:</w:t>
      </w:r>
    </w:p>
    <w:p>
      <w:pPr>
        <w:pStyle w:val="Normal"/>
        <w:spacing w:lineRule="auto" w:line="240"/>
        <w:rPr/>
      </w:pPr>
      <w:r>
        <w:rPr/>
      </w:r>
    </w:p>
    <w:p>
      <w:pPr>
        <w:pStyle w:val="Bibliography"/>
        <w:spacing w:lineRule="auto" w:line="240"/>
        <w:rPr>
          <w:color w:val="auto"/>
          <w:lang w:val="en-US"/>
        </w:rPr>
      </w:pPr>
      <w:r>
        <w:fldChar w:fldCharType="begin"/>
      </w:r>
      <w:r>
        <w:rPr>
          <w:lang w:val="en-US"/>
        </w:rPr>
        <w:instrText xml:space="preserve">ADDIN ZOTERO_BIBL {"uncited":[],"omitted":[],"custom":[]} CSL_BIBLIOGRAPHY</w:instrText>
      </w:r>
      <w:r>
        <w:rPr>
          <w:lang w:val="en-US"/>
        </w:rPr>
      </w:r>
      <w:r>
        <w:rPr>
          <w:lang w:val="en-US"/>
        </w:rPr>
        <w:fldChar w:fldCharType="separate"/>
      </w:r>
      <w:r>
        <w:rPr>
          <w:lang w:val="en-US"/>
        </w:rPr>
      </w:r>
      <w:r>
        <w:rPr>
          <w:color w:val="auto"/>
          <w:lang w:val="en-US"/>
        </w:rPr>
        <w:t>1.</w:t>
        <w:tab/>
        <w:t xml:space="preserve">Pfaffenwimmer, T. </w:t>
      </w:r>
      <w:r>
        <w:rPr>
          <w:i/>
          <w:iCs/>
          <w:color w:val="auto"/>
          <w:lang w:val="en-US"/>
        </w:rPr>
        <w:t>et al.</w:t>
      </w:r>
      <w:r>
        <w:rPr>
          <w:color w:val="auto"/>
          <w:lang w:val="en-US"/>
        </w:rPr>
        <w:t xml:space="preserve"> Hrr25 kinase promotes selective autophagy by phosphorylating the cargo receptor Atg19. </w:t>
      </w:r>
      <w:r>
        <w:rPr>
          <w:i/>
          <w:iCs/>
          <w:color w:val="auto"/>
          <w:lang w:val="en-US"/>
        </w:rPr>
        <w:t>EMBO Rep.</w:t>
      </w:r>
      <w:r>
        <w:rPr>
          <w:color w:val="auto"/>
          <w:lang w:val="en-US"/>
        </w:rPr>
        <w:t xml:space="preserve"> 9 (2014).</w:t>
      </w:r>
    </w:p>
    <w:p>
      <w:pPr>
        <w:pStyle w:val="Bibliography"/>
        <w:spacing w:lineRule="auto" w:line="240"/>
        <w:rPr>
          <w:color w:val="auto"/>
          <w:lang w:val="en-US"/>
        </w:rPr>
      </w:pPr>
      <w:r>
        <w:rPr>
          <w:color w:val="auto"/>
          <w:lang w:val="en-US"/>
        </w:rPr>
        <w:t>2.</w:t>
        <w:tab/>
        <w:t xml:space="preserve">Sikorski and Hieter. A System of Shuttle Vectors and Yeast Host Strains Designed for Efficient Manipulation of DNA in Saccharomyces Cerevisiae. </w:t>
      </w:r>
      <w:r>
        <w:rPr>
          <w:i/>
          <w:iCs/>
          <w:color w:val="auto"/>
          <w:lang w:val="en-US"/>
        </w:rPr>
        <w:t>Genetics</w:t>
      </w:r>
      <w:r>
        <w:rPr>
          <w:color w:val="auto"/>
          <w:lang w:val="en-US"/>
        </w:rPr>
        <w:t xml:space="preserve">. </w:t>
      </w:r>
      <w:r>
        <w:rPr>
          <w:color w:val="212121"/>
          <w:shd w:fill="FFFFFF" w:val="clear"/>
          <w:lang w:val="en-US"/>
        </w:rPr>
        <w:t>122(1):19-27</w:t>
      </w:r>
      <w:r>
        <w:rPr>
          <w:color w:val="auto"/>
          <w:lang w:val="en-US"/>
        </w:rPr>
        <w:t xml:space="preserve"> (1989).</w:t>
      </w:r>
    </w:p>
    <w:p>
      <w:pPr>
        <w:pStyle w:val="Bibliography"/>
        <w:spacing w:lineRule="auto" w:line="240"/>
        <w:rPr>
          <w:color w:val="auto"/>
          <w:lang w:val="en-US"/>
        </w:rPr>
      </w:pPr>
      <w:r>
        <w:rPr>
          <w:color w:val="auto"/>
          <w:lang w:val="en-US"/>
        </w:rPr>
        <w:t>3.</w:t>
        <w:tab/>
        <w:t xml:space="preserve">Hollenstein, D. M. </w:t>
      </w:r>
      <w:r>
        <w:rPr>
          <w:i/>
          <w:iCs/>
          <w:color w:val="auto"/>
          <w:lang w:val="en-US"/>
        </w:rPr>
        <w:t>et al.</w:t>
      </w:r>
      <w:r>
        <w:rPr>
          <w:color w:val="auto"/>
          <w:lang w:val="en-US"/>
        </w:rPr>
        <w:t xml:space="preserve"> Spatial control of avidity regulates initiation and progression of selective autophagy. </w:t>
      </w:r>
      <w:r>
        <w:rPr>
          <w:i/>
          <w:iCs/>
          <w:color w:val="auto"/>
          <w:lang w:val="en-US"/>
        </w:rPr>
        <w:t>Nat. Commun.</w:t>
      </w:r>
      <w:r>
        <w:rPr>
          <w:color w:val="auto"/>
          <w:lang w:val="en-US"/>
        </w:rPr>
        <w:t xml:space="preserve"> </w:t>
      </w:r>
      <w:r>
        <w:rPr>
          <w:b/>
          <w:bCs/>
          <w:color w:val="auto"/>
          <w:lang w:val="en-US"/>
        </w:rPr>
        <w:t>12</w:t>
      </w:r>
      <w:r>
        <w:rPr>
          <w:color w:val="auto"/>
          <w:lang w:val="en-US"/>
        </w:rPr>
        <w:t>, 7194 (2021).</w:t>
      </w:r>
    </w:p>
    <w:p>
      <w:pPr>
        <w:pStyle w:val="Bibliography"/>
        <w:spacing w:lineRule="auto" w:line="240"/>
        <w:rPr>
          <w:color w:val="auto"/>
          <w:lang w:val="en-US"/>
        </w:rPr>
      </w:pPr>
      <w:r>
        <w:rPr>
          <w:color w:val="auto"/>
          <w:lang w:val="en-US"/>
        </w:rPr>
        <w:t>4.</w:t>
        <w:tab/>
        <w:t xml:space="preserve">Finley, D., Özkaynak, E. &amp; Varshavsky, A. The yeast polyubiquitin gene is essential for resistance to high temperatures, starvation, and other stresses. </w:t>
      </w:r>
      <w:r>
        <w:rPr>
          <w:i/>
          <w:iCs/>
          <w:color w:val="auto"/>
          <w:lang w:val="en-US"/>
        </w:rPr>
        <w:t>Cell</w:t>
      </w:r>
      <w:r>
        <w:rPr>
          <w:color w:val="auto"/>
          <w:lang w:val="en-US"/>
        </w:rPr>
        <w:t xml:space="preserve"> </w:t>
      </w:r>
      <w:r>
        <w:rPr>
          <w:b/>
          <w:bCs/>
          <w:color w:val="auto"/>
          <w:lang w:val="en-US"/>
        </w:rPr>
        <w:t>48</w:t>
      </w:r>
      <w:r>
        <w:rPr>
          <w:color w:val="auto"/>
          <w:lang w:val="en-US"/>
        </w:rPr>
        <w:t>, 1035–1046 (1987).</w:t>
      </w:r>
    </w:p>
    <w:p>
      <w:pPr>
        <w:pStyle w:val="Bibliography"/>
        <w:spacing w:lineRule="auto" w:line="240"/>
        <w:rPr>
          <w:color w:val="auto"/>
          <w:lang w:val="en-US"/>
        </w:rPr>
      </w:pPr>
      <w:r>
        <w:rPr>
          <w:color w:val="auto"/>
          <w:lang w:val="en-US"/>
        </w:rPr>
        <w:t>5.</w:t>
        <w:tab/>
        <w:t xml:space="preserve">Hollenstein, D. M. </w:t>
      </w:r>
      <w:r>
        <w:rPr>
          <w:i/>
          <w:iCs/>
          <w:color w:val="auto"/>
          <w:lang w:val="en-US"/>
        </w:rPr>
        <w:t>et al.</w:t>
      </w:r>
      <w:r>
        <w:rPr>
          <w:color w:val="auto"/>
          <w:lang w:val="en-US"/>
        </w:rPr>
        <w:t xml:space="preserve"> Vac8 spatially confines autophagosome formation at the vacuole in S. cerevisiae. </w:t>
      </w:r>
      <w:r>
        <w:rPr>
          <w:i/>
          <w:iCs/>
          <w:color w:val="auto"/>
          <w:lang w:val="en-US"/>
        </w:rPr>
        <w:t>J. Cell Sci.</w:t>
      </w:r>
      <w:r>
        <w:rPr>
          <w:color w:val="auto"/>
          <w:lang w:val="en-US"/>
        </w:rPr>
        <w:t xml:space="preserve"> </w:t>
      </w:r>
      <w:r>
        <w:rPr>
          <w:b/>
          <w:bCs/>
          <w:color w:val="auto"/>
          <w:lang w:val="en-US"/>
        </w:rPr>
        <w:t>132</w:t>
      </w:r>
      <w:r>
        <w:rPr>
          <w:color w:val="auto"/>
          <w:lang w:val="en-US"/>
        </w:rPr>
        <w:t>, jcs235002 (2019).</w:t>
      </w:r>
    </w:p>
    <w:p>
      <w:pPr>
        <w:pStyle w:val="Normal"/>
        <w:spacing w:lineRule="auto" w:line="240"/>
        <w:rPr/>
      </w:pPr>
      <w:r/>
      <w:r>
        <w:rPr>
          <w:lang w:val="en-US"/>
        </w:rPr>
        <w:fldChar w:fldCharType="end"/>
      </w:r>
      <w:r>
        <w:rPr>
          <w:lang w:val="en-US"/>
        </w:rPr>
      </w:r>
      <w:r>
        <w:br w:type="page"/>
      </w:r>
    </w:p>
    <w:p>
      <w:pPr>
        <w:pStyle w:val="Normal"/>
        <w:spacing w:lineRule="auto" w:line="240" w:before="0" w:after="0"/>
        <w:rPr>
          <w:b/>
          <w:bCs/>
          <w:sz w:val="28"/>
          <w:szCs w:val="28"/>
        </w:rPr>
      </w:pPr>
      <w:r>
        <w:rPr>
          <w:b/>
          <w:bCs/>
          <w:sz w:val="28"/>
          <w:szCs w:val="28"/>
        </w:rPr>
        <w:t>Development of mathematical models of Atg11/Atg19-cargo interaction</w:t>
      </w:r>
    </w:p>
    <w:p>
      <w:pPr>
        <w:pStyle w:val="Normal"/>
        <w:spacing w:lineRule="auto" w:line="240"/>
        <w:rPr>
          <w:lang w:eastAsia="de-DE"/>
        </w:rPr>
      </w:pPr>
      <w:r>
        <w:rPr>
          <w:lang w:eastAsia="de-DE"/>
        </w:rPr>
      </w:r>
    </w:p>
    <w:p>
      <w:pPr>
        <w:pStyle w:val="Normal"/>
        <w:spacing w:lineRule="auto" w:line="240" w:before="0" w:after="367"/>
        <w:ind w:left="10"/>
        <w:jc w:val="both"/>
        <w:rPr/>
      </w:pPr>
      <w:r>
        <w:rPr/>
        <w:t>We developed a mathematical model to elucidate the difference between avidity-driven interactions and affinity-driven interactions for the assembly of initiation hubs. In the following, the mathematical foundations and assumptions of the model and the implementation in simulations are introduced. For this purpose, first, the mechanics of the individual agents of the agent-based model and their interactions are defined. Subsequently, the numerical implementation of the simulations is introduced and finally, the results of the modeling show that simulations based on low-affinity but high-avidity-mediated interactions produced a pattern of Atg11/Atg19 clusters on the cargo, while high-affinity interactions could not produce these clusters.</w:t>
      </w:r>
    </w:p>
    <w:p>
      <w:pPr>
        <w:pStyle w:val="Normal"/>
        <w:spacing w:lineRule="auto" w:line="240"/>
        <w:rPr>
          <w:b/>
          <w:bCs/>
        </w:rPr>
      </w:pPr>
      <w:r>
        <w:rPr>
          <w:b/>
          <w:bCs/>
        </w:rPr>
        <w:t>Mechanics of agent-based models</w:t>
      </w:r>
    </w:p>
    <w:p>
      <w:pPr>
        <w:pStyle w:val="Normal"/>
        <w:spacing w:lineRule="auto" w:line="240" w:before="0" w:after="231"/>
        <w:ind w:left="10"/>
        <w:jc w:val="both"/>
        <w:rPr/>
      </w:pPr>
      <w:r>
        <w:rPr/>
        <w:t>The developed model consists of agents which represent the proteins of interest and individual sections of the cargo. As Atg11 and Atg19 interact with very high affinity, they were assumed as one entity for simplification (Atg11w19). We model the positions of all agents by point-like particles and their interactions via forces given by potentials. To describe the stochastic molecular motion together with forces arising due to interactions, we use Brownian dynamics given by</w:t>
      </w:r>
    </w:p>
    <w:p>
      <w:pPr>
        <w:pStyle w:val="Normal"/>
        <w:tabs>
          <w:tab w:val="clear" w:pos="720"/>
          <w:tab w:val="center" w:pos="4832" w:leader="none"/>
          <w:tab w:val="right" w:pos="9362" w:leader="none"/>
        </w:tabs>
        <w:spacing w:lineRule="auto" w:line="240" w:before="0" w:after="179"/>
        <w:ind w:right="-15"/>
        <w:rPr/>
      </w:pPr>
      <w:r>
        <w:rPr>
          <w:rFonts w:eastAsia="Calibri" w:cs="Calibri" w:ascii="Calibri" w:hAnsi="Calibri"/>
        </w:rPr>
        <w:tab/>
      </w:r>
      <w:r>
        <w:rPr/>
      </w:r>
      <m:oMath xmlns:m="http://schemas.openxmlformats.org/officeDocument/2006/math">
        <m:f>
          <m:num>
            <m:r>
              <w:rPr>
                <w:rFonts w:ascii="Cambria Math" w:hAnsi="Cambria Math"/>
              </w:rPr>
              <m:t xml:space="preserve">∂</m:t>
            </m:r>
            <m:r>
              <w:rPr>
                <w:rFonts w:ascii="Cambria Math" w:hAnsi="Cambria Math"/>
              </w:rPr>
              <m:t xml:space="preserve">X</m:t>
            </m:r>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m:t>
        </m:r>
        <m:f>
          <m:num>
            <m:r>
              <w:rPr>
                <w:rFonts w:ascii="Cambria Math" w:hAnsi="Cambria Math"/>
              </w:rPr>
              <m:t xml:space="preserve">D</m:t>
            </m:r>
          </m:num>
          <m:den>
            <m:sSub>
              <m:e>
                <m:r>
                  <w:rPr>
                    <w:rFonts w:ascii="Cambria Math" w:hAnsi="Cambria Math"/>
                  </w:rPr>
                  <m:t xml:space="preserve">k</m:t>
                </m:r>
              </m:e>
              <m:sub>
                <m:r>
                  <w:rPr>
                    <w:rFonts w:ascii="Cambria Math" w:hAnsi="Cambria Math"/>
                  </w:rPr>
                  <m:t xml:space="preserve">B</m:t>
                </m:r>
              </m:sub>
            </m:sSub>
            <m:r>
              <w:rPr>
                <w:rFonts w:ascii="Cambria Math" w:hAnsi="Cambria Math"/>
              </w:rPr>
              <m:t xml:space="preserve">T</m:t>
            </m:r>
          </m:den>
        </m:f>
        <m:r>
          <w:rPr>
            <w:rFonts w:ascii="Cambria Math" w:hAnsi="Cambria Math"/>
          </w:rPr>
          <m:t xml:space="preserve">∇</m:t>
        </m:r>
        <m:r>
          <w:rPr>
            <w:rFonts w:ascii="Cambria Math" w:hAnsi="Cambria Math"/>
          </w:rPr>
          <m:t xml:space="preserve">V</m:t>
        </m:r>
        <m:d>
          <m:dPr>
            <m:begChr m:val="("/>
            <m:endChr m:val=")"/>
          </m:dPr>
          <m:e>
            <m:r>
              <w:rPr>
                <w:rFonts w:ascii="Cambria Math" w:hAnsi="Cambria Math"/>
              </w:rPr>
              <m:t xml:space="preserve">X</m:t>
            </m:r>
          </m:e>
        </m:d>
        <m:r>
          <w:rPr>
            <w:rFonts w:ascii="Cambria Math" w:hAnsi="Cambria Math"/>
          </w:rPr>
          <m:t xml:space="preserve">+</m:t>
        </m:r>
        <m:rad>
          <m:radPr>
            <m:degHide m:val="1"/>
          </m:radPr>
          <m:deg/>
          <m:e>
            <m:r>
              <w:rPr>
                <w:rFonts w:ascii="Cambria Math" w:hAnsi="Cambria Math"/>
              </w:rPr>
              <m:t xml:space="preserve">2</m:t>
            </m:r>
            <m:r>
              <w:rPr>
                <w:rFonts w:ascii="Cambria Math" w:hAnsi="Cambria Math"/>
              </w:rPr>
              <m:t xml:space="preserve">D</m:t>
            </m:r>
          </m:e>
        </m:rad>
        <m:r>
          <w:rPr>
            <w:rFonts w:ascii="Cambria Math" w:hAnsi="Cambria Math"/>
          </w:rPr>
          <m:t xml:space="preserve">R</m:t>
        </m:r>
        <m:d>
          <m:dPr>
            <m:begChr m:val="("/>
            <m:endChr m:val=")"/>
          </m:dPr>
          <m:e>
            <m:r>
              <w:rPr>
                <w:rFonts w:ascii="Cambria Math" w:hAnsi="Cambria Math"/>
              </w:rPr>
              <m:t xml:space="preserve">t</m:t>
            </m:r>
          </m:e>
        </m:d>
      </m:oMath>
      <w:r>
        <w:rPr>
          <w:rFonts w:eastAsia="Cambria" w:cs="Cambria" w:ascii="Cambria" w:hAnsi="Cambria"/>
        </w:rPr>
        <w:tab/>
      </w:r>
      <w:r>
        <w:rPr/>
        <w:t>(1)</w:t>
      </w:r>
    </w:p>
    <w:p>
      <w:pPr>
        <w:pStyle w:val="Normal"/>
        <w:spacing w:lineRule="auto" w:line="240" w:before="0" w:after="374"/>
        <w:ind w:left="10"/>
        <w:rPr/>
      </w:pPr>
      <w:r>
        <w:rPr/>
        <w:t>where a full list of parameters can be found in Table M1.</w:t>
      </w:r>
    </w:p>
    <w:p>
      <w:pPr>
        <w:pStyle w:val="Normal"/>
        <w:spacing w:lineRule="auto" w:line="240"/>
        <w:rPr>
          <w:b/>
          <w:bCs/>
        </w:rPr>
      </w:pPr>
      <w:r>
        <w:rPr>
          <w:b/>
          <w:bCs/>
        </w:rPr>
        <w:t>Affinity-interactions of particles based on force-potentials</w:t>
      </w:r>
    </w:p>
    <w:p>
      <w:pPr>
        <w:pStyle w:val="Normal"/>
        <w:spacing w:lineRule="auto" w:line="240" w:before="0" w:after="396"/>
        <w:ind w:left="10"/>
        <w:jc w:val="both"/>
        <w:rPr/>
      </w:pPr>
      <w:r>
        <w:rPr/>
        <w:t xml:space="preserve">Particles interact via a predefined force-potential which can be adapted by modifying its parameters. The force can be calculated by the following equations. The variable </w:t>
      </w:r>
      <w:r>
        <w:rPr>
          <w:rFonts w:eastAsia="Cambria" w:cs="Cambria" w:ascii="Cambria" w:hAnsi="Cambria"/>
          <w:i/>
        </w:rPr>
        <w:t xml:space="preserve">r </w:t>
      </w:r>
      <w:r>
        <w:rPr/>
        <w:t xml:space="preserve">indicates the distance between the two particles </w:t>
      </w:r>
      <w:r>
        <w:rPr>
          <w:rFonts w:eastAsia="Cambria" w:cs="Cambria" w:ascii="Cambria" w:hAnsi="Cambria"/>
          <w:i/>
        </w:rPr>
        <w:t xml:space="preserve">i </w:t>
      </w:r>
      <w:r>
        <w:rPr/>
        <w:t xml:space="preserve">and </w:t>
      </w:r>
      <w:r>
        <w:rPr>
          <w:rFonts w:eastAsia="Cambria" w:cs="Cambria" w:ascii="Cambria" w:hAnsi="Cambria"/>
          <w:i/>
        </w:rPr>
        <w:t xml:space="preserve">j </w:t>
      </w:r>
      <w:r>
        <w:rPr/>
        <w:t>of interest while</w:t>
      </w:r>
      <w:r>
        <w:rPr>
          <w:rFonts w:eastAsia="Cambria" w:cs="Cambria" w:ascii="Cambria" w:hAnsi="Cambria"/>
          <w:i/>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i</m:t>
            </m:r>
          </m:sub>
        </m:sSub>
      </m:oMath>
      <w:r>
        <w:rPr>
          <w:rFonts w:eastAsia="Cambria" w:cs="Cambria" w:ascii="Cambria" w:hAnsi="Cambria"/>
          <w:i/>
        </w:rPr>
        <w:t xml:space="preserve"> </w:t>
      </w:r>
      <w:r>
        <w:rPr/>
        <w:t xml:space="preserve">and </w:t>
      </w:r>
      <w:r>
        <w:rPr/>
      </w:r>
      <m:oMath xmlns:m="http://schemas.openxmlformats.org/officeDocument/2006/math">
        <m:sSub>
          <m:e>
            <m:r>
              <w:rPr>
                <w:rFonts w:ascii="Cambria Math" w:hAnsi="Cambria Math"/>
              </w:rPr>
              <m:t xml:space="preserve">r</m:t>
            </m:r>
          </m:e>
          <m:sub>
            <m:r>
              <w:rPr>
                <w:rFonts w:ascii="Cambria Math" w:hAnsi="Cambria Math"/>
              </w:rPr>
              <m:t xml:space="preserve">j</m:t>
            </m:r>
          </m:sub>
        </m:sSub>
      </m:oMath>
      <w:r>
        <w:rPr/>
        <w:t xml:space="preserve"> describe their radii respectively. The non-dimensional variable </w:t>
      </w:r>
      <w:r>
        <w:rPr>
          <w:rFonts w:eastAsia="Cambria" w:cs="Cambria" w:ascii="Cambria" w:hAnsi="Cambria"/>
          <w:i/>
        </w:rPr>
        <w:t xml:space="preserve">σ </w:t>
      </w:r>
      <w:r>
        <w:rPr/>
        <w:t xml:space="preserve">is just used to simplify some of the equations. A value of </w:t>
      </w:r>
      <w:r>
        <w:rPr/>
      </w:r>
      <m:oMath xmlns:m="http://schemas.openxmlformats.org/officeDocument/2006/math">
        <m:r>
          <w:rPr>
            <w:rFonts w:ascii="Cambria Math" w:hAnsi="Cambria Math"/>
          </w:rPr>
          <m:t xml:space="preserve">σ</m:t>
        </m:r>
        <m:r>
          <w:rPr>
            <w:rFonts w:ascii="Cambria Math" w:hAnsi="Cambria Math"/>
          </w:rPr>
          <m:t xml:space="preserve">&lt;</m:t>
        </m:r>
        <m:r>
          <w:rPr>
            <w:rFonts w:ascii="Cambria Math" w:hAnsi="Cambria Math"/>
          </w:rPr>
          <m:t xml:space="preserve">1</m:t>
        </m:r>
      </m:oMath>
      <w:r>
        <w:rPr/>
        <w:t xml:space="preserve"> means that the two interacting soft spheres are overlapping and the resulting force should be repelling the two. Conversely, </w:t>
      </w:r>
      <w:r>
        <w:rPr/>
      </w:r>
      <m:oMath xmlns:m="http://schemas.openxmlformats.org/officeDocument/2006/math">
        <m:r>
          <w:rPr>
            <w:rFonts w:ascii="Cambria Math" w:hAnsi="Cambria Math"/>
          </w:rPr>
          <m:t xml:space="preserve">σ</m:t>
        </m:r>
        <m:r>
          <w:rPr>
            <w:rFonts w:ascii="Cambria Math" w:hAnsi="Cambria Math"/>
          </w:rPr>
          <m:t xml:space="preserve">&gt;</m:t>
        </m:r>
        <m:r>
          <w:rPr>
            <w:rFonts w:ascii="Cambria Math" w:hAnsi="Cambria Math"/>
          </w:rPr>
          <m:t xml:space="preserve">1</m:t>
        </m:r>
      </m:oMath>
      <w:r>
        <w:rPr/>
        <w:t xml:space="preserve"> means that the interacting particles are separated and do not overlap.</w:t>
      </w:r>
    </w:p>
    <w:p>
      <w:pPr>
        <w:pStyle w:val="Normal"/>
        <w:tabs>
          <w:tab w:val="clear" w:pos="720"/>
          <w:tab w:val="center" w:pos="4948" w:leader="none"/>
          <w:tab w:val="right" w:pos="9362" w:leader="none"/>
        </w:tabs>
        <w:spacing w:lineRule="auto" w:line="240" w:before="0" w:after="139"/>
        <w:ind w:right="-15"/>
        <w:rPr/>
      </w:pPr>
      <w:r>
        <w:rPr>
          <w:rFonts w:eastAsia="Calibri" w:cs="Calibri" w:ascii="Calibri" w:hAnsi="Calibri"/>
        </w:rPr>
        <w:tab/>
      </w:r>
      <w:r>
        <w:rPr/>
      </w:r>
      <m:oMath xmlns:m="http://schemas.openxmlformats.org/officeDocument/2006/math">
        <m:r>
          <w:rPr>
            <w:rFonts w:ascii="Cambria Math" w:hAnsi="Cambria Math"/>
          </w:rPr>
          <m:t xml:space="preserve">σ</m:t>
        </m:r>
        <m:d>
          <m:dPr>
            <m:begChr m:val="("/>
            <m:endChr m:val=")"/>
          </m:dPr>
          <m:e>
            <m:r>
              <w:rPr>
                <w:rFonts w:ascii="Cambria Math" w:hAnsi="Cambria Math"/>
              </w:rPr>
              <m:t xml:space="preserve">r</m:t>
            </m:r>
          </m:e>
        </m:d>
        <m:r>
          <w:rPr>
            <w:rFonts w:ascii="Cambria Math" w:hAnsi="Cambria Math"/>
          </w:rPr>
          <m:t xml:space="preserve">=</m:t>
        </m:r>
        <m:f>
          <m:num>
            <m:r>
              <w:rPr>
                <w:rFonts w:ascii="Cambria Math" w:hAnsi="Cambria Math"/>
              </w:rPr>
              <m:t xml:space="preserve">r</m:t>
            </m:r>
          </m:num>
          <m:den>
            <m:sSub>
              <m:e>
                <m:r>
                  <w:rPr>
                    <w:rFonts w:ascii="Cambria Math" w:hAnsi="Cambria Math"/>
                  </w:rPr>
                  <m:t xml:space="preserve">r</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j</m:t>
                </m:r>
              </m:sub>
            </m:sSub>
          </m:den>
        </m:f>
      </m:oMath>
      <w:r>
        <w:rPr/>
        <w:tab/>
        <w:t>(2)</w:t>
      </w:r>
    </w:p>
    <w:p>
      <w:pPr>
        <w:pStyle w:val="Normal"/>
        <w:tabs>
          <w:tab w:val="clear" w:pos="720"/>
          <w:tab w:val="center" w:pos="4891" w:leader="none"/>
          <w:tab w:val="right" w:pos="9362" w:leader="none"/>
        </w:tabs>
        <w:spacing w:lineRule="auto" w:line="240" w:before="0" w:after="139"/>
        <w:ind w:right="-15"/>
        <w:rPr/>
      </w:pPr>
      <w:r>
        <w:rPr/>
        <w:t>The strength of the interaction can then be calculated via</w:t>
      </w:r>
    </w:p>
    <w:p>
      <w:pPr>
        <w:pStyle w:val="Normal"/>
        <w:tabs>
          <w:tab w:val="clear" w:pos="720"/>
          <w:tab w:val="center" w:pos="4891" w:leader="none"/>
          <w:tab w:val="right" w:pos="9362" w:leader="none"/>
        </w:tabs>
        <w:spacing w:lineRule="auto" w:line="240" w:before="0" w:after="139"/>
        <w:ind w:right="-15"/>
        <w:rPr/>
      </w:pPr>
      <w:r>
        <w:rPr>
          <w:rFonts w:eastAsia="Calibri" w:cs="Calibri" w:ascii="Calibri" w:hAnsi="Calibri"/>
        </w:rPr>
        <w:tab/>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r</m:t>
            </m:r>
          </m:e>
        </m:d>
        <m:r>
          <w:rPr>
            <w:rFonts w:ascii="Cambria Math" w:hAnsi="Cambria Math"/>
          </w:rPr>
          <m:t xml:space="preserve">=</m:t>
        </m:r>
        <m:f>
          <m:num>
            <m:r>
              <w:rPr>
                <w:rFonts w:ascii="Cambria Math" w:hAnsi="Cambria Math"/>
              </w:rPr>
              <m:t xml:space="preserve">1</m:t>
            </m:r>
          </m:num>
          <m:den>
            <m:r>
              <w:rPr>
                <w:rFonts w:ascii="Cambria Math" w:hAnsi="Cambria Math"/>
              </w:rPr>
              <m:t xml:space="preserve">σ</m:t>
            </m:r>
          </m:den>
        </m:f>
        <m:sSup>
          <m:e>
            <m:d>
              <m:dPr>
                <m:begChr m:val="("/>
                <m:endChr m:val=")"/>
              </m:dPr>
              <m:e>
                <m:r>
                  <w:rPr>
                    <w:rFonts w:ascii="Cambria Math" w:hAnsi="Cambria Math"/>
                  </w:rPr>
                  <m:t xml:space="preserve">r</m:t>
                </m:r>
              </m:e>
            </m:d>
          </m:e>
          <m:sup>
            <m:r>
              <w:rPr>
                <w:rFonts w:ascii="Cambria Math" w:hAnsi="Cambria Math"/>
              </w:rPr>
              <m:t xml:space="preserve">4</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σ</m:t>
            </m:r>
          </m:den>
        </m:f>
        <m:sSup>
          <m:e>
            <m:d>
              <m:dPr>
                <m:begChr m:val="("/>
                <m:endChr m:val=")"/>
              </m:dPr>
              <m:e>
                <m:r>
                  <w:rPr>
                    <w:rFonts w:ascii="Cambria Math" w:hAnsi="Cambria Math"/>
                  </w:rPr>
                  <m:t xml:space="preserve">r</m:t>
                </m:r>
              </m:e>
            </m:d>
          </m:e>
          <m:sup>
            <m:r>
              <w:rPr>
                <w:rFonts w:ascii="Cambria Math" w:hAnsi="Cambria Math"/>
              </w:rPr>
              <m:t xml:space="preserve">2</m:t>
            </m:r>
          </m:sup>
        </m:sSup>
      </m:oMath>
      <w:r>
        <w:rPr/>
        <w:t>.</w:t>
        <w:tab/>
        <w:t>(3)</w:t>
      </w:r>
    </w:p>
    <w:p>
      <w:pPr>
        <w:pStyle w:val="Normal"/>
        <w:rPr/>
      </w:pPr>
      <w:r>
        <w:rPr/>
        <w:t xml:space="preserve">We can see that the overall sign is positive when </w:t>
      </w:r>
      <w:r>
        <w:rPr/>
      </w:r>
      <m:oMath xmlns:m="http://schemas.openxmlformats.org/officeDocument/2006/math">
        <m:r>
          <w:rPr>
            <w:rFonts w:ascii="Cambria Math" w:hAnsi="Cambria Math"/>
          </w:rPr>
          <m:t xml:space="preserve">σ</m:t>
        </m:r>
        <m:r>
          <w:rPr>
            <w:rFonts w:ascii="Cambria Math" w:hAnsi="Cambria Math"/>
          </w:rPr>
          <m:t xml:space="preserve">&lt;</m:t>
        </m:r>
        <m:r>
          <w:rPr>
            <w:rFonts w:ascii="Cambria Math" w:hAnsi="Cambria Math"/>
          </w:rPr>
          <m:t xml:space="preserve">1</m:t>
        </m:r>
      </m:oMath>
      <w:r>
        <w:rPr/>
        <w:t xml:space="preserve"> and negative in the other case. This leads to repelling and attracting forces. For numerical stability, we have to enforce an upper bound </w:t>
      </w:r>
      <w:r>
        <w:rPr>
          <w:rFonts w:eastAsia="Cambria" w:cs="Cambria" w:ascii="Cambria" w:hAnsi="Cambria"/>
          <w:i/>
        </w:rPr>
        <w:t xml:space="preserve">β </w:t>
      </w:r>
      <w:r>
        <w:rPr/>
        <w:t xml:space="preserve">on the interaction strength. We expect that the simulation will very rarely reach this bound but it is a safety mechanism to keep the simulation running in the rare case that this happens. The value 4 can be calculated when considering that particles which overlap 50% produce a value of </w:t>
      </w:r>
      <w:r>
        <w:rPr/>
      </w:r>
      <m:oMath xmlns:m="http://schemas.openxmlformats.org/officeDocument/2006/math">
        <m:r>
          <w:rPr>
            <w:rFonts w:ascii="Cambria Math" w:hAnsi="Cambria Math"/>
          </w:rPr>
          <m:t xml:space="preserve">σ</m:t>
        </m:r>
        <m:r>
          <w:rPr>
            <w:rFonts w:ascii="Cambria Math" w:hAnsi="Cambria Math"/>
          </w:rPr>
          <m:t xml:space="preserve">=</m:t>
        </m:r>
        <m:r>
          <w:rPr>
            <w:rFonts w:ascii="Cambria Math" w:hAnsi="Cambria Math"/>
          </w:rPr>
          <m:t xml:space="preserve">0.5</m:t>
        </m:r>
      </m:oMath>
      <w:r>
        <w:rPr/>
        <w:t>, which generates the first in the potential.</w:t>
      </w:r>
    </w:p>
    <w:p>
      <w:pPr>
        <w:pStyle w:val="Normal"/>
        <w:tabs>
          <w:tab w:val="clear" w:pos="720"/>
          <w:tab w:val="center" w:pos="4891" w:leader="none"/>
          <w:tab w:val="right" w:pos="9362" w:leader="none"/>
        </w:tabs>
        <w:spacing w:lineRule="auto" w:line="240" w:before="0" w:after="139"/>
        <w:ind w:right="-15"/>
        <w:rPr/>
      </w:pPr>
      <w:r>
        <w:rPr>
          <w:rFonts w:eastAsia="Calibri" w:cs="Calibri" w:ascii="Calibri" w:hAnsi="Calibri"/>
        </w:rPr>
        <w:tab/>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4</m:t>
        </m:r>
        <m:r>
          <w:rPr>
            <w:rFonts w:ascii="Cambria Math" w:hAnsi="Cambria Math"/>
          </w:rPr>
          <m:t xml:space="preserve">+</m:t>
        </m:r>
        <m:f>
          <m:num>
            <m:r>
              <w:rPr>
                <w:rFonts w:ascii="Cambria Math" w:hAnsi="Cambria Math"/>
              </w:rPr>
              <m:t xml:space="preserve">1</m:t>
            </m:r>
          </m:num>
          <m:den>
            <m:r>
              <w:rPr>
                <w:rFonts w:ascii="Cambria Math" w:hAnsi="Cambria Math"/>
              </w:rPr>
              <m:t xml:space="preserve">σ</m:t>
            </m:r>
            <m:d>
              <m:dPr>
                <m:begChr m:val="("/>
                <m:endChr m:val=")"/>
              </m:dPr>
              <m:e>
                <m:r>
                  <w:rPr>
                    <w:rFonts w:ascii="Cambria Math" w:hAnsi="Cambria Math"/>
                  </w:rPr>
                  <m:t xml:space="preserve">r</m:t>
                </m:r>
              </m:e>
            </m:d>
          </m:den>
        </m:f>
      </m:oMath>
      <w:r>
        <w:rPr/>
        <w:tab/>
        <w:t>(4)</w:t>
      </w:r>
    </w:p>
    <w:p>
      <w:pPr>
        <w:pStyle w:val="Normal"/>
        <w:spacing w:lineRule="auto" w:line="240" w:before="0" w:after="355"/>
        <w:ind w:left="10"/>
        <w:jc w:val="both"/>
        <w:rPr/>
      </w:pPr>
      <w:r>
        <w:rPr/>
        <w:t xml:space="preserve">Furthermore, it is often necessary to restrict the interaction range of such potentials. We introduce the interaction range </w:t>
      </w:r>
      <w:r>
        <w:rPr>
          <w:rFonts w:eastAsia="Cambria" w:cs="Cambria" w:ascii="Cambria" w:hAnsi="Cambria"/>
          <w:i/>
        </w:rPr>
        <w:t>ζ</w:t>
      </w:r>
      <w:r>
        <w:rPr/>
        <w:t>. Since we assume that our particles are not point-like but rather extend in space as soft spheres, we need to add the radius of the current particle and the interacting particle to the total interaction range to obtain the actual cutoff</w:t>
      </w:r>
    </w:p>
    <w:p>
      <w:pPr>
        <w:pStyle w:val="Normal"/>
        <w:tabs>
          <w:tab w:val="clear" w:pos="720"/>
          <w:tab w:val="center" w:pos="4891" w:leader="none"/>
          <w:tab w:val="right" w:pos="9362" w:leader="none"/>
        </w:tabs>
        <w:spacing w:lineRule="auto" w:line="240" w:before="0" w:after="139"/>
        <w:ind w:right="-15"/>
        <w:rPr/>
      </w:pPr>
      <w:r>
        <w:rPr>
          <w:rFonts w:eastAsia="Calibri" w:cs="Calibri" w:ascii="Calibri" w:hAnsi="Calibri"/>
        </w:rPr>
        <w:tab/>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ζ</m:t>
        </m:r>
        <m:r>
          <w:rPr>
            <w:rFonts w:ascii="Cambria Math" w:hAnsi="Cambria Math"/>
          </w:rPr>
          <m:t xml:space="preserve">+</m:t>
        </m:r>
        <m:sSub>
          <m:e>
            <m:r>
              <w:rPr>
                <w:rFonts w:ascii="Cambria Math" w:hAnsi="Cambria Math"/>
              </w:rPr>
              <m:t xml:space="preserve">r</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j</m:t>
            </m:r>
          </m:sub>
        </m:sSub>
      </m:oMath>
      <w:r>
        <w:rPr/>
        <w:tab/>
        <w:t>(5)</w:t>
      </w:r>
    </w:p>
    <w:p>
      <w:pPr>
        <w:pStyle w:val="Normal"/>
        <w:tabs>
          <w:tab w:val="clear" w:pos="720"/>
          <w:tab w:val="center" w:pos="4891" w:leader="none"/>
          <w:tab w:val="right" w:pos="9362" w:leader="none"/>
        </w:tabs>
        <w:spacing w:lineRule="auto" w:line="240" w:before="0" w:after="139"/>
        <w:ind w:right="-15"/>
        <w:rPr/>
      </w:pPr>
      <w:r>
        <w:rPr/>
        <w:t>The complete interaction potential can then be calculated via</w:t>
      </w:r>
    </w:p>
    <w:p>
      <w:pPr>
        <w:pStyle w:val="Normal"/>
        <w:tabs>
          <w:tab w:val="clear" w:pos="720"/>
          <w:tab w:val="center" w:pos="4861" w:leader="none"/>
          <w:tab w:val="right" w:pos="9362" w:leader="none"/>
        </w:tabs>
        <w:spacing w:lineRule="auto" w:line="240" w:before="0" w:after="410"/>
        <w:ind w:right="-15"/>
        <w:rPr/>
      </w:pPr>
      <w:r>
        <w:rPr>
          <w:rFonts w:eastAsia="Calibri" w:cs="Calibri" w:ascii="Calibri" w:hAnsi="Calibri"/>
        </w:rPr>
        <w:tab/>
      </w:r>
      <w:r>
        <w:rPr/>
      </w:r>
      <m:oMath xmlns:m="http://schemas.openxmlformats.org/officeDocument/2006/math">
        <m:r>
          <w:rPr>
            <w:rFonts w:ascii="Cambria Math" w:hAnsi="Cambria Math"/>
          </w:rPr>
          <m:t xml:space="preserve">V</m:t>
        </m:r>
        <m:d>
          <m:dPr>
            <m:begChr m:val="("/>
            <m:endChr m:val=")"/>
          </m:dPr>
          <m:e>
            <m:r>
              <w:rPr>
                <w:rFonts w:ascii="Cambria Math" w:hAnsi="Cambria Math"/>
              </w:rPr>
              <m:t xml:space="preserve">r</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min</m:t>
        </m:r>
        <m:d>
          <m:dPr>
            <m:begChr m:val="("/>
            <m:endChr m:val=")"/>
          </m:dPr>
          <m:e>
            <m:r>
              <w:rPr>
                <w:rFonts w:ascii="Cambria Math" w:hAnsi="Cambria Math"/>
              </w:rPr>
              <m:t xml:space="preserve">P</m:t>
            </m:r>
            <m:d>
              <m:dPr>
                <m:begChr m:val="("/>
                <m:endChr m:val=")"/>
              </m:dPr>
              <m:e>
                <m:r>
                  <w:rPr>
                    <w:rFonts w:ascii="Cambria Math" w:hAnsi="Cambria Math"/>
                  </w:rPr>
                  <m:t xml:space="preserve">r</m:t>
                </m:r>
              </m:e>
            </m:d>
            <m:r>
              <w:rPr>
                <w:rFonts w:ascii="Cambria Math" w:hAnsi="Cambria Math"/>
              </w:rPr>
              <m:t xml:space="preserve">,</m:t>
            </m:r>
            <m:r>
              <w:rPr>
                <w:rFonts w:ascii="Cambria Math" w:hAnsi="Cambria Math"/>
              </w:rPr>
              <m:t xml:space="preserve">β</m:t>
            </m:r>
          </m:e>
        </m:d>
        <m:r>
          <w:rPr>
            <w:rFonts w:ascii="Cambria Math" w:hAnsi="Cambria Math"/>
          </w:rPr>
          <m:t xml:space="preserve">θ</m:t>
        </m:r>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r</m:t>
            </m:r>
          </m:e>
        </m:d>
      </m:oMath>
      <w:r>
        <w:rPr/>
        <w:tab/>
        <w:t>(6)</w:t>
      </w:r>
    </w:p>
    <w:p>
      <w:pPr>
        <w:pStyle w:val="Normal"/>
        <w:spacing w:lineRule="auto" w:line="240" w:before="0" w:after="355"/>
        <w:ind w:left="10"/>
        <w:jc w:val="both"/>
        <w:rPr/>
      </w:pPr>
      <w:r>
        <w:rPr/>
        <w:t xml:space="preserve">where θ is the Heaviside step-function which enforces the interaction cutoff given by </w:t>
      </w:r>
      <w:r>
        <w:rPr>
          <w:rFonts w:eastAsia="Cambria" w:cs="Cambria" w:ascii="Cambria" w:hAnsi="Cambria"/>
          <w:i/>
        </w:rPr>
        <w:t>β.</w:t>
      </w:r>
      <w:r>
        <w:br w:type="page"/>
      </w:r>
    </w:p>
    <w:p>
      <w:pPr>
        <w:pStyle w:val="Normal"/>
        <w:spacing w:lineRule="auto" w:line="240" w:before="0" w:after="355"/>
        <w:ind w:left="10"/>
        <w:jc w:val="both"/>
        <w:rPr/>
      </w:pPr>
      <w:r>
        <w:rPr/>
      </w:r>
    </w:p>
    <w:p>
      <w:pPr>
        <w:pStyle w:val="Normal"/>
        <w:spacing w:lineRule="auto" w:line="240" w:before="0" w:after="231"/>
        <w:ind w:left="917"/>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808855" cy="360616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4808855" cy="3606165"/>
                    </a:xfrm>
                    <a:prstGeom prst="rect">
                      <a:avLst/>
                    </a:prstGeom>
                  </pic:spPr>
                </pic:pic>
              </a:graphicData>
            </a:graphic>
          </wp:anchor>
        </w:drawing>
      </w:r>
    </w:p>
    <w:p>
      <w:pPr>
        <w:pStyle w:val="Normal"/>
        <w:spacing w:lineRule="auto" w:line="240" w:before="0" w:after="418"/>
        <w:ind w:left="10"/>
        <w:jc w:val="both"/>
        <w:rPr/>
      </w:pPr>
      <w:r>
        <w:rPr>
          <w:b/>
        </w:rPr>
        <w:t xml:space="preserve">Figure M1: </w:t>
      </w:r>
      <w:r>
        <w:rPr/>
        <w:t xml:space="preserve">Shape of the force acting between particles. The cutoff was chosen to be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1.5</m:t>
        </m:r>
        <m:r>
          <w:rPr>
            <w:rFonts w:ascii="Cambria Math" w:hAnsi="Cambria Math"/>
          </w:rPr>
          <m:t xml:space="preserve">σ</m:t>
        </m:r>
      </m:oMath>
      <w:r>
        <w:rPr/>
        <w:t>. Since the plot shows the relative interaction strength, this is the only parameter.</w:t>
      </w:r>
    </w:p>
    <w:tbl>
      <w:tblPr>
        <w:tblStyle w:val="TableGrid0"/>
        <w:tblW w:w="7032" w:type="dxa"/>
        <w:jc w:val="left"/>
        <w:tblInd w:w="1011" w:type="dxa"/>
        <w:tblLayout w:type="fixed"/>
        <w:tblCellMar>
          <w:top w:w="119" w:type="dxa"/>
          <w:left w:w="120" w:type="dxa"/>
          <w:bottom w:w="81" w:type="dxa"/>
          <w:right w:w="115" w:type="dxa"/>
        </w:tblCellMar>
        <w:tblLook w:val="04a0" w:noHBand="0" w:noVBand="1" w:firstColumn="1" w:lastRow="0" w:lastColumn="0" w:firstRow="1"/>
      </w:tblPr>
      <w:tblGrid>
        <w:gridCol w:w="2023"/>
        <w:gridCol w:w="5008"/>
      </w:tblGrid>
      <w:tr>
        <w:trPr>
          <w:trHeight w:val="340" w:hRule="atLeast"/>
        </w:trPr>
        <w:tc>
          <w:tcPr>
            <w:tcW w:w="2023" w:type="dxa"/>
            <w:tcBorders>
              <w:bottom w:val="single" w:sz="2" w:space="0" w:color="000000"/>
              <w:right w:val="single" w:sz="2" w:space="0" w:color="000000"/>
            </w:tcBorders>
          </w:tcPr>
          <w:p>
            <w:pPr>
              <w:pStyle w:val="Normal"/>
              <w:widowControl/>
              <w:suppressAutoHyphens w:val="true"/>
              <w:spacing w:lineRule="auto" w:line="240" w:before="0" w:after="0"/>
              <w:ind w:right="7"/>
              <w:jc w:val="left"/>
              <w:rPr>
                <w:lang w:bidi="ar-SA"/>
              </w:rPr>
            </w:pPr>
            <w:r>
              <w:rPr>
                <w:b/>
                <w:sz w:val="22"/>
                <w:lang w:bidi="ar-SA"/>
              </w:rPr>
              <w:t>Parameter</w:t>
            </w:r>
          </w:p>
        </w:tc>
        <w:tc>
          <w:tcPr>
            <w:tcW w:w="5008" w:type="dxa"/>
            <w:tcBorders>
              <w:left w:val="single" w:sz="2" w:space="0" w:color="000000"/>
              <w:bottom w:val="single" w:sz="2" w:space="0" w:color="000000"/>
            </w:tcBorders>
          </w:tcPr>
          <w:p>
            <w:pPr>
              <w:pStyle w:val="Normal"/>
              <w:widowControl/>
              <w:tabs>
                <w:tab w:val="clear" w:pos="720"/>
                <w:tab w:val="center" w:pos="4891" w:leader="none"/>
                <w:tab w:val="right" w:pos="9362" w:leader="none"/>
              </w:tabs>
              <w:suppressAutoHyphens w:val="true"/>
              <w:spacing w:lineRule="auto" w:line="240" w:before="0" w:after="139"/>
              <w:ind w:right="-15"/>
              <w:jc w:val="left"/>
              <w:rPr>
                <w:lang w:bidi="ar-SA"/>
              </w:rPr>
            </w:pPr>
            <w:r>
              <w:rPr>
                <w:b/>
                <w:sz w:val="22"/>
                <w:lang w:bidi="ar-SA"/>
              </w:rPr>
              <w:t>Description</w:t>
            </w:r>
          </w:p>
        </w:tc>
      </w:tr>
      <w:tr>
        <w:trPr>
          <w:trHeight w:val="20" w:hRule="atLeast"/>
        </w:trPr>
        <w:tc>
          <w:tcPr>
            <w:tcW w:w="2023" w:type="dxa"/>
            <w:tcBorders>
              <w:top w:val="single" w:sz="2" w:space="0" w:color="000000"/>
              <w:bottom w:val="single" w:sz="2" w:space="0" w:color="000000"/>
              <w:right w:val="single" w:sz="2" w:space="0" w:color="000000"/>
            </w:tcBorders>
            <w:vAlign w:val="center"/>
          </w:tcPr>
          <w:p>
            <w:pPr>
              <w:pStyle w:val="Normal"/>
              <w:widowControl/>
              <w:suppressAutoHyphens w:val="true"/>
              <w:spacing w:lineRule="auto" w:line="240" w:before="0" w:after="0"/>
              <w:ind w:right="14"/>
              <w:jc w:val="center"/>
              <w:rPr>
                <w:lang w:bidi="ar-SA"/>
              </w:rPr>
            </w:pPr>
            <w:r>
              <w:rPr>
                <w:sz w:val="22"/>
              </w:rPr>
            </w:r>
            <m:oMathPara xmlns:m="http://schemas.openxmlformats.org/officeDocument/2006/math">
              <m:oMathParaPr>
                <m:jc m:val="center"/>
              </m:oMathParaPr>
              <m:oMath>
                <m:sSub>
                  <m:e>
                    <m:r>
                      <w:rPr>
                        <w:rFonts w:ascii="Cambria Math" w:hAnsi="Cambria Math"/>
                      </w:rPr>
                      <m:t xml:space="preserve">N</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oMath>
            </m:oMathPara>
          </w:p>
        </w:tc>
        <w:tc>
          <w:tcPr>
            <w:tcW w:w="5008" w:type="dxa"/>
            <w:tcBorders>
              <w:top w:val="single" w:sz="2" w:space="0" w:color="000000"/>
              <w:left w:val="single" w:sz="2" w:space="0" w:color="000000"/>
              <w:bottom w:val="single" w:sz="2" w:space="0" w:color="000000"/>
            </w:tcBorders>
            <w:vAlign w:val="center"/>
          </w:tcPr>
          <w:p>
            <w:pPr>
              <w:pStyle w:val="Normal"/>
              <w:widowControl/>
              <w:suppressAutoHyphens w:val="true"/>
              <w:spacing w:lineRule="auto" w:line="240" w:before="0" w:after="0"/>
              <w:ind w:right="5"/>
              <w:jc w:val="left"/>
              <w:rPr>
                <w:lang w:bidi="ar-SA"/>
              </w:rPr>
            </w:pPr>
            <w:r>
              <w:rPr>
                <w:sz w:val="22"/>
                <w:lang w:bidi="ar-SA"/>
              </w:rPr>
              <w:t>Number of particles in the simulation</w:t>
            </w:r>
          </w:p>
        </w:tc>
      </w:tr>
      <w:tr>
        <w:trPr>
          <w:trHeight w:val="20" w:hRule="atLeast"/>
        </w:trPr>
        <w:tc>
          <w:tcPr>
            <w:tcW w:w="2023" w:type="dxa"/>
            <w:tcBorders>
              <w:bottom w:val="single" w:sz="2" w:space="0" w:color="000000"/>
              <w:right w:val="single" w:sz="2" w:space="0" w:color="000000"/>
            </w:tcBorders>
            <w:vAlign w:val="center"/>
          </w:tcPr>
          <w:p>
            <w:pPr>
              <w:pStyle w:val="Normal"/>
              <w:widowControl/>
              <w:suppressAutoHyphens w:val="true"/>
              <w:spacing w:lineRule="auto" w:line="240" w:before="0" w:after="0"/>
              <w:ind w:right="35"/>
              <w:jc w:val="center"/>
              <w:rPr>
                <w:lang w:bidi="ar-SA"/>
              </w:rPr>
            </w:pPr>
            <w:r>
              <w:rPr>
                <w:sz w:val="22"/>
              </w:rPr>
            </w:r>
            <m:oMathPara xmlns:m="http://schemas.openxmlformats.org/officeDocument/2006/math">
              <m:oMathParaPr>
                <m:jc m:val="center"/>
              </m:oMathParaPr>
              <m:oMath>
                <m:sSub>
                  <m:e>
                    <m:r>
                      <w:rPr>
                        <w:rFonts w:ascii="Cambria Math" w:hAnsi="Cambria Math"/>
                      </w:rPr>
                      <m:t xml:space="preserve">k</m:t>
                    </m:r>
                  </m:e>
                  <m:sub>
                    <m:r>
                      <w:rPr>
                        <w:rFonts w:ascii="Cambria Math" w:hAnsi="Cambria Math"/>
                      </w:rPr>
                      <m:t xml:space="preserve">B</m:t>
                    </m:r>
                  </m:sub>
                </m:sSub>
                <m:r>
                  <w:rPr>
                    <w:rFonts w:ascii="Cambria Math" w:hAnsi="Cambria Math"/>
                  </w:rPr>
                  <m:t xml:space="preserve">T</m:t>
                </m:r>
              </m:oMath>
            </m:oMathPara>
          </w:p>
        </w:tc>
        <w:tc>
          <w:tcPr>
            <w:tcW w:w="5008" w:type="dxa"/>
            <w:tcBorders>
              <w:left w:val="single" w:sz="2" w:space="0" w:color="000000"/>
              <w:bottom w:val="single" w:sz="2" w:space="0" w:color="000000"/>
            </w:tcBorders>
            <w:vAlign w:val="center"/>
          </w:tcPr>
          <w:p>
            <w:pPr>
              <w:pStyle w:val="Normal"/>
              <w:widowControl/>
              <w:suppressAutoHyphens w:val="true"/>
              <w:spacing w:lineRule="auto" w:line="240" w:before="0" w:after="0"/>
              <w:ind w:right="5"/>
              <w:jc w:val="left"/>
              <w:rPr>
                <w:lang w:bidi="ar-SA"/>
              </w:rPr>
            </w:pPr>
            <w:r>
              <w:rPr>
                <w:sz w:val="22"/>
                <w:lang w:bidi="ar-SA"/>
              </w:rPr>
              <w:t>Thermodynamic energy</w:t>
            </w:r>
          </w:p>
        </w:tc>
      </w:tr>
      <w:tr>
        <w:trPr>
          <w:trHeight w:val="20" w:hRule="atLeast"/>
        </w:trPr>
        <w:tc>
          <w:tcPr>
            <w:tcW w:w="2023" w:type="dxa"/>
            <w:tcBorders>
              <w:bottom w:val="single" w:sz="2" w:space="0" w:color="000000"/>
              <w:right w:val="single" w:sz="2" w:space="0" w:color="000000"/>
            </w:tcBorders>
            <w:vAlign w:val="center"/>
          </w:tcPr>
          <w:p>
            <w:pPr>
              <w:pStyle w:val="Normal"/>
              <w:widowControl/>
              <w:suppressAutoHyphens w:val="true"/>
              <w:spacing w:lineRule="auto" w:line="240" w:before="0" w:after="0"/>
              <w:ind w:right="35"/>
              <w:jc w:val="center"/>
              <w:rPr>
                <w:lang w:bidi="ar-SA"/>
              </w:rPr>
            </w:pPr>
            <w:r>
              <w:rPr>
                <w:sz w:val="22"/>
              </w:rPr>
            </w:r>
            <m:oMathPara xmlns:m="http://schemas.openxmlformats.org/officeDocument/2006/math">
              <m:oMathParaPr>
                <m:jc m:val="center"/>
              </m:oMathParaPr>
              <m:oMath>
                <m:r>
                  <w:rPr>
                    <w:rFonts w:ascii="Cambria Math" w:hAnsi="Cambria Math"/>
                  </w:rPr>
                  <m:t xml:space="preserve">R</m:t>
                </m:r>
                <m:d>
                  <m:dPr>
                    <m:begChr m:val="("/>
                    <m:endChr m:val=")"/>
                  </m:dPr>
                  <m:e>
                    <m:r>
                      <w:rPr>
                        <w:rFonts w:ascii="Cambria Math" w:hAnsi="Cambria Math"/>
                      </w:rPr>
                      <m:t xml:space="preserve">t</m:t>
                    </m:r>
                  </m:e>
                </m:d>
              </m:oMath>
            </m:oMathPara>
          </w:p>
        </w:tc>
        <w:tc>
          <w:tcPr>
            <w:tcW w:w="5008" w:type="dxa"/>
            <w:tcBorders>
              <w:left w:val="single" w:sz="2" w:space="0" w:color="000000"/>
              <w:bottom w:val="single" w:sz="2" w:space="0" w:color="000000"/>
            </w:tcBorders>
            <w:vAlign w:val="center"/>
          </w:tcPr>
          <w:p>
            <w:pPr>
              <w:pStyle w:val="Normal"/>
              <w:widowControl/>
              <w:suppressAutoHyphens w:val="true"/>
              <w:spacing w:lineRule="auto" w:line="240" w:before="0" w:after="0"/>
              <w:ind w:right="5"/>
              <w:jc w:val="left"/>
              <w:rPr>
                <w:lang w:bidi="ar-SA"/>
              </w:rPr>
            </w:pPr>
            <w:r>
              <w:rPr>
                <w:sz w:val="22"/>
                <w:lang w:bidi="ar-SA"/>
              </w:rPr>
              <w:t>Increment of the Wiener process</w:t>
            </w:r>
          </w:p>
        </w:tc>
      </w:tr>
      <w:tr>
        <w:trPr>
          <w:trHeight w:val="20" w:hRule="atLeast"/>
        </w:trPr>
        <w:tc>
          <w:tcPr>
            <w:tcW w:w="2023" w:type="dxa"/>
            <w:tcBorders>
              <w:bottom w:val="single" w:sz="2" w:space="0" w:color="000000"/>
              <w:right w:val="single" w:sz="2" w:space="0" w:color="000000"/>
            </w:tcBorders>
            <w:vAlign w:val="center"/>
          </w:tcPr>
          <w:p>
            <w:pPr>
              <w:pStyle w:val="Normal"/>
              <w:widowControl/>
              <w:suppressAutoHyphens w:val="true"/>
              <w:spacing w:lineRule="auto" w:line="240" w:before="0" w:after="0"/>
              <w:ind w:right="35"/>
              <w:jc w:val="center"/>
              <w:rPr>
                <w:lang w:bidi="ar-SA"/>
              </w:rPr>
            </w:pPr>
            <w:r>
              <w:rPr>
                <w:sz w:val="22"/>
              </w:rPr>
            </w:r>
            <m:oMathPara xmlns:m="http://schemas.openxmlformats.org/officeDocument/2006/math">
              <m:oMathParaPr>
                <m:jc m:val="center"/>
              </m:oMathParaPr>
              <m:oMath>
                <m:r>
                  <w:rPr>
                    <w:rFonts w:ascii="Cambria Math" w:hAnsi="Cambria Math"/>
                  </w:rPr>
                  <m:t xml:space="preserve">D</m:t>
                </m:r>
              </m:oMath>
            </m:oMathPara>
          </w:p>
        </w:tc>
        <w:tc>
          <w:tcPr>
            <w:tcW w:w="5008" w:type="dxa"/>
            <w:tcBorders>
              <w:left w:val="single" w:sz="2" w:space="0" w:color="000000"/>
              <w:bottom w:val="single" w:sz="2" w:space="0" w:color="000000"/>
            </w:tcBorders>
            <w:vAlign w:val="center"/>
          </w:tcPr>
          <w:p>
            <w:pPr>
              <w:pStyle w:val="Normal"/>
              <w:widowControl/>
              <w:suppressAutoHyphens w:val="true"/>
              <w:spacing w:lineRule="auto" w:line="240" w:before="0" w:after="0"/>
              <w:ind w:right="5"/>
              <w:jc w:val="left"/>
              <w:rPr>
                <w:lang w:bidi="ar-SA"/>
              </w:rPr>
            </w:pPr>
            <w:r>
              <w:rPr>
                <w:sz w:val="22"/>
                <w:lang w:bidi="ar-SA"/>
              </w:rPr>
              <w:t>Diffusion Constant</w:t>
            </w:r>
          </w:p>
        </w:tc>
      </w:tr>
      <w:tr>
        <w:trPr>
          <w:trHeight w:val="20" w:hRule="atLeast"/>
        </w:trPr>
        <w:tc>
          <w:tcPr>
            <w:tcW w:w="2023" w:type="dxa"/>
            <w:tcBorders>
              <w:top w:val="single" w:sz="2" w:space="0" w:color="000000"/>
              <w:right w:val="single" w:sz="2" w:space="0" w:color="000000"/>
            </w:tcBorders>
            <w:vAlign w:val="center"/>
          </w:tcPr>
          <w:p>
            <w:pPr>
              <w:pStyle w:val="Normal"/>
              <w:widowControl/>
              <w:suppressAutoHyphens w:val="true"/>
              <w:spacing w:lineRule="auto" w:line="240" w:before="0" w:after="0"/>
              <w:ind w:right="14"/>
              <w:jc w:val="center"/>
              <w:rPr>
                <w:lang w:bidi="ar-SA"/>
              </w:rPr>
            </w:pPr>
            <w:r>
              <w:rPr>
                <w:sz w:val="22"/>
              </w:rPr>
            </w:r>
            <m:oMathPara xmlns:m="http://schemas.openxmlformats.org/officeDocument/2006/math">
              <m:oMathParaPr>
                <m:jc m:val="center"/>
              </m:oMathParaPr>
              <m:oMath>
                <m:sSub>
                  <m:e>
                    <m:r>
                      <w:rPr>
                        <w:rFonts w:ascii="Cambria Math" w:hAnsi="Cambria Math"/>
                      </w:rPr>
                      <m:t xml:space="preserve">r</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r</m:t>
                    </m:r>
                    <m:r>
                      <w:rPr>
                        <w:rFonts w:ascii="Cambria Math" w:hAnsi="Cambria Math"/>
                      </w:rPr>
                      <m:t xml:space="preserve">11</m:t>
                    </m:r>
                  </m:sub>
                </m:sSub>
              </m:oMath>
            </m:oMathPara>
          </w:p>
        </w:tc>
        <w:tc>
          <w:tcPr>
            <w:tcW w:w="5008" w:type="dxa"/>
            <w:tcBorders>
              <w:top w:val="single" w:sz="2" w:space="0" w:color="000000"/>
              <w:left w:val="single" w:sz="2" w:space="0" w:color="000000"/>
            </w:tcBorders>
            <w:vAlign w:val="center"/>
          </w:tcPr>
          <w:p>
            <w:pPr>
              <w:pStyle w:val="Normal"/>
              <w:widowControl/>
              <w:suppressAutoHyphens w:val="true"/>
              <w:spacing w:lineRule="auto" w:line="240" w:before="0" w:after="0"/>
              <w:ind w:right="5"/>
              <w:jc w:val="left"/>
              <w:rPr>
                <w:lang w:bidi="ar-SA"/>
              </w:rPr>
            </w:pPr>
            <w:r>
              <w:rPr>
                <w:sz w:val="22"/>
                <w:lang w:bidi="ar-SA"/>
              </w:rPr>
              <w:t>Radii of the particles</w:t>
            </w:r>
          </w:p>
        </w:tc>
      </w:tr>
      <w:tr>
        <w:trPr>
          <w:trHeight w:val="20" w:hRule="atLeast"/>
        </w:trPr>
        <w:tc>
          <w:tcPr>
            <w:tcW w:w="2023" w:type="dxa"/>
            <w:tcBorders>
              <w:right w:val="single" w:sz="2" w:space="0" w:color="000000"/>
            </w:tcBorders>
            <w:vAlign w:val="center"/>
          </w:tcPr>
          <w:p>
            <w:pPr>
              <w:pStyle w:val="Normal"/>
              <w:widowControl/>
              <w:suppressAutoHyphens w:val="true"/>
              <w:spacing w:lineRule="auto" w:line="240" w:before="0" w:after="0"/>
              <w:jc w:val="center"/>
              <w:rPr>
                <w:lang w:bidi="ar-SA"/>
              </w:rPr>
            </w:pPr>
            <w:r>
              <w:rPr>
                <w:sz w:val="22"/>
              </w:rPr>
            </w:r>
            <m:oMathPara xmlns:m="http://schemas.openxmlformats.org/officeDocument/2006/math">
              <m:oMathParaPr>
                <m:jc m:val="center"/>
              </m:oMathParaPr>
              <m:oMath>
                <m:sSub>
                  <m:e>
                    <m:r>
                      <w:rPr>
                        <w:rFonts w:ascii="Cambria Math" w:hAnsi="Cambria Math"/>
                      </w:rPr>
                      <m:t xml:space="preserve">U</m:t>
                    </m:r>
                  </m:e>
                  <m:sub>
                    <m:r>
                      <w:rPr>
                        <w:rFonts w:ascii="Cambria Math" w:hAnsi="Cambria Math"/>
                      </w:rPr>
                      <m:t xml:space="preserve">c</m:t>
                    </m:r>
                    <m:r>
                      <w:rPr>
                        <w:rFonts w:ascii="Cambria Math" w:hAnsi="Cambria Math"/>
                      </w:rPr>
                      <m:t xml:space="preserve">,</m:t>
                    </m:r>
                    <m:r>
                      <w:rPr>
                        <w:rFonts w:ascii="Cambria Math" w:hAnsi="Cambria Math"/>
                      </w:rPr>
                      <m:t xml:space="preserve">c</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c</m:t>
                    </m:r>
                    <m:r>
                      <w:rPr>
                        <w:rFonts w:ascii="Cambria Math" w:hAnsi="Cambria Math"/>
                      </w:rPr>
                      <m:t xml:space="preserve">,</m:t>
                    </m:r>
                    <m:r>
                      <w:rPr>
                        <w:rFonts w:ascii="Cambria Math" w:hAnsi="Cambria Math"/>
                      </w:rPr>
                      <m:t xml:space="preserve">a</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a</m:t>
                    </m:r>
                    <m:r>
                      <w:rPr>
                        <w:rFonts w:ascii="Cambria Math" w:hAnsi="Cambria Math"/>
                      </w:rPr>
                      <m:t xml:space="preserve">,</m:t>
                    </m:r>
                    <m:r>
                      <w:rPr>
                        <w:rFonts w:ascii="Cambria Math" w:hAnsi="Cambria Math"/>
                      </w:rPr>
                      <m:t xml:space="preserve">a</m:t>
                    </m:r>
                  </m:sub>
                </m:sSub>
              </m:oMath>
            </m:oMathPara>
          </w:p>
        </w:tc>
        <w:tc>
          <w:tcPr>
            <w:tcW w:w="5008" w:type="dxa"/>
            <w:tcBorders>
              <w:left w:val="single" w:sz="2" w:space="0" w:color="000000"/>
            </w:tcBorders>
            <w:vAlign w:val="center"/>
          </w:tcPr>
          <w:p>
            <w:pPr>
              <w:pStyle w:val="Normal"/>
              <w:widowControl/>
              <w:suppressAutoHyphens w:val="true"/>
              <w:spacing w:lineRule="auto" w:line="240" w:before="0" w:after="0"/>
              <w:ind w:right="5"/>
              <w:jc w:val="left"/>
              <w:rPr>
                <w:lang w:bidi="ar-SA"/>
              </w:rPr>
            </w:pPr>
            <w:r>
              <w:rPr>
                <w:sz w:val="22"/>
                <w:lang w:bidi="ar-SA"/>
              </w:rPr>
              <w:t>Interaction strengths between particle species</w:t>
            </w:r>
          </w:p>
        </w:tc>
      </w:tr>
      <w:tr>
        <w:trPr>
          <w:trHeight w:val="20" w:hRule="atLeast"/>
        </w:trPr>
        <w:tc>
          <w:tcPr>
            <w:tcW w:w="2023" w:type="dxa"/>
            <w:tcBorders>
              <w:right w:val="single" w:sz="2" w:space="0" w:color="000000"/>
            </w:tcBorders>
            <w:vAlign w:val="center"/>
          </w:tcPr>
          <w:p>
            <w:pPr>
              <w:pStyle w:val="Normal"/>
              <w:widowControl/>
              <w:suppressAutoHyphens w:val="true"/>
              <w:spacing w:lineRule="auto" w:line="240" w:before="0" w:after="0"/>
              <w:ind w:right="14"/>
              <w:jc w:val="center"/>
              <w:rPr>
                <w:lang w:bidi="ar-SA"/>
              </w:rPr>
            </w:pPr>
            <w:r>
              <w:rPr>
                <w:sz w:val="22"/>
              </w:rPr>
            </w:r>
            <m:oMathPara xmlns:m="http://schemas.openxmlformats.org/officeDocument/2006/math">
              <m:oMathParaPr>
                <m:jc m:val="center"/>
              </m:oMathParaPr>
              <m:oMath>
                <m:sSub>
                  <m:e>
                    <m:r>
                      <w:rPr>
                        <w:rFonts w:ascii="Cambria Math" w:hAnsi="Cambria Math"/>
                      </w:rPr>
                      <m:t xml:space="preserve">ζ</m:t>
                    </m:r>
                  </m:e>
                  <m:sub>
                    <m:r>
                      <w:rPr>
                        <w:rFonts w:ascii="Cambria Math" w:hAnsi="Cambria Math"/>
                      </w:rPr>
                      <m:t xml:space="preserve">c</m:t>
                    </m:r>
                    <m:r>
                      <w:rPr>
                        <w:rFonts w:ascii="Cambria Math" w:hAnsi="Cambria Math"/>
                      </w:rPr>
                      <m:t xml:space="preserve">,</m:t>
                    </m:r>
                    <m:r>
                      <w:rPr>
                        <w:rFonts w:ascii="Cambria Math" w:hAnsi="Cambria Math"/>
                      </w:rPr>
                      <m:t xml:space="preserve">c</m:t>
                    </m:r>
                  </m:sub>
                </m:sSub>
                <m:r>
                  <w:rPr>
                    <w:rFonts w:ascii="Cambria Math" w:hAnsi="Cambria Math"/>
                  </w:rPr>
                  <m:t xml:space="preserve">,</m:t>
                </m:r>
                <m:sSub>
                  <m:e>
                    <m:r>
                      <w:rPr>
                        <w:rFonts w:ascii="Cambria Math" w:hAnsi="Cambria Math"/>
                      </w:rPr>
                      <m:t xml:space="preserve">ζ</m:t>
                    </m:r>
                  </m:e>
                  <m:sub>
                    <m:r>
                      <w:rPr>
                        <w:rFonts w:ascii="Cambria Math" w:hAnsi="Cambria Math"/>
                      </w:rPr>
                      <m:t xml:space="preserve">c</m:t>
                    </m:r>
                    <m:r>
                      <w:rPr>
                        <w:rFonts w:ascii="Cambria Math" w:hAnsi="Cambria Math"/>
                      </w:rPr>
                      <m:t xml:space="preserve">,</m:t>
                    </m:r>
                    <m:r>
                      <w:rPr>
                        <w:rFonts w:ascii="Cambria Math" w:hAnsi="Cambria Math"/>
                      </w:rPr>
                      <m:t xml:space="preserve">r</m:t>
                    </m:r>
                    <m:r>
                      <w:rPr>
                        <w:rFonts w:ascii="Cambria Math" w:hAnsi="Cambria Math"/>
                      </w:rPr>
                      <m:t xml:space="preserve">11</m:t>
                    </m:r>
                  </m:sub>
                </m:sSub>
                <m:r>
                  <w:rPr>
                    <w:rFonts w:ascii="Cambria Math" w:hAnsi="Cambria Math"/>
                  </w:rPr>
                  <m:t xml:space="preserve">,</m:t>
                </m:r>
                <m:sSub>
                  <m:e>
                    <m:r>
                      <w:rPr>
                        <w:rFonts w:ascii="Cambria Math" w:hAnsi="Cambria Math"/>
                      </w:rPr>
                      <m:t xml:space="preserve">ζ</m:t>
                    </m:r>
                  </m:e>
                  <m:sub>
                    <m:r>
                      <w:rPr>
                        <w:rFonts w:ascii="Cambria Math" w:hAnsi="Cambria Math"/>
                      </w:rPr>
                      <m:t xml:space="preserve">r</m:t>
                    </m:r>
                    <m:r>
                      <w:rPr>
                        <w:rFonts w:ascii="Cambria Math" w:hAnsi="Cambria Math"/>
                      </w:rPr>
                      <m:t xml:space="preserve">11</m:t>
                    </m:r>
                    <m:r>
                      <w:rPr>
                        <w:rFonts w:ascii="Cambria Math" w:hAnsi="Cambria Math"/>
                      </w:rPr>
                      <m:t xml:space="preserve">,</m:t>
                    </m:r>
                    <m:r>
                      <w:rPr>
                        <w:rFonts w:ascii="Cambria Math" w:hAnsi="Cambria Math"/>
                      </w:rPr>
                      <m:t xml:space="preserve">r</m:t>
                    </m:r>
                    <m:r>
                      <w:rPr>
                        <w:rFonts w:ascii="Cambria Math" w:hAnsi="Cambria Math"/>
                      </w:rPr>
                      <m:t xml:space="preserve">11</m:t>
                    </m:r>
                  </m:sub>
                </m:sSub>
              </m:oMath>
            </m:oMathPara>
          </w:p>
        </w:tc>
        <w:tc>
          <w:tcPr>
            <w:tcW w:w="5008" w:type="dxa"/>
            <w:tcBorders>
              <w:left w:val="single" w:sz="2" w:space="0" w:color="000000"/>
            </w:tcBorders>
            <w:vAlign w:val="center"/>
          </w:tcPr>
          <w:p>
            <w:pPr>
              <w:pStyle w:val="Normal"/>
              <w:widowControl/>
              <w:suppressAutoHyphens w:val="true"/>
              <w:spacing w:lineRule="auto" w:line="240" w:before="0" w:after="0"/>
              <w:ind w:right="5"/>
              <w:jc w:val="left"/>
              <w:rPr>
                <w:lang w:bidi="ar-SA"/>
              </w:rPr>
            </w:pPr>
            <w:r>
              <w:rPr>
                <w:sz w:val="22"/>
                <w:lang w:bidi="ar-SA"/>
              </w:rPr>
              <w:t>Interaction ranges</w:t>
            </w:r>
          </w:p>
        </w:tc>
      </w:tr>
    </w:tbl>
    <w:p>
      <w:pPr>
        <w:pStyle w:val="Normal"/>
        <w:spacing w:lineRule="auto" w:line="240" w:before="0" w:after="435"/>
        <w:ind w:left="14"/>
        <w:rPr/>
      </w:pPr>
      <w:r>
        <w:rPr>
          <w:b/>
        </w:rPr>
        <w:t xml:space="preserve">Table M1: </w:t>
      </w:r>
      <w:r>
        <w:rPr/>
        <w:t>Parameters of the Simulation. Variables with index c correspond to properties of the cargo particles while a corresponds to Atg11w19.</w:t>
      </w:r>
      <w:r>
        <w:br w:type="page"/>
      </w:r>
    </w:p>
    <w:p>
      <w:pPr>
        <w:pStyle w:val="Normal"/>
        <w:spacing w:lineRule="auto" w:line="240" w:before="0" w:after="0"/>
        <w:rPr>
          <w:b/>
          <w:bCs/>
        </w:rPr>
      </w:pPr>
      <w:r>
        <w:rPr>
          <w:b/>
          <w:bCs/>
        </w:rPr>
        <w:t>Avidity-interactions</w:t>
      </w:r>
    </w:p>
    <w:p>
      <w:pPr>
        <w:pStyle w:val="Normal"/>
        <w:spacing w:lineRule="auto" w:line="240" w:before="0" w:after="354"/>
        <w:ind w:left="10"/>
        <w:jc w:val="both"/>
        <w:rPr/>
      </w:pPr>
      <w:r>
        <w:rPr/>
        <w:t>To model avidity, which is the cooperation of neighboring molecules in attracting another species of particles, we alter the potential strengths between the combined Atg11w19 protein particles and the cargo particles.</w:t>
      </w:r>
    </w:p>
    <w:p>
      <w:pPr>
        <w:pStyle w:val="Normal"/>
        <w:spacing w:lineRule="auto" w:line="240"/>
        <w:rPr>
          <w:b/>
          <w:bCs/>
        </w:rPr>
      </w:pPr>
      <w:r>
        <w:rPr>
          <w:b/>
          <w:bCs/>
        </w:rPr>
        <w:t>Numerical Implementation</w:t>
      </w:r>
    </w:p>
    <w:p>
      <w:pPr>
        <w:pStyle w:val="Normal"/>
        <w:spacing w:lineRule="auto" w:line="240"/>
        <w:ind w:left="10"/>
        <w:jc w:val="both"/>
        <w:rPr/>
      </w:pPr>
      <w:r>
        <w:rPr/>
        <w:t xml:space="preserve">We used </w:t>
      </w:r>
      <w:r>
        <w:rPr>
          <w:rFonts w:eastAsia="Courier New" w:cs="Courier New" w:ascii="Courier New" w:hAnsi="Courier New"/>
        </w:rPr>
        <w:t>cellular_raza</w:t>
      </w:r>
      <w:r>
        <w:rPr>
          <w:vertAlign w:val="superscript"/>
        </w:rPr>
        <w:t xml:space="preserve"> </w:t>
      </w:r>
      <w:r>
        <w:rPr/>
        <w:t>(https://github.com/jonaspleyer/cellular_raza) to solve the equations of motion.</w:t>
      </w:r>
    </w:p>
    <w:p>
      <w:pPr>
        <w:pStyle w:val="Normal"/>
        <w:spacing w:lineRule="auto" w:line="240"/>
        <w:rPr>
          <w:b/>
          <w:bCs/>
        </w:rPr>
      </w:pPr>
      <w:r>
        <w:rPr>
          <w:b/>
          <w:bCs/>
        </w:rPr>
      </w:r>
    </w:p>
    <w:p>
      <w:pPr>
        <w:pStyle w:val="Normal"/>
        <w:spacing w:lineRule="auto" w:line="240"/>
        <w:ind w:left="10"/>
        <w:jc w:val="both"/>
        <w:rPr/>
      </w:pPr>
      <w:r>
        <w:rPr>
          <w:b/>
          <w:bCs/>
        </w:rPr>
        <w:t>Initial Positions</w:t>
      </w:r>
    </w:p>
    <w:p>
      <w:pPr>
        <w:pStyle w:val="Normal"/>
        <w:spacing w:lineRule="auto" w:line="240"/>
        <w:ind w:left="10"/>
        <w:jc w:val="both"/>
        <w:rPr/>
      </w:pPr>
      <w:r>
        <w:rPr>
          <w:b/>
          <w:bCs/>
        </w:rPr>
        <w:t>Cargo</w:t>
      </w:r>
    </w:p>
    <w:p>
      <w:pPr>
        <w:pStyle w:val="Normal"/>
        <w:spacing w:lineRule="auto" w:line="240"/>
        <w:jc w:val="both"/>
        <w:rPr/>
      </w:pPr>
      <w:r>
        <w:rPr/>
        <w:t>Initially, cargo particles are placed randomly inside a sphere with a given radius. They are then propagated until they reach an equilibrium state. This serves as the initial state for the next simulation step.</w:t>
      </w:r>
    </w:p>
    <w:p>
      <w:pPr>
        <w:pStyle w:val="Normal"/>
        <w:spacing w:lineRule="auto" w:line="240"/>
        <w:ind w:left="10"/>
        <w:jc w:val="both"/>
        <w:rPr/>
      </w:pPr>
      <w:r>
        <w:rPr>
          <w:b/>
          <w:bCs/>
        </w:rPr>
        <w:t>Atg11w19</w:t>
      </w:r>
    </w:p>
    <w:p>
      <w:pPr>
        <w:pStyle w:val="Normal"/>
        <w:spacing w:lineRule="auto" w:line="240"/>
        <w:jc w:val="both"/>
        <w:rPr/>
      </w:pPr>
      <w:r>
        <w:rPr/>
        <w:t>After the cargo particles have reached equilibrium, we introduce the Atg11w19 particles into the simulation. They are placed randomly outside of a sphere which radius is given by the initial cargo placements and an additional band which acts as a spacer.</w:t>
      </w:r>
    </w:p>
    <w:p>
      <w:pPr>
        <w:pStyle w:val="Normal"/>
        <w:spacing w:lineRule="auto" w:line="240"/>
        <w:jc w:val="both"/>
        <w:rPr/>
      </w:pPr>
      <w:r>
        <w:rPr/>
      </w:r>
    </w:p>
    <w:p>
      <w:pPr>
        <w:pStyle w:val="Normal"/>
        <w:spacing w:lineRule="auto" w:line="240"/>
        <w:ind w:left="10"/>
        <w:jc w:val="both"/>
        <w:rPr/>
      </w:pPr>
      <w:r>
        <w:rPr>
          <w:b/>
          <w:bCs/>
        </w:rPr>
        <w:t>Simulation Flow</w:t>
      </w:r>
    </w:p>
    <w:p>
      <w:pPr>
        <w:pStyle w:val="Normal"/>
        <w:spacing w:lineRule="auto" w:line="240"/>
        <w:jc w:val="both"/>
        <w:rPr/>
      </w:pPr>
      <w:r>
        <w:rPr/>
        <w:t>For simulation in which Cargo and Atg11w19 particles are combined, the position of cargo particles is fixed in space for the remainder of the simulation time. Meanwhile, the Atg11w19 particles are subject to the motions described above. They still interact with the cargo particles. If a particle collides with the simulation boundary, it is reflected. However, this behavior only occurs infrequently in our simulation.</w:t>
      </w:r>
    </w:p>
    <w:p>
      <w:pPr>
        <w:pStyle w:val="Normal"/>
        <w:spacing w:lineRule="auto" w:line="240"/>
        <w:jc w:val="both"/>
        <w:rPr/>
      </w:pPr>
      <w:r>
        <w:rPr/>
      </w:r>
    </w:p>
    <w:p>
      <w:pPr>
        <w:pStyle w:val="Normal"/>
        <w:spacing w:lineRule="auto" w:line="240"/>
        <w:ind w:left="10"/>
        <w:jc w:val="both"/>
        <w:rPr/>
      </w:pPr>
      <w:r>
        <w:rPr>
          <w:b/>
          <w:bCs/>
        </w:rPr>
        <w:t>Storing Results</w:t>
      </w:r>
    </w:p>
    <w:p>
      <w:pPr>
        <w:pStyle w:val="Normal"/>
        <w:spacing w:lineRule="auto" w:line="240"/>
        <w:jc w:val="both"/>
        <w:rPr/>
      </w:pPr>
      <w:r>
        <w:rPr/>
        <w:t xml:space="preserve">One particle can be represented as a </w:t>
      </w:r>
    </w:p>
    <w:p>
      <w:pPr>
        <w:pStyle w:val="Normal"/>
        <w:spacing w:lineRule="auto" w:line="240"/>
        <w:jc w:val="both"/>
        <w:rPr/>
      </w:pPr>
      <w:r>
        <w:rPr/>
        <w:t>collection of all its parameters. They are stored in multiple files. A typical section of such a file is represented in Figure M2. Similarly, the overall settings required to run a single simulation are also stored in a single file. This is automatically done by cellular_raza in the background.</w:t>
      </w:r>
    </w:p>
    <w:p>
      <w:pPr>
        <w:pStyle w:val="Normal"/>
        <w:spacing w:lineRule="auto" w:line="240"/>
        <w:jc w:val="both"/>
        <w:rPr/>
      </w:pPr>
      <w:r>
        <w:rPr/>
      </w:r>
      <w:r>
        <w:br w:type="page"/>
      </w:r>
    </w:p>
    <w:p>
      <w:pPr>
        <w:pStyle w:val="Normal"/>
        <w:spacing w:lineRule="auto" w:line="240" w:before="0" w:after="0"/>
        <w:jc w:val="both"/>
        <w:rPr/>
      </w:pPr>
      <w:r>
        <w:rPr/>
      </w:r>
    </w:p>
    <w:tbl>
      <w:tblPr>
        <w:tblStyle w:val="TableGrid0"/>
        <w:tblW w:w="9075" w:type="dxa"/>
        <w:jc w:val="left"/>
        <w:tblInd w:w="0" w:type="dxa"/>
        <w:tblLayout w:type="fixed"/>
        <w:tblCellMar>
          <w:top w:w="101" w:type="dxa"/>
          <w:left w:w="0" w:type="dxa"/>
          <w:bottom w:w="0" w:type="dxa"/>
          <w:right w:w="115" w:type="dxa"/>
        </w:tblCellMar>
        <w:tblLook w:val="04a0" w:noHBand="0" w:noVBand="1" w:firstColumn="1" w:lastRow="0" w:lastColumn="0" w:firstRow="1"/>
      </w:tblPr>
      <w:tblGrid>
        <w:gridCol w:w="9075"/>
      </w:tblGrid>
      <w:tr>
        <w:trPr>
          <w:trHeight w:val="7263" w:hRule="atLeast"/>
        </w:trPr>
        <w:tc>
          <w:tcPr>
            <w:tcW w:w="9075" w:type="dxa"/>
            <w:tcBorders>
              <w:top w:val="single" w:sz="2" w:space="0" w:color="000000"/>
              <w:bottom w:val="single" w:sz="2" w:space="0" w:color="000000"/>
            </w:tcBorders>
            <w:shd w:color="auto" w:fill="EEEEEE" w:val="clear"/>
          </w:tcPr>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"mechanics": {</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"pos": [</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8.85747417305744e-7,</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1.6095030291306556e-6,</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9.080380540878439e-7</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"diffusion_constant": 4.8000000000000003e-17,</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"kb_temperature": 4.141947e-21,</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"random_vector": [</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-0.7010850624988277,</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5.667906385578381,</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-3.523344099774444</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"interaction": {</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"species": "Atg11w19",</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"cell_radius": 1.0000000000000001e-7,</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"potential_strength_cargo_cargo": 3e-12,</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"potential_strength_atg11w19_atg11w19": 6.2e-13,</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"potential_strength_cargo_atg11w19": 1e-12,</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"interaction_range_cargo_cargo": 8.000000000000001e-8,</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"interaction_range_atg11w19_atg11w19": 8.000000000000001e-8,</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"interaction_range_atg11w19_cargo": 1.2000000000000002e-7,</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"relative_neighbour_distance": 1.5,</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"neighbour_count": 0</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w:t>
            </w:r>
          </w:p>
        </w:tc>
      </w:tr>
    </w:tbl>
    <w:p>
      <w:pPr>
        <w:pStyle w:val="Normal"/>
        <w:spacing w:lineRule="auto" w:line="240" w:before="0" w:after="139"/>
        <w:ind w:right="1239"/>
        <w:jc w:val="both"/>
        <w:rPr/>
      </w:pPr>
      <w:r>
        <w:rPr>
          <w:b/>
        </w:rPr>
        <w:t xml:space="preserve">Figure M2: </w:t>
      </w:r>
      <w:r>
        <w:rPr/>
        <w:t>Json representation of a single particle of species Atg11w19.</w:t>
      </w:r>
    </w:p>
    <w:tbl>
      <w:tblPr>
        <w:tblStyle w:val="TableGrid0"/>
        <w:tblpPr w:vertAnchor="text" w:horzAnchor="text" w:tblpX="337" w:tblpY="-138"/>
        <w:tblOverlap w:val="never"/>
        <w:tblW w:w="9026" w:type="dxa"/>
        <w:jc w:val="left"/>
        <w:tblInd w:w="0" w:type="dxa"/>
        <w:tblLayout w:type="fixed"/>
        <w:tblCellMar>
          <w:top w:w="101" w:type="dxa"/>
          <w:left w:w="0" w:type="dxa"/>
          <w:bottom w:w="0" w:type="dxa"/>
          <w:right w:w="115" w:type="dxa"/>
        </w:tblCellMar>
        <w:tblLook w:val="04a0" w:noHBand="0" w:noVBand="1" w:firstColumn="1" w:lastRow="0" w:lastColumn="0" w:firstRow="1"/>
      </w:tblPr>
      <w:tblGrid>
        <w:gridCol w:w="9026"/>
      </w:tblGrid>
      <w:tr>
        <w:trPr>
          <w:trHeight w:val="7547" w:hRule="atLeast"/>
        </w:trPr>
        <w:tc>
          <w:tcPr>
            <w:tcW w:w="9026" w:type="dxa"/>
            <w:tcBorders>
              <w:top w:val="single" w:sz="2" w:space="0" w:color="000000"/>
              <w:bottom w:val="single" w:sz="2" w:space="0" w:color="000000"/>
            </w:tcBorders>
            <w:shd w:color="auto" w:fill="EEEEEE" w:val="clear"/>
          </w:tcPr>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"n_cells_cargo": 220,</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"n_cells_atg11w19": 360,</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"cell_radius_cargo": 1.0000000000000001e-7,</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"cell_radius_atg11w19": 1.0000000000000001e-7,</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"diffusion_cargo": 5e-17,</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"diffusion_atg11w19": 4.8000000000000003e-17,</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"temperature_atg11w19": 300.0,</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"temperature_cargo": 300.0,</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"potential_strength_cargo_cargo": 3e-12,</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"potential_strength_cargo_atg11w19": 1.1000000000000002e-12,</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"potential_strength_atg11w19_atg11w19": 6.2e-13,</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"interaction_range_cargo_cargo": 8.000000000000001e-8,</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"interaction_range_atg11w19_cargo": 1.2000000000000002e-7,</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"interaction_range_atg11w19_atg11w19": 8.000000000000001e-8,</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"relative_neighbour_distance": 1.5,</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"dt": 0.12,</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"t_max": 8400.0,</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"save_interval": 6.0,</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"extra_saves": [],</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"n_threads": 4,</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"domain_size": 5e-6,</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"domain_cargo_radius_max": 6.000000000000001e-7,</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"domain_atg11w19_radius_min": 6.5e-7,</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"domain_n_voxels": 5,</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"storage_name": "out/autophagy_param_space",</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"substitute_date": "0000000603",</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"cargo_initials_dir": "out/cargo_initials",</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"show_progressbar": false,</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 xml:space="preserve">  </w:t>
            </w:r>
            <w:r>
              <w:rPr>
                <w:rFonts w:eastAsia="Courier New" w:cs="Courier New" w:ascii="Courier New" w:hAnsi="Courier New"/>
                <w:color w:val="1469B0"/>
                <w:sz w:val="22"/>
                <w:lang w:bidi="ar-SA"/>
              </w:rPr>
              <w:t>"random_seed": 4</w:t>
            </w:r>
          </w:p>
          <w:p>
            <w:pPr>
              <w:pStyle w:val="Normal"/>
              <w:widowControl/>
              <w:suppressAutoHyphens w:val="true"/>
              <w:spacing w:lineRule="auto" w:line="240" w:before="0" w:after="29"/>
              <w:jc w:val="left"/>
              <w:rPr>
                <w:lang w:bidi="ar-SA"/>
              </w:rPr>
            </w:pPr>
            <w:r>
              <w:rPr>
                <w:rFonts w:eastAsia="Courier New" w:cs="Courier New" w:ascii="Courier New" w:hAnsi="Courier New"/>
                <w:color w:val="1469B0"/>
                <w:sz w:val="22"/>
                <w:lang w:bidi="ar-SA"/>
              </w:rPr>
              <w:t>}</w:t>
            </w:r>
          </w:p>
        </w:tc>
      </w:tr>
    </w:tbl>
    <w:p>
      <w:pPr>
        <w:pStyle w:val="Normal"/>
        <w:spacing w:lineRule="auto" w:line="240"/>
        <w:ind w:left="10"/>
        <w:jc w:val="both"/>
        <w:rPr/>
      </w:pPr>
      <w:r/>
      <w:r>
        <w:rPr>
          <w:b/>
        </w:rPr>
        <w:t xml:space="preserve">Figure M3: </w:t>
      </w:r>
      <w:r>
        <w:rPr/>
        <w:t>All settings needed to specify a complete simulation run.</w:t>
      </w:r>
    </w:p>
    <w:p>
      <w:pPr>
        <w:pStyle w:val="Normal"/>
        <w:spacing w:lineRule="auto" w:line="240"/>
        <w:ind w:left="10"/>
        <w:jc w:val="both"/>
        <w:rPr/>
      </w:pPr>
      <w:r>
        <w:rPr/>
      </w:r>
    </w:p>
    <w:p>
      <w:pPr>
        <w:pStyle w:val="Normal"/>
        <w:spacing w:lineRule="auto" w:line="240"/>
        <w:rPr>
          <w:b/>
          <w:bCs/>
        </w:rPr>
      </w:pPr>
      <w:r>
        <w:rPr>
          <w:b/>
          <w:bCs/>
        </w:rPr>
      </w:r>
    </w:p>
    <w:sectPr>
      <w:footerReference w:type="even" r:id="rId9"/>
      <w:footerReference w:type="default" r:id="rId10"/>
      <w:footerReference w:type="first" r:id="rId11"/>
      <w:type w:val="nextPage"/>
      <w:pgSz w:w="11906" w:h="16838"/>
      <w:pgMar w:left="1440" w:right="1440" w:gutter="0" w:header="0" w:top="1440" w:footer="708"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ourier New">
    <w:charset w:val="01"/>
    <w:family w:val="roman"/>
    <w:pitch w:val="variable"/>
  </w:font>
  <w:font w:name="Liberation Sans">
    <w:altName w:val="Arial"/>
    <w:charset w:val="01"/>
    <w:family w:val="roman"/>
    <w:pitch w:val="variable"/>
  </w:font>
  <w:font w:name="Cambria">
    <w:charset w:val="01"/>
    <w:family w:val="roman"/>
    <w:pitch w:val="variable"/>
  </w:font>
  <w:font w:name="Arial">
    <w:charset w:val="01"/>
    <w:family w:val="swiss"/>
    <w:pitch w:val="variable"/>
  </w:font>
  <w:font w:name="Courier New">
    <w:charset w:val="01"/>
    <w:family w:val="modern"/>
    <w:pitch w:val="fixed"/>
  </w:font>
  <w:font w:name="Wingdings">
    <w:charset w:val="02"/>
    <w:family w:val="auto"/>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Arial" w:hAnsi="Arial" w:cs="Arial"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6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en-DE"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145c1"/>
    <w:pPr>
      <w:widowControl/>
      <w:suppressAutoHyphens w:val="true"/>
      <w:bidi w:val="0"/>
      <w:spacing w:lineRule="auto" w:line="276" w:before="0" w:after="0"/>
      <w:jc w:val="left"/>
    </w:pPr>
    <w:rPr>
      <w:rFonts w:ascii="Arial" w:hAnsi="Arial" w:eastAsia="Arial" w:cs="Arial"/>
      <w:color w:val="auto"/>
      <w:kern w:val="0"/>
      <w:sz w:val="22"/>
      <w:szCs w:val="22"/>
      <w:lang w:val="en-US" w:eastAsia="en-GB" w:bidi="ar-SA"/>
      <w14:ligatures w14:val="none"/>
    </w:rPr>
  </w:style>
  <w:style w:type="paragraph" w:styleId="Heading1">
    <w:name w:val="Heading 1"/>
    <w:next w:val="Normal"/>
    <w:link w:val="Heading1Char"/>
    <w:uiPriority w:val="9"/>
    <w:qFormat/>
    <w:rsid w:val="001f728a"/>
    <w:pPr>
      <w:keepNext w:val="true"/>
      <w:keepLines/>
      <w:widowControl/>
      <w:suppressAutoHyphens w:val="true"/>
      <w:bidi w:val="0"/>
      <w:spacing w:lineRule="auto" w:line="259" w:before="0" w:after="86"/>
      <w:ind w:hanging="10" w:left="347"/>
      <w:jc w:val="left"/>
      <w:outlineLvl w:val="0"/>
    </w:pPr>
    <w:rPr>
      <w:rFonts w:ascii="Arial" w:hAnsi="Arial" w:eastAsia="Arial" w:cs="Arial"/>
      <w:b/>
      <w:color w:val="000000"/>
      <w:kern w:val="2"/>
      <w:sz w:val="29"/>
      <w:szCs w:val="22"/>
      <w:lang w:val="de-DE" w:eastAsia="de-DE" w:bidi="ar-SA"/>
    </w:rPr>
  </w:style>
  <w:style w:type="paragraph" w:styleId="Heading2">
    <w:name w:val="Heading 2"/>
    <w:next w:val="Normal"/>
    <w:link w:val="Heading2Char"/>
    <w:uiPriority w:val="9"/>
    <w:unhideWhenUsed/>
    <w:qFormat/>
    <w:rsid w:val="001f728a"/>
    <w:pPr>
      <w:keepNext w:val="true"/>
      <w:keepLines/>
      <w:widowControl/>
      <w:suppressAutoHyphens w:val="true"/>
      <w:bidi w:val="0"/>
      <w:spacing w:lineRule="auto" w:line="259" w:before="0" w:after="144"/>
      <w:ind w:hanging="10" w:left="347"/>
      <w:jc w:val="left"/>
      <w:outlineLvl w:val="1"/>
    </w:pPr>
    <w:rPr>
      <w:rFonts w:ascii="Arial" w:hAnsi="Arial" w:eastAsia="Arial" w:cs="Arial"/>
      <w:b/>
      <w:color w:val="000000"/>
      <w:kern w:val="2"/>
      <w:sz w:val="24"/>
      <w:szCs w:val="22"/>
      <w:lang w:val="de-DE" w:eastAsia="de-DE" w:bidi="ar-SA"/>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bc3c6b"/>
    <w:rPr>
      <w:sz w:val="16"/>
      <w:szCs w:val="16"/>
    </w:rPr>
  </w:style>
  <w:style w:type="character" w:styleId="CommentTextChar" w:customStyle="1">
    <w:name w:val="Comment Text Char"/>
    <w:basedOn w:val="DefaultParagraphFont"/>
    <w:link w:val="AnnotationText"/>
    <w:uiPriority w:val="99"/>
    <w:qFormat/>
    <w:rsid w:val="00bc3c6b"/>
    <w:rPr>
      <w:rFonts w:ascii="Arial" w:hAnsi="Arial" w:eastAsia="Arial" w:cs="Arial"/>
      <w:kern w:val="0"/>
      <w:sz w:val="20"/>
      <w:szCs w:val="20"/>
      <w:lang w:val="en-US" w:eastAsia="en-GB"/>
      <w14:ligatures w14:val="none"/>
    </w:rPr>
  </w:style>
  <w:style w:type="character" w:styleId="CommentSubjectChar" w:customStyle="1">
    <w:name w:val="Comment Subject Char"/>
    <w:basedOn w:val="CommentTextChar"/>
    <w:link w:val="annotationsubject"/>
    <w:uiPriority w:val="99"/>
    <w:semiHidden/>
    <w:qFormat/>
    <w:rsid w:val="00bc3c6b"/>
    <w:rPr>
      <w:rFonts w:ascii="Arial" w:hAnsi="Arial" w:eastAsia="Arial" w:cs="Arial"/>
      <w:b/>
      <w:bCs/>
      <w:kern w:val="0"/>
      <w:sz w:val="20"/>
      <w:szCs w:val="20"/>
      <w:lang w:val="en-US" w:eastAsia="en-GB"/>
      <w14:ligatures w14:val="none"/>
    </w:rPr>
  </w:style>
  <w:style w:type="character" w:styleId="Heading1Char" w:customStyle="1">
    <w:name w:val="Heading 1 Char"/>
    <w:basedOn w:val="DefaultParagraphFont"/>
    <w:link w:val="Heading1"/>
    <w:qFormat/>
    <w:rsid w:val="001f728a"/>
    <w:rPr>
      <w:rFonts w:ascii="Arial" w:hAnsi="Arial" w:eastAsia="Arial" w:cs="Arial"/>
      <w:b/>
      <w:color w:val="000000"/>
      <w:sz w:val="29"/>
      <w:szCs w:val="22"/>
      <w:lang w:val="de-DE" w:eastAsia="de-DE"/>
    </w:rPr>
  </w:style>
  <w:style w:type="character" w:styleId="Heading2Char" w:customStyle="1">
    <w:name w:val="Heading 2 Char"/>
    <w:basedOn w:val="DefaultParagraphFont"/>
    <w:link w:val="Heading2"/>
    <w:qFormat/>
    <w:rsid w:val="001f728a"/>
    <w:rPr>
      <w:rFonts w:ascii="Arial" w:hAnsi="Arial" w:eastAsia="Arial" w:cs="Arial"/>
      <w:b/>
      <w:color w:val="000000"/>
      <w:szCs w:val="22"/>
      <w:lang w:val="de-DE" w:eastAsia="de-DE"/>
    </w:rPr>
  </w:style>
  <w:style w:type="character" w:styleId="footnotedescriptionChar" w:customStyle="1">
    <w:name w:val="footnote description Char"/>
    <w:link w:val="footnotedescription"/>
    <w:qFormat/>
    <w:rsid w:val="001f728a"/>
    <w:rPr>
      <w:rFonts w:ascii="Courier New" w:hAnsi="Courier New" w:eastAsia="Courier New" w:cs="Courier New"/>
      <w:color w:val="000000"/>
      <w:sz w:val="18"/>
      <w:szCs w:val="22"/>
      <w:lang w:val="de-DE" w:eastAsia="de-DE"/>
    </w:rPr>
  </w:style>
  <w:style w:type="character" w:styleId="footnotemark" w:customStyle="1">
    <w:name w:val="footnote mark"/>
    <w:qFormat/>
    <w:rsid w:val="001f728a"/>
    <w:rPr>
      <w:rFonts w:ascii="Arial" w:hAnsi="Arial" w:eastAsia="Arial" w:cs="Arial"/>
      <w:color w:val="000000"/>
      <w:sz w:val="18"/>
      <w:vertAlign w:val="superscript"/>
    </w:rPr>
  </w:style>
  <w:style w:type="character" w:styleId="PlaceholderText">
    <w:name w:val="Placeholder Text"/>
    <w:basedOn w:val="DefaultParagraphFont"/>
    <w:uiPriority w:val="99"/>
    <w:semiHidden/>
    <w:qFormat/>
    <w:rsid w:val="001f728a"/>
    <w:rPr>
      <w:color w:val="666666"/>
    </w:rPr>
  </w:style>
  <w:style w:type="character" w:styleId="FootnoteCharacters">
    <w:name w:val="Footnote Characters"/>
    <w:uiPriority w:val="99"/>
    <w:semiHidden/>
    <w:unhideWhenUsed/>
    <w:qFormat/>
    <w:rsid w:val="00c20e4d"/>
    <w:rPr>
      <w:vertAlign w:val="superscript"/>
    </w:rPr>
  </w:style>
  <w:style w:type="character" w:styleId="FootnoteCharacters1">
    <w:name w:val="Footnote Characters1"/>
    <w:qFormat/>
    <w:rPr>
      <w:vertAlign w:val="superscript"/>
    </w:rPr>
  </w:style>
  <w:style w:type="character" w:styleId="FootnoteCharacters2">
    <w:name w:val="Footnote Characters2"/>
    <w:qFormat/>
    <w:rPr>
      <w:vertAlign w:val="superscript"/>
    </w:rPr>
  </w:style>
  <w:style w:type="character" w:styleId="FootnoteCharacters3">
    <w:name w:val="Footnote Characters3"/>
    <w:qFormat/>
    <w:rPr>
      <w:vertAlign w:val="superscript"/>
    </w:rPr>
  </w:style>
  <w:style w:type="character" w:styleId="FootnoteCharacters4">
    <w:name w:val="Footnote Characters4"/>
    <w:qFormat/>
    <w:rPr>
      <w:vertAlign w:val="superscript"/>
    </w:rPr>
  </w:style>
  <w:style w:type="character" w:styleId="FootnoteCharacters5">
    <w:name w:val="Footnote Characters5"/>
    <w:qFormat/>
    <w:rPr>
      <w:vertAlign w:val="superscript"/>
    </w:rPr>
  </w:style>
  <w:style w:type="character" w:styleId="FootnoteReference">
    <w:name w:val="Footnote Reference"/>
    <w:rPr>
      <w:vertAlign w:val="superscript"/>
    </w:rPr>
  </w:style>
  <w:style w:type="character" w:styleId="Hyperlink">
    <w:name w:val="Hyperlink"/>
    <w:basedOn w:val="DefaultParagraphFont"/>
    <w:uiPriority w:val="99"/>
    <w:unhideWhenUsed/>
    <w:rsid w:val="004f7e71"/>
    <w:rPr>
      <w:color w:themeColor="hyperlink" w:val="0563C1"/>
      <w:u w:val="single"/>
    </w:rPr>
  </w:style>
  <w:style w:type="character" w:styleId="UnresolvedMention">
    <w:name w:val="Unresolved Mention"/>
    <w:basedOn w:val="DefaultParagraphFont"/>
    <w:uiPriority w:val="99"/>
    <w:semiHidden/>
    <w:unhideWhenUsed/>
    <w:qFormat/>
    <w:rsid w:val="004f7e71"/>
    <w:rPr>
      <w:color w:val="605E5C"/>
      <w:shd w:fill="E1DFDD" w:val="clear"/>
    </w:rPr>
  </w:style>
  <w:style w:type="character" w:styleId="FooterChar" w:customStyle="1">
    <w:name w:val="Footer Char"/>
    <w:basedOn w:val="DefaultParagraphFont"/>
    <w:link w:val="Footer"/>
    <w:uiPriority w:val="99"/>
    <w:qFormat/>
    <w:rsid w:val="005c3145"/>
    <w:rPr>
      <w:rFonts w:ascii="Arial" w:hAnsi="Arial" w:eastAsia="Arial" w:cs="Arial"/>
      <w:kern w:val="0"/>
      <w:sz w:val="22"/>
      <w:szCs w:val="22"/>
      <w:lang w:val="en-US" w:eastAsia="en-GB"/>
      <w14:ligatures w14:val="none"/>
    </w:rPr>
  </w:style>
  <w:style w:type="character" w:styleId="PageNumber">
    <w:name w:val="Page Number"/>
    <w:basedOn w:val="DefaultParagraphFont"/>
    <w:uiPriority w:val="99"/>
    <w:semiHidden/>
    <w:unhideWhenUsed/>
    <w:rsid w:val="005c3145"/>
    <w:rPr/>
  </w:style>
  <w:style w:type="paragraph" w:styleId="Heading">
    <w:name w:val="Heading"/>
    <w:basedOn w:val="Normal"/>
    <w:next w:val="BodyText"/>
    <w:qFormat/>
    <w:pPr>
      <w:keepNext w:val="true"/>
      <w:spacing w:before="240" w:after="120"/>
    </w:pPr>
    <w:rPr>
      <w:rFonts w:ascii="Liberation Sans" w:hAnsi="Liberation Sans" w:eastAsia="Source Han Sans CN"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ed5804"/>
    <w:pPr>
      <w:spacing w:before="0" w:after="0"/>
      <w:ind w:left="720"/>
      <w:contextualSpacing/>
    </w:pPr>
    <w:rPr/>
  </w:style>
  <w:style w:type="paragraph" w:styleId="AnnotationText">
    <w:name w:val="Annotation Text"/>
    <w:basedOn w:val="Normal"/>
    <w:link w:val="CommentTextChar"/>
    <w:uiPriority w:val="99"/>
    <w:unhideWhenUsed/>
    <w:rsid w:val="00bc3c6b"/>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bc3c6b"/>
    <w:pPr/>
    <w:rPr>
      <w:b/>
      <w:bCs/>
    </w:rPr>
  </w:style>
  <w:style w:type="paragraph" w:styleId="Bibliography">
    <w:name w:val="Bibliography"/>
    <w:basedOn w:val="Normal"/>
    <w:next w:val="Normal"/>
    <w:uiPriority w:val="37"/>
    <w:unhideWhenUsed/>
    <w:qFormat/>
    <w:rsid w:val="001f728a"/>
    <w:pPr>
      <w:tabs>
        <w:tab w:val="clear" w:pos="720"/>
        <w:tab w:val="left" w:pos="260" w:leader="none"/>
      </w:tabs>
      <w:spacing w:lineRule="auto" w:line="480"/>
      <w:ind w:hanging="264" w:left="264" w:right="1"/>
      <w:jc w:val="both"/>
    </w:pPr>
    <w:rPr>
      <w:color w:val="000000"/>
      <w:kern w:val="2"/>
      <w:lang w:val="de-DE" w:eastAsia="de-DE"/>
      <w14:ligatures w14:val="standardContextual"/>
    </w:rPr>
  </w:style>
  <w:style w:type="paragraph" w:styleId="footnotedescription" w:customStyle="1">
    <w:name w:val="footnote description"/>
    <w:next w:val="Normal"/>
    <w:link w:val="footnotedescriptionChar"/>
    <w:qFormat/>
    <w:rsid w:val="001f728a"/>
    <w:pPr>
      <w:widowControl/>
      <w:suppressAutoHyphens w:val="true"/>
      <w:bidi w:val="0"/>
      <w:spacing w:lineRule="auto" w:line="259" w:before="0" w:after="0"/>
      <w:ind w:left="583"/>
      <w:jc w:val="left"/>
    </w:pPr>
    <w:rPr>
      <w:rFonts w:ascii="Courier New" w:hAnsi="Courier New" w:eastAsia="Courier New" w:cs="Courier New"/>
      <w:color w:val="000000"/>
      <w:kern w:val="2"/>
      <w:sz w:val="18"/>
      <w:szCs w:val="22"/>
      <w:lang w:val="de-DE" w:eastAsia="de-DE" w:bidi="ar-SA"/>
    </w:rPr>
  </w:style>
  <w:style w:type="paragraph" w:styleId="Revision">
    <w:name w:val="Revision"/>
    <w:uiPriority w:val="99"/>
    <w:semiHidden/>
    <w:qFormat/>
    <w:rsid w:val="001f728a"/>
    <w:pPr>
      <w:widowControl/>
      <w:suppressAutoHyphens w:val="true"/>
      <w:bidi w:val="0"/>
      <w:spacing w:before="0" w:after="0"/>
      <w:jc w:val="left"/>
    </w:pPr>
    <w:rPr>
      <w:rFonts w:ascii="Arial" w:hAnsi="Arial" w:eastAsia="Arial" w:cs="Arial"/>
      <w:color w:val="000000"/>
      <w:kern w:val="2"/>
      <w:sz w:val="22"/>
      <w:szCs w:val="22"/>
      <w:lang w:val="de-DE" w:eastAsia="de-DE" w:bidi="ar-SA"/>
    </w:rPr>
  </w:style>
  <w:style w:type="paragraph" w:styleId="HeaderandFooter">
    <w:name w:val="Header and Footer"/>
    <w:basedOn w:val="Normal"/>
    <w:qFormat/>
    <w:pPr/>
    <w:rPr/>
  </w:style>
  <w:style w:type="paragraph" w:styleId="Footer">
    <w:name w:val="Footer"/>
    <w:basedOn w:val="Normal"/>
    <w:link w:val="FooterChar"/>
    <w:uiPriority w:val="99"/>
    <w:unhideWhenUsed/>
    <w:rsid w:val="005c3145"/>
    <w:pPr>
      <w:tabs>
        <w:tab w:val="clear" w:pos="720"/>
        <w:tab w:val="center" w:pos="4513" w:leader="none"/>
        <w:tab w:val="right" w:pos="9026" w:leader="none"/>
      </w:tabs>
      <w:spacing w:lineRule="auto" w:line="24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2145c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0">
    <w:name w:val="TableGrid"/>
    <w:rsid w:val="001f728a"/>
    <w:rPr>
      <w:rFonts w:eastAsiaTheme="minorEastAsia"/>
      <w:lang w:val="de-DE" w:eastAsia="de-DE"/>
      <w:sz w:val="22"/>
      <w:szCs w:val="22"/>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AB390-2EA6-D340-BF2E-D411CA2B4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Application>LibreOffice/24.2.5.2$Linux_X86_64 LibreOffice_project/420$Build-2</Application>
  <AppVersion>15.0000</AppVersion>
  <Pages>19</Pages>
  <Words>3552</Words>
  <Characters>21774</Characters>
  <CharactersWithSpaces>25084</CharactersWithSpaces>
  <Paragraphs>458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2024-01-26T17:09:00Z</dcterms:created>
  <dc:creator>Mariya Licheva</dc:creator>
  <dc:description/>
  <dc:language>de-DE</dc:language>
  <cp:lastModifiedBy/>
  <cp:lastPrinted>2024-07-19T14:31:41Z</cp:lastPrinted>
  <dcterms:modified xsi:type="dcterms:W3CDTF">2024-07-19T14:18:53Z</dcterms:modified>
  <cp:revision>83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id="czidysG1"/&gt;&lt;style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