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/word/document.xml"/>
</Relationships>

</file>

<file path=word/document.xml><?xml version="1.0" encoding="utf-8"?>
<w:document xmlns:w="http://schemas.openxmlformats.org/wordprocessingml/2006/main">
  <w:body>
    <w:p>
      <w:r>
        <w:t>Apt Tracker — Dokumentacja: Scoring</w:t>
      </w:r>
    </w:p>
    <w:p>
      <w:r>
        <w:t xml:space="preserve"> </w:t>
      </w:r>
    </w:p>
    <w:p>
      <w:r>
        <w:t>Krótkie podsumowanie:</w:t>
      </w:r>
    </w:p>
    <w:p>
      <w:r>
        <w:t>Apt Tracker to aplikacja do agregacji i analizy informacji o zagrożeniach (Threat Intelligence). Ten dokument skupia się na mechanizmie scoringu używanym do oceny ryzyka wskaźników (IOC) oraz obiektów takich jak domeny, adresy IP, certyfikaty i profile APT.</w:t>
      </w:r>
    </w:p>
    <w:p>
      <w:r>
        <w:t xml:space="preserve"> </w:t>
      </w:r>
    </w:p>
    <w:p>
      <w:r>
        <w:t>Cel scoringu:</w:t>
      </w:r>
    </w:p>
    <w:p>
      <w:r>
        <w:t>Celem scoringu jest skwantyfikowanie poziomu ryzyka powiązanego z analizowanym obiektem w sposób powtarzalny i konfigurowalny. Wynik scoringu pomaga analitykom szybko ocenić priorytet dalszego dochodzenia.</w:t>
      </w:r>
    </w:p>
    <w:p>
      <w:r>
        <w:t xml:space="preserve"> </w:t>
      </w:r>
    </w:p>
    <w:p>
      <w:r>
        <w:t>Źródła danych:</w:t>
      </w:r>
    </w:p>
    <w:p>
      <w:r>
        <w:t>Scoring agreguje sygnały z wielu źródeł: VirusTotal, AbuseIPDB, ThreatFox, CIRCL, Shodan, crt.sh, WHOIS i inne. Każde źródło dostarcza różne metryki (np. liczba wykryć, reputacja, pojawienia się w IOC, metadane certyfikatów, informacje WHOIS).</w:t>
      </w:r>
    </w:p>
    <w:p>
      <w:r>
        <w:t xml:space="preserve"> </w:t>
      </w:r>
    </w:p>
    <w:p>
      <w:r>
        <w:t>Ogólna metoda obliczania:</w:t>
      </w:r>
    </w:p>
    <w:p>
      <w:r>
        <w:t>1) Zbieranie sygnałów — backend wywołuje serwisy integracyjne (pliki services.py w poszczególnych aplikacjach) i konsoliduje surowe dane do zunifikowanej struktury JSON.</w:t>
      </w:r>
    </w:p>
    <w:p>
      <w:r>
        <w:t>2) Normalizacja — każde źródło jest normalizowane do zestawu uniwersalnych pól (np. found, score, tags, first_seen, last_seen, org, asn).</w:t>
      </w:r>
    </w:p>
    <w:p>
      <w:r>
        <w:t>3) Wagowanie — dla każdej klasy sygnałów przypisywana jest waga (konfigurowalna). Przykładowe klasy: reputacja (VirusTotal, AbuseIPDB), wystąpienia w IOC (ThreatFox, CIRCL), telemetria pasywna (Shodan), metadane certyfikatów (crt.sh), informacje WHOIS.</w:t>
      </w:r>
    </w:p>
    <w:p>
      <w:r>
        <w:t>4) Agregacja — znormalizowane i wystandaryzowane wartości mnożone są przez wagi i sumowane do wartości pośredniej.</w:t>
      </w:r>
    </w:p>
    <w:p>
      <w:r>
        <w:t>5) Normalizacja końcowa — wynik skaluje się do zakresu 0–100 i mapuje na kategorie ryzyka (LOW, MEDIUM, HIGH, CRITICAL).</w:t>
      </w:r>
    </w:p>
    <w:p>
      <w:r>
        <w:t xml:space="preserve"> </w:t>
      </w:r>
    </w:p>
    <w:p>
      <w:r>
        <w:t>Przykładowe reguły (ilustracyjne):</w:t>
      </w:r>
    </w:p>
    <w:p>
      <w:r>
        <w:t>- AbuseIPDB: jeśli abuse_score &gt; 80 → daje wysoki wkład do końcowego wyniku; jeśli is_tor=TRUE → podbicie scoringu.</w:t>
      </w:r>
    </w:p>
    <w:p>
      <w:r>
        <w:t>- VirusTotal: liczba silników wykrywających malware wpływa liniowo na składową VT.</w:t>
      </w:r>
    </w:p>
    <w:p>
      <w:r>
        <w:t>- ThreatFox/CIRCL: obecność w IOC powiązanych z znanym malware lub APT dodaje wagę znaczącą.</w:t>
      </w:r>
    </w:p>
    <w:p>
      <w:r>
        <w:t>- Shodan: wykrycie otwartych portów krytycznych lub serwerów z znanymi podatnościami podnosi ryzyko.</w:t>
      </w:r>
    </w:p>
    <w:p>
      <w:r>
        <w:t>- crt.sh: certyfikaty zawierające podejrzane nazwy lub wystawione/ożywione niedawno podbijają scoring dla domeny/powiązań.</w:t>
      </w:r>
    </w:p>
    <w:p>
      <w:r>
        <w:t xml:space="preserve"> </w:t>
      </w:r>
    </w:p>
    <w:p>
      <w:r>
        <w:t>Konfigurowalność:</w:t>
      </w:r>
    </w:p>
    <w:p>
      <w:r>
        <w:t>Scoring jest konfigurowalny — frontend może zapisać JSON konfiguracji w localStorage pod kluczem `scoring_config`. Ten config jest przekazywany nagłówkiem `X-Scoring-Config` do backendu i pozwala nadpisać wagę klas sygnałów, progi, a także wyłączyć/ włączyć konkretne źródła. Pozwala to dopasować scoring do polityki organizacji.</w:t>
      </w:r>
    </w:p>
    <w:p>
      <w:r>
        <w:t xml:space="preserve"> </w:t>
      </w:r>
    </w:p>
    <w:p>
      <w:r>
        <w:t>Przykład formatu `X-Scoring-Config` (JSON):</w:t>
      </w:r>
    </w:p>
    <w:p>
      <w:r>
        <w:t>{</w:t>
      </w:r>
    </w:p>
    <w:p>
      <w:r>
        <w:t>  "weights": { "virustotal": 0.3, "abuseipdb": 0.25, "threatfox": 0.2, "shodan": 0.15, "crtsh": 0.05, "whois": 0.05 },</w:t>
      </w:r>
    </w:p>
    <w:p>
      <w:r>
        <w:t>  "thresholds": { "critical": 80, "high": 50, "medium": 20 }</w:t>
      </w:r>
    </w:p>
    <w:p>
      <w:r>
        <w:t>}</w:t>
      </w:r>
    </w:p>
    <w:p>
      <w:r>
        <w:t xml:space="preserve"> </w:t>
      </w:r>
    </w:p>
    <w:p>
      <w:r>
        <w:t>Mapowanie wyników na etykiety ryzyka:</w:t>
      </w:r>
    </w:p>
    <w:p>
      <w:r>
        <w:t>- 0–19: LOW</w:t>
      </w:r>
    </w:p>
    <w:p>
      <w:r>
        <w:t>- 20–49: MEDIUM</w:t>
      </w:r>
    </w:p>
    <w:p>
      <w:r>
        <w:t>- 50–79: HIGH</w:t>
      </w:r>
    </w:p>
    <w:p>
      <w:r>
        <w:t>- 80–100: CRITICAL</w:t>
      </w:r>
    </w:p>
    <w:p>
      <w:r>
        <w:t xml:space="preserve"> </w:t>
      </w:r>
    </w:p>
    <w:p>
      <w:r>
        <w:t>Uwaga o interpretacji:</w:t>
      </w:r>
    </w:p>
    <w:p>
      <w:r>
        <w:t>Scoring dostarcza przybliżony priorytet — ostateczna decyzja analityczna powinna uwzględniać kontekst operacyjny. Niektóre sygnały mogą być fałszywie pozytywne (np. certyfikaty Let's Encrypt dla wielu domen), dlatego system umożliwia wyłączenie lub obniżenie wagi takich sygnałów.</w:t>
      </w:r>
    </w:p>
    <w:p>
      <w:r>
        <w:t xml:space="preserve"> </w:t>
      </w:r>
    </w:p>
    <w:p>
      <w:r>
        <w:t>Przepływ danych w aplikacji (skrót):</w:t>
      </w:r>
    </w:p>
    <w:p>
      <w:r>
        <w:t>Użytkownik → Frontend (Vue) → wywołanie `/api/analyze/?q=...` (nagłówek `X-Scoring-Config` opcjonalny) → `analyzer` zbiera dane z serwisów (services.py) → normalizacja i scoring → wynik JSON zwracany do frontendu → frontend wyświetla wynik i kategorię ryzyka.</w:t>
      </w:r>
    </w:p>
    <w:p>
      <w:r>
        <w:t xml:space="preserve"> </w:t>
      </w:r>
    </w:p>
    <w:p>
      <w:r>
        <w:t>Sugestie dalszego rozwoju dokumentu:</w:t>
      </w:r>
    </w:p>
    <w:p>
      <w:r>
        <w:t>- Dodać szczegółowy opis wag, listę wszystkich normalizowanych pól i przykład pełnego JSON-a odpowiedzi.</w:t>
      </w:r>
    </w:p>
    <w:p>
      <w:r>
        <w:t>- Dodać sekcję testów scoringu z przykładowymi przypadkami i oczekiwanymi wynikami.</w:t>
      </w:r>
    </w:p>
    <w:p>
      <w:r>
        <w:t>- Wygenerować specyfikację OpenAPI dla endpointów analizy.</w:t>
      </w:r>
    </w:p>
    <w:p>
      <w:r>
        <w:t xml:space="preserve"> </w:t>
      </w:r>
    </w:p>
    <w:p>
      <w:r>
        <w:t>Koniec dokumentu.</w:t>
      </w:r>
    </w:p>
    <w:sectPr/>
  </w:body>
</w:document>
</file>

<file path=word/_rels/document.xml.rels><?xml version="1.0" encoding="UTF-8"?>
<Relationships xmlns="http://schemas.openxmlformats.org/package/2006/relationships"></Relationships>

</file>