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hd w:fill="0F766E"/>
        <w:spacing w:before="160" w:after="160"/>
      </w:pPr>
      <w:r>
        <w:rPr>
          <w:b/>
          <w:color w:val="FFFFFF"/>
          <w:sz w:val="8"/>
        </w:rPr>
        <w:t> </w:t>
      </w:r>
    </w:p>
    <w:p>
      <w:pPr>
        <w:jc w:val="center"/>
        <w:spacing w:after="60"/>
      </w:pPr>
      <w:r>
        <w:rPr>
          <w:b/>
          <w:color w:val="0F766E"/>
          <w:sz w:val="36"/>
          <w:szCs w:val="36"/>
        </w:rPr>
        <w:t>COTIZACIÓN DE SERVICIO MENSUAL</w:t>
      </w:r>
    </w:p>
    <w:p>
      <w:pPr>
        <w:jc w:val="center"/>
        <w:spacing w:after="220"/>
      </w:pPr>
      <w:r>
        <w:rPr>
          <w:b/>
          <w:color w:val="334155"/>
          <w:sz w:val="24"/>
          <w:szCs w:val="24"/>
        </w:rPr>
        <w:t>Sistema de Administración Inmobiliaria</w:t>
      </w:r>
    </w:p>
    <w:tbl>
      <w:tblPr>
        <w:tblStyle w:val="TableGrid"/>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600" w:type="dxa"/>
            <w:tcMar>
              <w:top w:w="120" w:type="dxa"/>
              <w:left w:w="120" w:type="dxa"/>
              <w:bottom w:w="120" w:type="dxa"/>
              <w:right w:w="120" w:type="dxa"/>
            </w:tcMar>
          </w:tcPr>
          <w:p>
            <w:pPr>
              <w:spacing w:after="0"/>
            </w:pPr>
            <w:r>
              <w:t>Cliente</w:t>
            </w:r>
          </w:p>
        </w:tc>
        <w:tc>
          <w:tcPr>
            <w:tcW w:w="6200" w:type="dxa"/>
            <w:tcMar>
              <w:top w:w="120" w:type="dxa"/>
              <w:left w:w="120" w:type="dxa"/>
              <w:bottom w:w="120" w:type="dxa"/>
              <w:right w:w="120" w:type="dxa"/>
            </w:tcMar>
          </w:tcPr>
          <w:p>
            <w:pPr>
              <w:spacing w:after="0"/>
            </w:pPr>
            <w:r>
              <w:t>Terratowers</w:t>
            </w:r>
          </w:p>
        </w:tc>
      </w:tr>
      <w:tr>
        <w:tc>
          <w:tcPr>
            <w:tcW w:w="2600" w:type="dxa"/>
            <w:tcMar>
              <w:top w:w="120" w:type="dxa"/>
              <w:left w:w="120" w:type="dxa"/>
              <w:bottom w:w="120" w:type="dxa"/>
              <w:right w:w="120" w:type="dxa"/>
            </w:tcMar>
          </w:tcPr>
          <w:p>
            <w:pPr>
              <w:spacing w:after="0"/>
            </w:pPr>
            <w:r>
              <w:t>Sistema cotizado</w:t>
            </w:r>
          </w:p>
        </w:tc>
        <w:tc>
          <w:tcPr>
            <w:tcW w:w="6200" w:type="dxa"/>
            <w:tcMar>
              <w:top w:w="120" w:type="dxa"/>
              <w:left w:w="120" w:type="dxa"/>
              <w:bottom w:w="120" w:type="dxa"/>
              <w:right w:w="120" w:type="dxa"/>
            </w:tcMar>
          </w:tcPr>
          <w:p>
            <w:pPr>
              <w:spacing w:after="0"/>
            </w:pPr>
            <w:r>
              <w:t>InmoAdmin Cloud (nombre temporal editable)</w:t>
            </w:r>
          </w:p>
        </w:tc>
      </w:tr>
      <w:tr>
        <w:tc>
          <w:tcPr>
            <w:tcW w:w="2600" w:type="dxa"/>
            <w:tcMar>
              <w:top w:w="120" w:type="dxa"/>
              <w:left w:w="120" w:type="dxa"/>
              <w:bottom w:w="120" w:type="dxa"/>
              <w:right w:w="120" w:type="dxa"/>
            </w:tcMar>
          </w:tcPr>
          <w:p>
            <w:pPr>
              <w:spacing w:after="0"/>
            </w:pPr>
            <w:r>
              <w:t>Tipo de contratación</w:t>
            </w:r>
          </w:p>
        </w:tc>
        <w:tc>
          <w:tcPr>
            <w:tcW w:w="6200" w:type="dxa"/>
            <w:tcMar>
              <w:top w:w="120" w:type="dxa"/>
              <w:left w:w="120" w:type="dxa"/>
              <w:bottom w:w="120" w:type="dxa"/>
              <w:right w:w="120" w:type="dxa"/>
            </w:tcMar>
          </w:tcPr>
          <w:p>
            <w:pPr>
              <w:spacing w:after="0"/>
            </w:pPr>
            <w:r>
              <w:t>Servicio mensual por suscripción</w:t>
            </w:r>
          </w:p>
        </w:tc>
      </w:tr>
      <w:tr>
        <w:tc>
          <w:tcPr>
            <w:tcW w:w="2600" w:type="dxa"/>
            <w:tcMar>
              <w:top w:w="120" w:type="dxa"/>
              <w:left w:w="120" w:type="dxa"/>
              <w:bottom w:w="120" w:type="dxa"/>
              <w:right w:w="120" w:type="dxa"/>
            </w:tcMar>
          </w:tcPr>
          <w:p>
            <w:pPr>
              <w:spacing w:after="0"/>
            </w:pPr>
            <w:r>
              <w:t>Fecha</w:t>
            </w:r>
          </w:p>
        </w:tc>
        <w:tc>
          <w:tcPr>
            <w:tcW w:w="6200" w:type="dxa"/>
            <w:tcMar>
              <w:top w:w="120" w:type="dxa"/>
              <w:left w:w="120" w:type="dxa"/>
              <w:bottom w:w="120" w:type="dxa"/>
              <w:right w:w="120" w:type="dxa"/>
            </w:tcMar>
          </w:tcPr>
          <w:p>
            <w:pPr>
              <w:spacing w:after="0"/>
            </w:pPr>
            <w:r>
              <w:t>28 de julio de 2026</w:t>
            </w:r>
          </w:p>
        </w:tc>
      </w:tr>
      <w:tr>
        <w:tc>
          <w:tcPr>
            <w:tcW w:w="2600" w:type="dxa"/>
            <w:tcMar>
              <w:top w:w="120" w:type="dxa"/>
              <w:left w:w="120" w:type="dxa"/>
              <w:bottom w:w="120" w:type="dxa"/>
              <w:right w:w="120" w:type="dxa"/>
            </w:tcMar>
          </w:tcPr>
          <w:p>
            <w:pPr>
              <w:spacing w:after="0"/>
            </w:pPr>
            <w:r>
              <w:t>Vigencia de la cotización</w:t>
            </w:r>
          </w:p>
        </w:tc>
        <w:tc>
          <w:tcPr>
            <w:tcW w:w="6200" w:type="dxa"/>
            <w:tcMar>
              <w:top w:w="120" w:type="dxa"/>
              <w:left w:w="120" w:type="dxa"/>
              <w:bottom w:w="120" w:type="dxa"/>
              <w:right w:w="120" w:type="dxa"/>
            </w:tcMar>
          </w:tcPr>
          <w:p>
            <w:pPr>
              <w:spacing w:after="0"/>
            </w:pPr>
            <w:r>
              <w:t>15 días calendario</w:t>
            </w:r>
          </w:p>
        </w:tc>
      </w:tr>
    </w:tbl>
    <w:p>
      <w:pPr>
        <w:spacing w:after="120"/>
      </w:pPr>
    </w:p>
    <w:p>
      <w:pPr>
        <w:pStyle w:val="Heading2"/>
        <w:spacing w:after="100"/>
      </w:pPr>
      <w:r>
        <w:rPr>
          <w:b/>
          <w:color w:val="0F766E"/>
          <w:sz w:val="28"/>
          <w:szCs w:val="28"/>
        </w:rPr>
        <w:t>1. Resumen ejecutivo</w:t>
      </w:r>
    </w:p>
    <w:p>
      <w:pPr>
        <w:spacing w:after="120"/>
      </w:pPr>
      <w:r>
        <w:t>Se presenta a Terratowers la cotización para el uso mensual de InmoAdmin Cloud, nombre temporal propuesto para el sistema de administración inmobiliaria. La plataforma permite administrar proyectos, propiedades, clientes, vendedores, cuotas, pagos, comprobantes, recordatorios por correo, notificaciones y reportes operativos desde un entorno web con roles y permisos.</w:t>
      </w:r>
    </w:p>
    <w:p>
      <w:pPr>
        <w:pStyle w:val="Heading2"/>
        <w:spacing w:after="100"/>
      </w:pPr>
      <w:r>
        <w:rPr>
          <w:b/>
          <w:color w:val="0F766E"/>
          <w:sz w:val="28"/>
          <w:szCs w:val="28"/>
        </w:rPr>
        <w:t>2. Características del sistema</w:t>
      </w:r>
    </w:p>
    <w:p>
      <w:pPr>
        <w:spacing w:after="120"/>
      </w:pPr>
      <w:r>
        <w:rPr>
          <w:color w:val="334155"/>
        </w:rPr>
        <w:t>Las siguientes funcionalidades describen el alcance operativo incluido para administrar la información comercial, financiera y de cobranza de cada ciudadela, condominio o etapa contratada.</w:t>
      </w:r>
    </w:p>
    <w:tbl>
      <w:tblPr>
        <w:tblStyle w:val="TableGrid"/>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300" w:type="dxa"/>
            <w:shd w:fill="0F766E"/>
            <w:tcMar>
              <w:top w:w="120" w:type="dxa"/>
              <w:left w:w="120" w:type="dxa"/>
              <w:bottom w:w="120" w:type="dxa"/>
              <w:right w:w="120" w:type="dxa"/>
            </w:tcMar>
          </w:tcPr>
          <w:p>
            <w:pPr>
              <w:spacing w:after="0"/>
            </w:pPr>
            <w:r>
              <w:rPr>
                <w:b/>
                <w:color w:val="FFFFFF"/>
              </w:rPr>
              <w:t>Área funcional</w:t>
            </w:r>
          </w:p>
        </w:tc>
        <w:tc>
          <w:tcPr>
            <w:tcW w:w="4700" w:type="dxa"/>
            <w:shd w:fill="0F766E"/>
            <w:tcMar>
              <w:top w:w="120" w:type="dxa"/>
              <w:left w:w="120" w:type="dxa"/>
              <w:bottom w:w="120" w:type="dxa"/>
              <w:right w:w="120" w:type="dxa"/>
            </w:tcMar>
          </w:tcPr>
          <w:p>
            <w:pPr>
              <w:spacing w:after="0"/>
            </w:pPr>
            <w:r>
              <w:rPr>
                <w:b/>
                <w:color w:val="FFFFFF"/>
              </w:rPr>
              <w:t>Funcionalidades específicas</w:t>
            </w:r>
          </w:p>
        </w:tc>
        <w:tc>
          <w:tcPr>
            <w:tcW w:w="2600" w:type="dxa"/>
            <w:shd w:fill="0F766E"/>
            <w:tcMar>
              <w:top w:w="120" w:type="dxa"/>
              <w:left w:w="120" w:type="dxa"/>
              <w:bottom w:w="120" w:type="dxa"/>
              <w:right w:w="120" w:type="dxa"/>
            </w:tcMar>
          </w:tcPr>
          <w:p>
            <w:pPr>
              <w:spacing w:after="0"/>
            </w:pPr>
            <w:r>
              <w:rPr>
                <w:b/>
                <w:color w:val="FFFFFF"/>
              </w:rPr>
              <w:t>Valor para Terratowers</w:t>
            </w:r>
          </w:p>
        </w:tc>
      </w:tr>
      <w:tr>
        <w:tc>
          <w:tcPr>
            <w:tcW w:w="2300" w:type="dxa"/>
            <w:tcMar>
              <w:top w:w="120" w:type="dxa"/>
              <w:left w:w="120" w:type="dxa"/>
              <w:bottom w:w="120" w:type="dxa"/>
              <w:right w:w="120" w:type="dxa"/>
            </w:tcMar>
          </w:tcPr>
          <w:p>
            <w:pPr>
              <w:spacing w:after="0"/>
            </w:pPr>
            <w:r>
              <w:t>Administración de proyectos inmobiliarios</w:t>
            </w:r>
          </w:p>
        </w:tc>
        <w:tc>
          <w:tcPr>
            <w:tcW w:w="4700" w:type="dxa"/>
            <w:tcMar>
              <w:top w:w="120" w:type="dxa"/>
              <w:left w:w="120" w:type="dxa"/>
              <w:bottom w:w="120" w:type="dxa"/>
              <w:right w:w="120" w:type="dxa"/>
            </w:tcMar>
          </w:tcPr>
          <w:p>
            <w:pPr>
              <w:spacing w:after="0"/>
            </w:pPr>
            <w:r>
              <w:t>Creación y organización de ciudadelas, condominios, etapas, torres, sectores, manzanas, bloques, pisos y unidades. Permite reflejar la estructura real de cada proyecto dentro del sistema.</w:t>
            </w:r>
          </w:p>
        </w:tc>
        <w:tc>
          <w:tcPr>
            <w:tcW w:w="2600" w:type="dxa"/>
            <w:tcMar>
              <w:top w:w="120" w:type="dxa"/>
              <w:left w:w="120" w:type="dxa"/>
              <w:bottom w:w="120" w:type="dxa"/>
              <w:right w:w="120" w:type="dxa"/>
            </w:tcMar>
          </w:tcPr>
          <w:p>
            <w:pPr>
              <w:spacing w:after="0"/>
            </w:pPr>
            <w:r>
              <w:t>Terratowers puede controlar cada desarrollo de forma ordenada, separando inventario, disponibilidad y operación por etapa contratada.</w:t>
            </w:r>
          </w:p>
        </w:tc>
      </w:tr>
      <w:tr>
        <w:tc>
          <w:tcPr>
            <w:tcW w:w="2300" w:type="dxa"/>
            <w:tcMar>
              <w:top w:w="120" w:type="dxa"/>
              <w:left w:w="120" w:type="dxa"/>
              <w:bottom w:w="120" w:type="dxa"/>
              <w:right w:w="120" w:type="dxa"/>
            </w:tcMar>
          </w:tcPr>
          <w:p>
            <w:pPr>
              <w:spacing w:after="0"/>
            </w:pPr>
            <w:r>
              <w:t>Inventario y modelos de propiedades</w:t>
            </w:r>
          </w:p>
        </w:tc>
        <w:tc>
          <w:tcPr>
            <w:tcW w:w="4700" w:type="dxa"/>
            <w:tcMar>
              <w:top w:w="120" w:type="dxa"/>
              <w:left w:w="120" w:type="dxa"/>
              <w:bottom w:w="120" w:type="dxa"/>
              <w:right w:w="120" w:type="dxa"/>
            </w:tcMar>
          </w:tcPr>
          <w:p>
            <w:pPr>
              <w:spacing w:after="0"/>
            </w:pPr>
            <w:r>
              <w:t>Registro de lotes, villas, departamentos o locales con precio, estado comercial, ubicación, coordenadas, área, dormitorios, baños, amenidades, planos y modelo arquitectónico asociado.</w:t>
            </w:r>
          </w:p>
        </w:tc>
        <w:tc>
          <w:tcPr>
            <w:tcW w:w="2600" w:type="dxa"/>
            <w:tcMar>
              <w:top w:w="120" w:type="dxa"/>
              <w:left w:w="120" w:type="dxa"/>
              <w:bottom w:w="120" w:type="dxa"/>
              <w:right w:w="120" w:type="dxa"/>
            </w:tcMar>
          </w:tcPr>
          <w:p>
            <w:pPr>
              <w:spacing w:after="0"/>
            </w:pPr>
            <w:r>
              <w:t>Facilita consultar qué se vende, dónde está ubicado, bajo qué condiciones y con qué características comerciales.</w:t>
            </w:r>
          </w:p>
        </w:tc>
      </w:tr>
      <w:tr>
        <w:tc>
          <w:tcPr>
            <w:tcW w:w="2300" w:type="dxa"/>
            <w:tcMar>
              <w:top w:w="120" w:type="dxa"/>
              <w:left w:w="120" w:type="dxa"/>
              <w:bottom w:w="120" w:type="dxa"/>
              <w:right w:w="120" w:type="dxa"/>
            </w:tcMar>
          </w:tcPr>
          <w:p>
            <w:pPr>
              <w:spacing w:after="0"/>
            </w:pPr>
            <w:r>
              <w:t>Estados comerciales configurables</w:t>
            </w:r>
          </w:p>
        </w:tc>
        <w:tc>
          <w:tcPr>
            <w:tcW w:w="4700" w:type="dxa"/>
            <w:tcMar>
              <w:top w:w="120" w:type="dxa"/>
              <w:left w:w="120" w:type="dxa"/>
              <w:bottom w:w="120" w:type="dxa"/>
              <w:right w:w="120" w:type="dxa"/>
            </w:tcMar>
          </w:tcPr>
          <w:p>
            <w:pPr>
              <w:spacing w:after="0"/>
            </w:pPr>
            <w:r>
              <w:t>Estados visuales como disponible, reservado, vendido, en construcción o en planificación, con colores y descripciones administrables.</w:t>
            </w:r>
          </w:p>
        </w:tc>
        <w:tc>
          <w:tcPr>
            <w:tcW w:w="2600" w:type="dxa"/>
            <w:tcMar>
              <w:top w:w="120" w:type="dxa"/>
              <w:left w:w="120" w:type="dxa"/>
              <w:bottom w:w="120" w:type="dxa"/>
              <w:right w:w="120" w:type="dxa"/>
            </w:tcMar>
          </w:tcPr>
          <w:p>
            <w:pPr>
              <w:spacing w:after="0"/>
            </w:pPr>
            <w:r>
              <w:t>El equipo comercial identifica rápidamente el estado de cada inmueble y reduce errores en reservas o ventas.</w:t>
            </w:r>
          </w:p>
        </w:tc>
      </w:tr>
      <w:tr>
        <w:tc>
          <w:tcPr>
            <w:tcW w:w="2300" w:type="dxa"/>
            <w:tcMar>
              <w:top w:w="120" w:type="dxa"/>
              <w:left w:w="120" w:type="dxa"/>
              <w:bottom w:w="120" w:type="dxa"/>
              <w:right w:w="120" w:type="dxa"/>
            </w:tcMar>
          </w:tcPr>
          <w:p>
            <w:pPr>
              <w:spacing w:after="0"/>
            </w:pPr>
            <w:r>
              <w:t>Gestión integral de clientes</w:t>
            </w:r>
          </w:p>
        </w:tc>
        <w:tc>
          <w:tcPr>
            <w:tcW w:w="4700" w:type="dxa"/>
            <w:tcMar>
              <w:top w:w="120" w:type="dxa"/>
              <w:left w:w="120" w:type="dxa"/>
              <w:bottom w:w="120" w:type="dxa"/>
              <w:right w:w="120" w:type="dxa"/>
            </w:tcMar>
          </w:tcPr>
          <w:p>
            <w:pPr>
              <w:spacing w:after="0"/>
            </w:pPr>
            <w:r>
              <w:t>Registro de clientes con identificación, fecha de nacimiento, correo, teléfono, vendedor asignado, propiedades adquiridas, historial de cuotas, comprobantes, pagos y estado de contrato.</w:t>
            </w:r>
          </w:p>
        </w:tc>
        <w:tc>
          <w:tcPr>
            <w:tcW w:w="2600" w:type="dxa"/>
            <w:tcMar>
              <w:top w:w="120" w:type="dxa"/>
              <w:left w:w="120" w:type="dxa"/>
              <w:bottom w:w="120" w:type="dxa"/>
              <w:right w:w="120" w:type="dxa"/>
            </w:tcMar>
          </w:tcPr>
          <w:p>
            <w:pPr>
              <w:spacing w:after="0"/>
            </w:pPr>
            <w:r>
              <w:t>Toda la relación con el comprador queda centralizada y consultable desde un solo perfil.</w:t>
            </w:r>
          </w:p>
        </w:tc>
      </w:tr>
      <w:tr>
        <w:tc>
          <w:tcPr>
            <w:tcW w:w="2300" w:type="dxa"/>
            <w:tcMar>
              <w:top w:w="120" w:type="dxa"/>
              <w:left w:w="120" w:type="dxa"/>
              <w:bottom w:w="120" w:type="dxa"/>
              <w:right w:w="120" w:type="dxa"/>
            </w:tcMar>
          </w:tcPr>
          <w:p>
            <w:pPr>
              <w:spacing w:after="0"/>
            </w:pPr>
            <w:r>
              <w:t>Gestión de vendedores y asesores</w:t>
            </w:r>
          </w:p>
        </w:tc>
        <w:tc>
          <w:tcPr>
            <w:tcW w:w="4700" w:type="dxa"/>
            <w:tcMar>
              <w:top w:w="120" w:type="dxa"/>
              <w:left w:w="120" w:type="dxa"/>
              <w:bottom w:w="120" w:type="dxa"/>
              <w:right w:w="120" w:type="dxa"/>
            </w:tcMar>
          </w:tcPr>
          <w:p>
            <w:pPr>
              <w:spacing w:after="0"/>
            </w:pPr>
            <w:r>
              <w:t>Asignación de clientes a vendedores, seguimiento de cartera, ventas generadas, comisiones configurables y permisos para revisar comprobantes de sus propios clientes.</w:t>
            </w:r>
          </w:p>
        </w:tc>
        <w:tc>
          <w:tcPr>
            <w:tcW w:w="2600" w:type="dxa"/>
            <w:tcMar>
              <w:top w:w="120" w:type="dxa"/>
              <w:left w:w="120" w:type="dxa"/>
              <w:bottom w:w="120" w:type="dxa"/>
              <w:right w:w="120" w:type="dxa"/>
            </w:tcMar>
          </w:tcPr>
          <w:p>
            <w:pPr>
              <w:spacing w:after="0"/>
            </w:pPr>
            <w:r>
              <w:t>Permite medir la gestión comercial y distribuir responsabilidades con mayor claridad.</w:t>
            </w:r>
          </w:p>
        </w:tc>
      </w:tr>
      <w:tr>
        <w:tc>
          <w:tcPr>
            <w:tcW w:w="2300" w:type="dxa"/>
            <w:tcMar>
              <w:top w:w="120" w:type="dxa"/>
              <w:left w:w="120" w:type="dxa"/>
              <w:bottom w:w="120" w:type="dxa"/>
              <w:right w:w="120" w:type="dxa"/>
            </w:tcMar>
          </w:tcPr>
          <w:p>
            <w:pPr>
              <w:spacing w:after="0"/>
            </w:pPr>
            <w:r>
              <w:t>Venta y financiamiento por cuotas</w:t>
            </w:r>
          </w:p>
        </w:tc>
        <w:tc>
          <w:tcPr>
            <w:tcW w:w="4700" w:type="dxa"/>
            <w:tcMar>
              <w:top w:w="120" w:type="dxa"/>
              <w:left w:w="120" w:type="dxa"/>
              <w:bottom w:w="120" w:type="dxa"/>
              <w:right w:w="120" w:type="dxa"/>
            </w:tcMar>
          </w:tcPr>
          <w:p>
            <w:pPr>
              <w:spacing w:after="0"/>
            </w:pPr>
            <w:r>
              <w:t>Registro de compra de una o varias propiedades, definición de entrada, número de cuotas, primera fecha de pago, monto financiado y generación automática de la tabla de pagos.</w:t>
            </w:r>
          </w:p>
        </w:tc>
        <w:tc>
          <w:tcPr>
            <w:tcW w:w="2600" w:type="dxa"/>
            <w:tcMar>
              <w:top w:w="120" w:type="dxa"/>
              <w:left w:w="120" w:type="dxa"/>
              <w:bottom w:w="120" w:type="dxa"/>
              <w:right w:w="120" w:type="dxa"/>
            </w:tcMar>
          </w:tcPr>
          <w:p>
            <w:pPr>
              <w:spacing w:after="0"/>
            </w:pPr>
            <w:r>
              <w:t>Reduce el trabajo manual en Excel y evita diferencias de cálculo en los planes de pago.</w:t>
            </w:r>
          </w:p>
        </w:tc>
      </w:tr>
      <w:tr>
        <w:tc>
          <w:tcPr>
            <w:tcW w:w="2300" w:type="dxa"/>
            <w:tcMar>
              <w:top w:w="120" w:type="dxa"/>
              <w:left w:w="120" w:type="dxa"/>
              <w:bottom w:w="120" w:type="dxa"/>
              <w:right w:w="120" w:type="dxa"/>
            </w:tcMar>
          </w:tcPr>
          <w:p>
            <w:pPr>
              <w:spacing w:after="0"/>
            </w:pPr>
            <w:r>
              <w:t>Control de cuotas y mora</w:t>
            </w:r>
          </w:p>
        </w:tc>
        <w:tc>
          <w:tcPr>
            <w:tcW w:w="4700" w:type="dxa"/>
            <w:tcMar>
              <w:top w:w="120" w:type="dxa"/>
              <w:left w:w="120" w:type="dxa"/>
              <w:bottom w:w="120" w:type="dxa"/>
              <w:right w:w="120" w:type="dxa"/>
            </w:tcMar>
          </w:tcPr>
          <w:p>
            <w:pPr>
              <w:spacing w:after="0"/>
            </w:pPr>
            <w:r>
              <w:t>Seguimiento de cuotas pendientes, pagadas, vencidas y en mora. Visualización de vencimientos próximos y obligaciones atrasadas por cliente, vendedor o proyecto.</w:t>
            </w:r>
          </w:p>
        </w:tc>
        <w:tc>
          <w:tcPr>
            <w:tcW w:w="2600" w:type="dxa"/>
            <w:tcMar>
              <w:top w:w="120" w:type="dxa"/>
              <w:left w:w="120" w:type="dxa"/>
              <w:bottom w:w="120" w:type="dxa"/>
              <w:right w:w="120" w:type="dxa"/>
            </w:tcMar>
          </w:tcPr>
          <w:p>
            <w:pPr>
              <w:spacing w:after="0"/>
            </w:pPr>
            <w:r>
              <w:t>Ayuda a priorizar cobranza y mantener visibilidad del flujo mensual esperado.</w:t>
            </w:r>
          </w:p>
        </w:tc>
      </w:tr>
      <w:tr>
        <w:tc>
          <w:tcPr>
            <w:tcW w:w="2300" w:type="dxa"/>
            <w:tcMar>
              <w:top w:w="120" w:type="dxa"/>
              <w:left w:w="120" w:type="dxa"/>
              <w:bottom w:w="120" w:type="dxa"/>
              <w:right w:w="120" w:type="dxa"/>
            </w:tcMar>
          </w:tcPr>
          <w:p>
            <w:pPr>
              <w:spacing w:after="0"/>
            </w:pPr>
            <w:r>
              <w:t>Pagos digitales con comprobantes</w:t>
            </w:r>
          </w:p>
        </w:tc>
        <w:tc>
          <w:tcPr>
            <w:tcW w:w="4700" w:type="dxa"/>
            <w:tcMar>
              <w:top w:w="120" w:type="dxa"/>
              <w:left w:w="120" w:type="dxa"/>
              <w:bottom w:w="120" w:type="dxa"/>
              <w:right w:w="120" w:type="dxa"/>
            </w:tcMar>
          </w:tcPr>
          <w:p>
            <w:pPr>
              <w:spacing w:after="0"/>
            </w:pPr>
            <w:r>
              <w:t>El cliente puede cargar comprobantes en imagen o PDF, registrar método de pago y número de referencia. El administrador o vendedor aprueba o rechaza con observaciones, actualizando automáticamente la cuota.</w:t>
            </w:r>
          </w:p>
        </w:tc>
        <w:tc>
          <w:tcPr>
            <w:tcW w:w="2600" w:type="dxa"/>
            <w:tcMar>
              <w:top w:w="120" w:type="dxa"/>
              <w:left w:w="120" w:type="dxa"/>
              <w:bottom w:w="120" w:type="dxa"/>
              <w:right w:w="120" w:type="dxa"/>
            </w:tcMar>
          </w:tcPr>
          <w:p>
            <w:pPr>
              <w:spacing w:after="0"/>
            </w:pPr>
            <w:r>
              <w:t>Cada pago queda documentado, revisado y trazable, disminuyendo reclamos por pagos no registrados.</w:t>
            </w:r>
          </w:p>
        </w:tc>
      </w:tr>
      <w:tr>
        <w:tc>
          <w:tcPr>
            <w:tcW w:w="2300" w:type="dxa"/>
            <w:tcMar>
              <w:top w:w="120" w:type="dxa"/>
              <w:left w:w="120" w:type="dxa"/>
              <w:bottom w:w="120" w:type="dxa"/>
              <w:right w:w="120" w:type="dxa"/>
            </w:tcMar>
          </w:tcPr>
          <w:p>
            <w:pPr>
              <w:spacing w:after="0"/>
            </w:pPr>
            <w:r>
              <w:t>Recordatorios por correo configurables</w:t>
            </w:r>
          </w:p>
        </w:tc>
        <w:tc>
          <w:tcPr>
            <w:tcW w:w="4700" w:type="dxa"/>
            <w:tcMar>
              <w:top w:w="120" w:type="dxa"/>
              <w:left w:w="120" w:type="dxa"/>
              <w:bottom w:w="120" w:type="dxa"/>
              <w:right w:w="120" w:type="dxa"/>
            </w:tcMar>
          </w:tcPr>
          <w:p>
            <w:pPr>
              <w:spacing w:after="0"/>
            </w:pPr>
            <w:r>
              <w:t>Envío de correos de recordatorio de pagos para cuotas próximas a vencer o vencidas. Los parámetros del recordatorio pueden configurarse según la operación del cliente, como días de anticipación, texto base, destinatarios y activación por proyecto o etapa.</w:t>
            </w:r>
          </w:p>
        </w:tc>
        <w:tc>
          <w:tcPr>
            <w:tcW w:w="2600" w:type="dxa"/>
            <w:tcMar>
              <w:top w:w="120" w:type="dxa"/>
              <w:left w:w="120" w:type="dxa"/>
              <w:bottom w:w="120" w:type="dxa"/>
              <w:right w:w="120" w:type="dxa"/>
            </w:tcMar>
          </w:tcPr>
          <w:p>
            <w:pPr>
              <w:spacing w:after="0"/>
            </w:pPr>
            <w:r>
              <w:t>Terratowers puede automatizar comunicaciones de cobranza sin depender únicamente de llamadas o mensajes manuales.</w:t>
            </w:r>
          </w:p>
        </w:tc>
      </w:tr>
      <w:tr>
        <w:tc>
          <w:tcPr>
            <w:tcW w:w="2300" w:type="dxa"/>
            <w:tcMar>
              <w:top w:w="120" w:type="dxa"/>
              <w:left w:w="120" w:type="dxa"/>
              <w:bottom w:w="120" w:type="dxa"/>
              <w:right w:w="120" w:type="dxa"/>
            </w:tcMar>
          </w:tcPr>
          <w:p>
            <w:pPr>
              <w:spacing w:after="0"/>
            </w:pPr>
            <w:r>
              <w:t>Notificaciones dentro del sistema</w:t>
            </w:r>
          </w:p>
        </w:tc>
        <w:tc>
          <w:tcPr>
            <w:tcW w:w="4700" w:type="dxa"/>
            <w:tcMar>
              <w:top w:w="120" w:type="dxa"/>
              <w:left w:w="120" w:type="dxa"/>
              <w:bottom w:w="120" w:type="dxa"/>
              <w:right w:w="120" w:type="dxa"/>
            </w:tcMar>
          </w:tcPr>
          <w:p>
            <w:pPr>
              <w:spacing w:after="0"/>
            </w:pPr>
            <w:r>
              <w:t>Alertas para comprobantes subidos, pagos aprobados o rechazados, cuotas próximas a vencer y cuotas vencidas. Cada usuario consulta sus notificaciones según su rol.</w:t>
            </w:r>
          </w:p>
        </w:tc>
        <w:tc>
          <w:tcPr>
            <w:tcW w:w="2600" w:type="dxa"/>
            <w:tcMar>
              <w:top w:w="120" w:type="dxa"/>
              <w:left w:w="120" w:type="dxa"/>
              <w:bottom w:w="120" w:type="dxa"/>
              <w:right w:w="120" w:type="dxa"/>
            </w:tcMar>
          </w:tcPr>
          <w:p>
            <w:pPr>
              <w:spacing w:after="0"/>
            </w:pPr>
            <w:r>
              <w:t>Mantiene informados a clientes, vendedores y administradores sobre eventos importantes.</w:t>
            </w:r>
          </w:p>
        </w:tc>
      </w:tr>
      <w:tr>
        <w:tc>
          <w:tcPr>
            <w:tcW w:w="2300" w:type="dxa"/>
            <w:tcMar>
              <w:top w:w="120" w:type="dxa"/>
              <w:left w:w="120" w:type="dxa"/>
              <w:bottom w:w="120" w:type="dxa"/>
              <w:right w:w="120" w:type="dxa"/>
            </w:tcMar>
          </w:tcPr>
          <w:p>
            <w:pPr>
              <w:spacing w:after="0"/>
            </w:pPr>
            <w:r>
              <w:t>Dashboards y reportes operativos</w:t>
            </w:r>
          </w:p>
        </w:tc>
        <w:tc>
          <w:tcPr>
            <w:tcW w:w="4700" w:type="dxa"/>
            <w:tcMar>
              <w:top w:w="120" w:type="dxa"/>
              <w:left w:w="120" w:type="dxa"/>
              <w:bottom w:w="120" w:type="dxa"/>
              <w:right w:w="120" w:type="dxa"/>
            </w:tcMar>
          </w:tcPr>
          <w:p>
            <w:pPr>
              <w:spacing w:after="0"/>
            </w:pPr>
            <w:r>
              <w:t>Paneles por rol con métricas de propiedades, clientes, vendedores, pagos aprobados, pagos pendientes, ingresos mensuales, cuotas próximas y vencidas.</w:t>
            </w:r>
          </w:p>
        </w:tc>
        <w:tc>
          <w:tcPr>
            <w:tcW w:w="2600" w:type="dxa"/>
            <w:tcMar>
              <w:top w:w="120" w:type="dxa"/>
              <w:left w:w="120" w:type="dxa"/>
              <w:bottom w:w="120" w:type="dxa"/>
              <w:right w:w="120" w:type="dxa"/>
            </w:tcMar>
          </w:tcPr>
          <w:p>
            <w:pPr>
              <w:spacing w:after="0"/>
            </w:pPr>
            <w:r>
              <w:t>La administración puede tomar decisiones con datos visibles y actualizados.</w:t>
            </w:r>
          </w:p>
        </w:tc>
      </w:tr>
      <w:tr>
        <w:tc>
          <w:tcPr>
            <w:tcW w:w="2300" w:type="dxa"/>
            <w:tcMar>
              <w:top w:w="120" w:type="dxa"/>
              <w:left w:w="120" w:type="dxa"/>
              <w:bottom w:w="120" w:type="dxa"/>
              <w:right w:w="120" w:type="dxa"/>
            </w:tcMar>
          </w:tcPr>
          <w:p>
            <w:pPr>
              <w:spacing w:after="0"/>
            </w:pPr>
            <w:r>
              <w:t>Portales por tipo de usuario</w:t>
            </w:r>
          </w:p>
        </w:tc>
        <w:tc>
          <w:tcPr>
            <w:tcW w:w="4700" w:type="dxa"/>
            <w:tcMar>
              <w:top w:w="120" w:type="dxa"/>
              <w:left w:w="120" w:type="dxa"/>
              <w:bottom w:w="120" w:type="dxa"/>
              <w:right w:w="120" w:type="dxa"/>
            </w:tcMar>
          </w:tcPr>
          <w:p>
            <w:pPr>
              <w:spacing w:after="0"/>
            </w:pPr>
            <w:r>
              <w:t>Accesos diferenciados para administración de plataforma, administración inmobiliaria, vendedores y clientes compradores.</w:t>
            </w:r>
          </w:p>
        </w:tc>
        <w:tc>
          <w:tcPr>
            <w:tcW w:w="2600" w:type="dxa"/>
            <w:tcMar>
              <w:top w:w="120" w:type="dxa"/>
              <w:left w:w="120" w:type="dxa"/>
              <w:bottom w:w="120" w:type="dxa"/>
              <w:right w:w="120" w:type="dxa"/>
            </w:tcMar>
          </w:tcPr>
          <w:p>
            <w:pPr>
              <w:spacing w:after="0"/>
            </w:pPr>
            <w:r>
              <w:t>Cada usuario trabaja solo con las opciones que necesita, mejorando orden y seguridad.</w:t>
            </w:r>
          </w:p>
        </w:tc>
      </w:tr>
      <w:tr>
        <w:tc>
          <w:tcPr>
            <w:tcW w:w="2300" w:type="dxa"/>
            <w:tcMar>
              <w:top w:w="120" w:type="dxa"/>
              <w:left w:w="120" w:type="dxa"/>
              <w:bottom w:w="120" w:type="dxa"/>
              <w:right w:w="120" w:type="dxa"/>
            </w:tcMar>
          </w:tcPr>
          <w:p>
            <w:pPr>
              <w:spacing w:after="0"/>
            </w:pPr>
            <w:r>
              <w:t>Seguridad, roles y permisos</w:t>
            </w:r>
          </w:p>
        </w:tc>
        <w:tc>
          <w:tcPr>
            <w:tcW w:w="4700" w:type="dxa"/>
            <w:tcMar>
              <w:top w:w="120" w:type="dxa"/>
              <w:left w:w="120" w:type="dxa"/>
              <w:bottom w:w="120" w:type="dxa"/>
              <w:right w:w="120" w:type="dxa"/>
            </w:tcMar>
          </w:tcPr>
          <w:p>
            <w:pPr>
              <w:spacing w:after="0"/>
            </w:pPr>
            <w:r>
              <w:t>Control de acceso basado en roles, menús dinámicos y permisos granulares para ver, crear, editar o eliminar información por pantalla y componente.</w:t>
            </w:r>
          </w:p>
        </w:tc>
        <w:tc>
          <w:tcPr>
            <w:tcW w:w="2600" w:type="dxa"/>
            <w:tcMar>
              <w:top w:w="120" w:type="dxa"/>
              <w:left w:w="120" w:type="dxa"/>
              <w:bottom w:w="120" w:type="dxa"/>
              <w:right w:w="120" w:type="dxa"/>
            </w:tcMar>
          </w:tcPr>
          <w:p>
            <w:pPr>
              <w:spacing w:after="0"/>
            </w:pPr>
            <w:r>
              <w:t>Protege la información sensible y limita acciones críticas a usuarios autorizados.</w:t>
            </w:r>
          </w:p>
        </w:tc>
      </w:tr>
      <w:tr>
        <w:tc>
          <w:tcPr>
            <w:tcW w:w="2300" w:type="dxa"/>
            <w:tcMar>
              <w:top w:w="120" w:type="dxa"/>
              <w:left w:w="120" w:type="dxa"/>
              <w:bottom w:w="120" w:type="dxa"/>
              <w:right w:w="120" w:type="dxa"/>
            </w:tcMar>
          </w:tcPr>
          <w:p>
            <w:pPr>
              <w:spacing w:after="0"/>
            </w:pPr>
            <w:r>
              <w:t>Operación multiempresa</w:t>
            </w:r>
          </w:p>
        </w:tc>
        <w:tc>
          <w:tcPr>
            <w:tcW w:w="4700" w:type="dxa"/>
            <w:tcMar>
              <w:top w:w="120" w:type="dxa"/>
              <w:left w:w="120" w:type="dxa"/>
              <w:bottom w:w="120" w:type="dxa"/>
              <w:right w:w="120" w:type="dxa"/>
            </w:tcMar>
          </w:tcPr>
          <w:p>
            <w:pPr>
              <w:spacing w:after="0"/>
            </w:pPr>
            <w:r>
              <w:t>Arquitectura preparada para manejar varias inmobiliarias o unidades administradas con datos separados entre sí.</w:t>
            </w:r>
          </w:p>
        </w:tc>
        <w:tc>
          <w:tcPr>
            <w:tcW w:w="2600" w:type="dxa"/>
            <w:tcMar>
              <w:top w:w="120" w:type="dxa"/>
              <w:left w:w="120" w:type="dxa"/>
              <w:bottom w:w="120" w:type="dxa"/>
              <w:right w:w="120" w:type="dxa"/>
            </w:tcMar>
          </w:tcPr>
          <w:p>
            <w:pPr>
              <w:spacing w:after="0"/>
            </w:pPr>
            <w:r>
              <w:t>Permite crecer a nuevos proyectos sin mezclar información de clientes, inventario o pagos.</w:t>
            </w:r>
          </w:p>
        </w:tc>
      </w:tr>
    </w:tbl>
    <w:p>
      <w:pPr>
        <w:spacing w:after="120"/>
      </w:pPr>
    </w:p>
    <w:p>
      <w:pPr>
        <w:pStyle w:val="Heading2"/>
        <w:spacing w:after="100"/>
      </w:pPr>
      <w:r>
        <w:rPr>
          <w:b/>
          <w:color w:val="0F766E"/>
          <w:sz w:val="28"/>
          <w:szCs w:val="28"/>
        </w:rPr>
        <w:t>3. Servicios incluidos en la suscripción</w:t>
      </w:r>
    </w:p>
    <w:tbl>
      <w:tblPr>
        <w:tblStyle w:val="TableGrid"/>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800" w:type="dxa"/>
            <w:shd w:fill="0F766E"/>
            <w:tcMar>
              <w:top w:w="120" w:type="dxa"/>
              <w:left w:w="120" w:type="dxa"/>
              <w:bottom w:w="120" w:type="dxa"/>
              <w:right w:w="120" w:type="dxa"/>
            </w:tcMar>
          </w:tcPr>
          <w:p>
            <w:pPr>
              <w:spacing w:after="0"/>
            </w:pPr>
            <w:r>
              <w:rPr>
                <w:b/>
                <w:color w:val="FFFFFF"/>
              </w:rPr>
              <w:t>Servicio mensual incluido</w:t>
            </w:r>
          </w:p>
        </w:tc>
        <w:tc>
          <w:tcPr>
            <w:tcW w:w="6800" w:type="dxa"/>
            <w:shd w:fill="0F766E"/>
            <w:tcMar>
              <w:top w:w="120" w:type="dxa"/>
              <w:left w:w="120" w:type="dxa"/>
              <w:bottom w:w="120" w:type="dxa"/>
              <w:right w:w="120" w:type="dxa"/>
            </w:tcMar>
          </w:tcPr>
          <w:p>
            <w:pPr>
              <w:spacing w:after="0"/>
            </w:pPr>
            <w:r>
              <w:rPr>
                <w:b/>
                <w:color w:val="FFFFFF"/>
              </w:rPr>
              <w:t>Descripción</w:t>
            </w:r>
          </w:p>
        </w:tc>
      </w:tr>
      <w:tr>
        <w:tc>
          <w:tcPr>
            <w:tcW w:w="2800" w:type="dxa"/>
            <w:tcMar>
              <w:top w:w="120" w:type="dxa"/>
              <w:left w:w="120" w:type="dxa"/>
              <w:bottom w:w="120" w:type="dxa"/>
              <w:right w:w="120" w:type="dxa"/>
            </w:tcMar>
          </w:tcPr>
          <w:p>
            <w:pPr>
              <w:spacing w:after="0"/>
            </w:pPr>
            <w:r>
              <w:t>Acceso al sistema web</w:t>
            </w:r>
          </w:p>
        </w:tc>
        <w:tc>
          <w:tcPr>
            <w:tcW w:w="6800" w:type="dxa"/>
            <w:tcMar>
              <w:top w:w="120" w:type="dxa"/>
              <w:left w:w="120" w:type="dxa"/>
              <w:bottom w:w="120" w:type="dxa"/>
              <w:right w:w="120" w:type="dxa"/>
            </w:tcMar>
          </w:tcPr>
          <w:p>
            <w:pPr>
              <w:spacing w:after="0"/>
            </w:pPr>
            <w:r>
              <w:t>Uso de la plataforma InmoAdmin Cloud para usuarios autorizados de Terratowers, según roles y permisos configurados.</w:t>
            </w:r>
          </w:p>
        </w:tc>
      </w:tr>
      <w:tr>
        <w:tc>
          <w:tcPr>
            <w:tcW w:w="2800" w:type="dxa"/>
            <w:tcMar>
              <w:top w:w="120" w:type="dxa"/>
              <w:left w:w="120" w:type="dxa"/>
              <w:bottom w:w="120" w:type="dxa"/>
              <w:right w:w="120" w:type="dxa"/>
            </w:tcMar>
          </w:tcPr>
          <w:p>
            <w:pPr>
              <w:spacing w:after="0"/>
            </w:pPr>
            <w:r>
              <w:t>Configuración operativa base</w:t>
            </w:r>
          </w:p>
        </w:tc>
        <w:tc>
          <w:tcPr>
            <w:tcW w:w="6800" w:type="dxa"/>
            <w:tcMar>
              <w:top w:w="120" w:type="dxa"/>
              <w:left w:w="120" w:type="dxa"/>
              <w:bottom w:w="120" w:type="dxa"/>
              <w:right w:w="120" w:type="dxa"/>
            </w:tcMar>
          </w:tcPr>
          <w:p>
            <w:pPr>
              <w:spacing w:after="0"/>
            </w:pPr>
            <w:r>
              <w:t>Alta de ciudadela, condominio o etapa contratada; parametrización inicial de catálogos, estados, usuarios, estructura comercial y reglas de recordatorios disponibles.</w:t>
            </w:r>
          </w:p>
        </w:tc>
      </w:tr>
      <w:tr>
        <w:tc>
          <w:tcPr>
            <w:tcW w:w="2800" w:type="dxa"/>
            <w:tcMar>
              <w:top w:w="120" w:type="dxa"/>
              <w:left w:w="120" w:type="dxa"/>
              <w:bottom w:w="120" w:type="dxa"/>
              <w:right w:w="120" w:type="dxa"/>
            </w:tcMar>
          </w:tcPr>
          <w:p>
            <w:pPr>
              <w:spacing w:after="0"/>
            </w:pPr>
            <w:r>
              <w:t>Soporte remoto funcional</w:t>
            </w:r>
          </w:p>
        </w:tc>
        <w:tc>
          <w:tcPr>
            <w:tcW w:w="6800" w:type="dxa"/>
            <w:tcMar>
              <w:top w:w="120" w:type="dxa"/>
              <w:left w:w="120" w:type="dxa"/>
              <w:bottom w:w="120" w:type="dxa"/>
              <w:right w:w="120" w:type="dxa"/>
            </w:tcMar>
          </w:tcPr>
          <w:p>
            <w:pPr>
              <w:spacing w:after="0"/>
            </w:pPr>
            <w:r>
              <w:t>Atención de dudas operativas, orientación de uso y revisión de incidencias reportadas por el cliente mediante el canal acordado.</w:t>
            </w:r>
          </w:p>
        </w:tc>
      </w:tr>
      <w:tr>
        <w:tc>
          <w:tcPr>
            <w:tcW w:w="2800" w:type="dxa"/>
            <w:tcMar>
              <w:top w:w="120" w:type="dxa"/>
              <w:left w:w="120" w:type="dxa"/>
              <w:bottom w:w="120" w:type="dxa"/>
              <w:right w:w="120" w:type="dxa"/>
            </w:tcMar>
          </w:tcPr>
          <w:p>
            <w:pPr>
              <w:spacing w:after="0"/>
            </w:pPr>
            <w:r>
              <w:t>Mantenimiento correctivo</w:t>
            </w:r>
          </w:p>
        </w:tc>
        <w:tc>
          <w:tcPr>
            <w:tcW w:w="6800" w:type="dxa"/>
            <w:tcMar>
              <w:top w:w="120" w:type="dxa"/>
              <w:left w:w="120" w:type="dxa"/>
              <w:bottom w:w="120" w:type="dxa"/>
              <w:right w:w="120" w:type="dxa"/>
            </w:tcMar>
          </w:tcPr>
          <w:p>
            <w:pPr>
              <w:spacing w:after="0"/>
            </w:pPr>
            <w:r>
              <w:t>Corrección de errores atribuibles al funcionamiento del sistema dentro del alcance contratado.</w:t>
            </w:r>
          </w:p>
        </w:tc>
      </w:tr>
      <w:tr>
        <w:tc>
          <w:tcPr>
            <w:tcW w:w="2800" w:type="dxa"/>
            <w:tcMar>
              <w:top w:w="120" w:type="dxa"/>
              <w:left w:w="120" w:type="dxa"/>
              <w:bottom w:w="120" w:type="dxa"/>
              <w:right w:w="120" w:type="dxa"/>
            </w:tcMar>
          </w:tcPr>
          <w:p>
            <w:pPr>
              <w:spacing w:after="0"/>
            </w:pPr>
            <w:r>
              <w:t>Actualizaciones menores</w:t>
            </w:r>
          </w:p>
        </w:tc>
        <w:tc>
          <w:tcPr>
            <w:tcW w:w="6800" w:type="dxa"/>
            <w:tcMar>
              <w:top w:w="120" w:type="dxa"/>
              <w:left w:w="120" w:type="dxa"/>
              <w:bottom w:w="120" w:type="dxa"/>
              <w:right w:w="120" w:type="dxa"/>
            </w:tcMar>
          </w:tcPr>
          <w:p>
            <w:pPr>
              <w:spacing w:after="0"/>
            </w:pPr>
            <w:r>
              <w:t>Mejoras funcionales generales liberadas para la plataforma, cuando apliquen al plan contratado.</w:t>
            </w:r>
          </w:p>
        </w:tc>
      </w:tr>
      <w:tr>
        <w:tc>
          <w:tcPr>
            <w:tcW w:w="2800" w:type="dxa"/>
            <w:tcMar>
              <w:top w:w="120" w:type="dxa"/>
              <w:left w:w="120" w:type="dxa"/>
              <w:bottom w:w="120" w:type="dxa"/>
              <w:right w:w="120" w:type="dxa"/>
            </w:tcMar>
          </w:tcPr>
          <w:p>
            <w:pPr>
              <w:spacing w:after="0"/>
            </w:pPr>
            <w:r>
              <w:t>Correos y notificaciones</w:t>
            </w:r>
          </w:p>
        </w:tc>
        <w:tc>
          <w:tcPr>
            <w:tcW w:w="6800" w:type="dxa"/>
            <w:tcMar>
              <w:top w:w="120" w:type="dxa"/>
              <w:left w:w="120" w:type="dxa"/>
              <w:bottom w:w="120" w:type="dxa"/>
              <w:right w:w="120" w:type="dxa"/>
            </w:tcMar>
          </w:tcPr>
          <w:p>
            <w:pPr>
              <w:spacing w:after="0"/>
            </w:pPr>
            <w:r>
              <w:t>Configuración y uso de recordatorios de pago por correo y notificaciones internas, sujeto a los parámetros técnicos disponibles y al canal de envío acordado.</w:t>
            </w:r>
          </w:p>
        </w:tc>
      </w:tr>
      <w:tr>
        <w:tc>
          <w:tcPr>
            <w:tcW w:w="2800" w:type="dxa"/>
            <w:tcMar>
              <w:top w:w="120" w:type="dxa"/>
              <w:left w:w="120" w:type="dxa"/>
              <w:bottom w:w="120" w:type="dxa"/>
              <w:right w:w="120" w:type="dxa"/>
            </w:tcMar>
          </w:tcPr>
          <w:p>
            <w:pPr>
              <w:spacing w:after="0"/>
            </w:pPr>
            <w:r>
              <w:t>Seguridad de acceso</w:t>
            </w:r>
          </w:p>
        </w:tc>
        <w:tc>
          <w:tcPr>
            <w:tcW w:w="6800" w:type="dxa"/>
            <w:tcMar>
              <w:top w:w="120" w:type="dxa"/>
              <w:left w:w="120" w:type="dxa"/>
              <w:bottom w:w="120" w:type="dxa"/>
              <w:right w:w="120" w:type="dxa"/>
            </w:tcMar>
          </w:tcPr>
          <w:p>
            <w:pPr>
              <w:spacing w:after="0"/>
            </w:pPr>
            <w:r>
              <w:t>Autenticación de usuarios, manejo de roles/permisos y prácticas de protección de credenciales incluidas en el sistema.</w:t>
            </w:r>
          </w:p>
        </w:tc>
      </w:tr>
      <w:tr>
        <w:tc>
          <w:tcPr>
            <w:tcW w:w="2800" w:type="dxa"/>
            <w:tcMar>
              <w:top w:w="120" w:type="dxa"/>
              <w:left w:w="120" w:type="dxa"/>
              <w:bottom w:w="120" w:type="dxa"/>
              <w:right w:w="120" w:type="dxa"/>
            </w:tcMar>
          </w:tcPr>
          <w:p>
            <w:pPr>
              <w:spacing w:after="0"/>
            </w:pPr>
            <w:r>
              <w:t>Respaldo y continuidad</w:t>
            </w:r>
          </w:p>
        </w:tc>
        <w:tc>
          <w:tcPr>
            <w:tcW w:w="6800" w:type="dxa"/>
            <w:tcMar>
              <w:top w:w="120" w:type="dxa"/>
              <w:left w:w="120" w:type="dxa"/>
              <w:bottom w:w="120" w:type="dxa"/>
              <w:right w:w="120" w:type="dxa"/>
            </w:tcMar>
          </w:tcPr>
          <w:p>
            <w:pPr>
              <w:spacing w:after="0"/>
            </w:pPr>
            <w:r>
              <w:t>Respaldo de información y continuidad del servicio según la infraestructura y condiciones técnicas acordadas con el proveedor.</w:t>
            </w:r>
          </w:p>
        </w:tc>
      </w:tr>
    </w:tbl>
    <w:p>
      <w:pPr>
        <w:spacing w:after="120"/>
      </w:pPr>
    </w:p>
    <w:p>
      <w:pPr>
        <w:pStyle w:val="Heading2"/>
        <w:spacing w:after="100"/>
      </w:pPr>
      <w:r>
        <w:rPr>
          <w:b/>
          <w:color w:val="0F766E"/>
          <w:sz w:val="28"/>
          <w:szCs w:val="28"/>
        </w:rPr>
        <w:t>4. Precio mensual</w:t>
      </w:r>
    </w:p>
    <w:tbl>
      <w:tblPr>
        <w:tblStyle w:val="TableGrid"/>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600" w:type="dxa"/>
            <w:shd w:fill="0F766E"/>
            <w:tcMar>
              <w:top w:w="120" w:type="dxa"/>
              <w:left w:w="120" w:type="dxa"/>
              <w:bottom w:w="120" w:type="dxa"/>
              <w:right w:w="120" w:type="dxa"/>
            </w:tcMar>
          </w:tcPr>
          <w:p>
            <w:pPr>
              <w:spacing w:after="0"/>
            </w:pPr>
            <w:r>
              <w:rPr>
                <w:b/>
                <w:color w:val="FFFFFF"/>
              </w:rPr>
              <w:t>Concepto</w:t>
            </w:r>
          </w:p>
        </w:tc>
        <w:tc>
          <w:tcPr>
            <w:tcW w:w="2400" w:type="dxa"/>
            <w:shd w:fill="0F766E"/>
            <w:tcMar>
              <w:top w:w="120" w:type="dxa"/>
              <w:left w:w="120" w:type="dxa"/>
              <w:bottom w:w="120" w:type="dxa"/>
              <w:right w:w="120" w:type="dxa"/>
            </w:tcMar>
          </w:tcPr>
          <w:p>
            <w:pPr>
              <w:spacing w:after="0"/>
            </w:pPr>
            <w:r>
              <w:rPr>
                <w:b/>
                <w:color w:val="FFFFFF"/>
              </w:rPr>
              <w:t>Unidad de cobro</w:t>
            </w:r>
          </w:p>
        </w:tc>
        <w:tc>
          <w:tcPr>
            <w:tcW w:w="1600" w:type="dxa"/>
            <w:shd w:fill="0F766E"/>
            <w:tcMar>
              <w:top w:w="120" w:type="dxa"/>
              <w:left w:w="120" w:type="dxa"/>
              <w:bottom w:w="120" w:type="dxa"/>
              <w:right w:w="120" w:type="dxa"/>
            </w:tcMar>
          </w:tcPr>
          <w:p>
            <w:pPr>
              <w:spacing w:after="0"/>
            </w:pPr>
            <w:r>
              <w:rPr>
                <w:b/>
                <w:color w:val="FFFFFF"/>
              </w:rPr>
              <w:t>Cantidad referencial</w:t>
            </w:r>
          </w:p>
        </w:tc>
        <w:tc>
          <w:tcPr>
            <w:tcW w:w="2000" w:type="dxa"/>
            <w:shd w:fill="0F766E"/>
            <w:tcMar>
              <w:top w:w="120" w:type="dxa"/>
              <w:left w:w="120" w:type="dxa"/>
              <w:bottom w:w="120" w:type="dxa"/>
              <w:right w:w="120" w:type="dxa"/>
            </w:tcMar>
          </w:tcPr>
          <w:p>
            <w:pPr>
              <w:spacing w:after="0"/>
            </w:pPr>
            <w:r>
              <w:rPr>
                <w:b/>
                <w:color w:val="FFFFFF"/>
              </w:rPr>
              <w:t>Valor unitario mensual</w:t>
            </w:r>
          </w:p>
        </w:tc>
        <w:tc>
          <w:tcPr>
            <w:tcW w:w="1700" w:type="dxa"/>
            <w:shd w:fill="0F766E"/>
            <w:tcMar>
              <w:top w:w="120" w:type="dxa"/>
              <w:left w:w="120" w:type="dxa"/>
              <w:bottom w:w="120" w:type="dxa"/>
              <w:right w:w="120" w:type="dxa"/>
            </w:tcMar>
          </w:tcPr>
          <w:p>
            <w:pPr>
              <w:spacing w:after="0"/>
            </w:pPr>
            <w:r>
              <w:rPr>
                <w:b/>
                <w:color w:val="FFFFFF"/>
              </w:rPr>
              <w:t>Total mensual</w:t>
            </w:r>
          </w:p>
        </w:tc>
      </w:tr>
      <w:tr>
        <w:tc>
          <w:tcPr>
            <w:tcW w:w="2600" w:type="dxa"/>
            <w:tcMar>
              <w:top w:w="120" w:type="dxa"/>
              <w:left w:w="120" w:type="dxa"/>
              <w:bottom w:w="120" w:type="dxa"/>
              <w:right w:w="120" w:type="dxa"/>
            </w:tcMar>
          </w:tcPr>
          <w:p>
            <w:pPr>
              <w:spacing w:after="0"/>
            </w:pPr>
            <w:r>
              <w:t>Suscripción mensual a InmoAdmin Cloud</w:t>
            </w:r>
          </w:p>
        </w:tc>
        <w:tc>
          <w:tcPr>
            <w:tcW w:w="2400" w:type="dxa"/>
            <w:tcMar>
              <w:top w:w="120" w:type="dxa"/>
              <w:left w:w="120" w:type="dxa"/>
              <w:bottom w:w="120" w:type="dxa"/>
              <w:right w:w="120" w:type="dxa"/>
            </w:tcMar>
          </w:tcPr>
          <w:p>
            <w:pPr>
              <w:spacing w:after="0"/>
            </w:pPr>
            <w:r>
              <w:t>Por ciudadela, condominio o etapa</w:t>
            </w:r>
          </w:p>
        </w:tc>
        <w:tc>
          <w:tcPr>
            <w:tcW w:w="1600" w:type="dxa"/>
            <w:tcMar>
              <w:top w:w="120" w:type="dxa"/>
              <w:left w:w="120" w:type="dxa"/>
              <w:bottom w:w="120" w:type="dxa"/>
              <w:right w:w="120" w:type="dxa"/>
            </w:tcMar>
          </w:tcPr>
          <w:p>
            <w:pPr>
              <w:spacing w:after="0"/>
            </w:pPr>
            <w:r>
              <w:t>1</w:t>
            </w:r>
          </w:p>
        </w:tc>
        <w:tc>
          <w:tcPr>
            <w:tcW w:w="2000" w:type="dxa"/>
            <w:tcMar>
              <w:top w:w="120" w:type="dxa"/>
              <w:left w:w="120" w:type="dxa"/>
              <w:bottom w:w="120" w:type="dxa"/>
              <w:right w:w="120" w:type="dxa"/>
            </w:tcMar>
          </w:tcPr>
          <w:p>
            <w:pPr>
              <w:spacing w:after="0"/>
            </w:pPr>
            <w:r>
              <w:t>USD 25.00</w:t>
            </w:r>
          </w:p>
        </w:tc>
        <w:tc>
          <w:tcPr>
            <w:tcW w:w="1700" w:type="dxa"/>
            <w:tcMar>
              <w:top w:w="120" w:type="dxa"/>
              <w:left w:w="120" w:type="dxa"/>
              <w:bottom w:w="120" w:type="dxa"/>
              <w:right w:w="120" w:type="dxa"/>
            </w:tcMar>
          </w:tcPr>
          <w:p>
            <w:pPr>
              <w:spacing w:after="0"/>
            </w:pPr>
            <w:r>
              <w:t>USD 25.00</w:t>
            </w:r>
          </w:p>
        </w:tc>
      </w:tr>
    </w:tbl>
    <w:p>
      <w:pPr>
        <w:spacing w:after="120"/>
      </w:pPr>
      <w:r>
        <w:rPr>
          <w:b/>
          <w:color w:val="0F766E"/>
        </w:rPr>
        <w:t>Nota comercial: el precio base es USD 25.00 mensuales por cada ciudadela, condominio o etapa administrada. Este valor corresponde a una suscripción mensual de servicio y no a la venta del sistema.</w:t>
      </w:r>
    </w:p>
    <w:p>
      <w:pPr>
        <w:pStyle w:val="Heading2"/>
        <w:spacing w:after="100"/>
      </w:pPr>
      <w:r>
        <w:rPr>
          <w:b/>
          <w:color w:val="0F766E"/>
          <w:sz w:val="28"/>
          <w:szCs w:val="28"/>
        </w:rPr>
        <w:t>5. Condiciones de suscripción y propiedad intelectual</w:t>
      </w:r>
    </w:p>
    <w:p>
      <w:pPr>
        <w:pStyle w:val="ListParagraph"/>
        <w:numPr>
          <w:ilvl w:val="0"/>
          <w:numId w:val="1"/>
        </w:numPr>
        <w:spacing w:after="80"/>
      </w:pPr>
      <w:r>
        <w:t>El valor mensual del servicio es de USD 25.00 por cada ciudadela, condominio o etapa administrada en el sistema.</w:t>
      </w:r>
    </w:p>
    <w:p>
      <w:pPr>
        <w:pStyle w:val="ListParagraph"/>
        <w:numPr>
          <w:ilvl w:val="0"/>
          <w:numId w:val="1"/>
        </w:numPr>
        <w:spacing w:after="80"/>
      </w:pPr>
      <w:r>
        <w:t>Si Terratowers administra más de una ciudadela, condominio o etapa, el valor mensual se multiplicará por el número de entidades activas contratadas.</w:t>
      </w:r>
    </w:p>
    <w:p>
      <w:pPr>
        <w:pStyle w:val="ListParagraph"/>
        <w:numPr>
          <w:ilvl w:val="0"/>
          <w:numId w:val="1"/>
        </w:numPr>
        <w:spacing w:after="80"/>
      </w:pPr>
      <w:r>
        <w:t>La contratación corresponde a un servicio mensual de suscripción. No constituye compraventa del sistema, cesión de código fuente ni transferencia de propiedad intelectual.</w:t>
      </w:r>
    </w:p>
    <w:p>
      <w:pPr>
        <w:pStyle w:val="ListParagraph"/>
        <w:numPr>
          <w:ilvl w:val="0"/>
          <w:numId w:val="1"/>
        </w:numPr>
        <w:spacing w:after="80"/>
      </w:pPr>
      <w:r>
        <w:t>La propiedad intelectual, arquitectura, código fuente, bases de diseño, componentes, marcas, documentación técnica y mejoras generales del sistema pertenecen al proveedor/desarrollador del sistema.</w:t>
      </w:r>
    </w:p>
    <w:p>
      <w:pPr>
        <w:pStyle w:val="ListParagraph"/>
        <w:numPr>
          <w:ilvl w:val="0"/>
          <w:numId w:val="1"/>
        </w:numPr>
        <w:spacing w:after="80"/>
      </w:pPr>
      <w:r>
        <w:t>Terratowers recibe un derecho de uso limitado, no exclusivo, no transferible y vigente únicamente mientras la suscripción mensual se encuentre activa y al día.</w:t>
      </w:r>
    </w:p>
    <w:p>
      <w:pPr>
        <w:pStyle w:val="ListParagraph"/>
        <w:numPr>
          <w:ilvl w:val="0"/>
          <w:numId w:val="1"/>
        </w:numPr>
        <w:spacing w:after="80"/>
      </w:pPr>
      <w:r>
        <w:t>El pago del servicio se realizará de forma mensual, preferiblemente por adelantado, salvo acuerdo distinto entre las partes.</w:t>
      </w:r>
    </w:p>
    <w:p>
      <w:pPr>
        <w:pStyle w:val="ListParagraph"/>
        <w:numPr>
          <w:ilvl w:val="0"/>
          <w:numId w:val="1"/>
        </w:numPr>
        <w:spacing w:after="80"/>
      </w:pPr>
      <w:r>
        <w:t>Los impuestos aplicables no están incluidos en el valor indicado, salvo que se pacte expresamente lo contrario.</w:t>
      </w:r>
    </w:p>
    <w:p>
      <w:pPr>
        <w:spacing w:after="120"/>
      </w:pPr>
    </w:p>
    <w:p>
      <w:pPr>
        <w:pStyle w:val="Heading2"/>
        <w:spacing w:after="100"/>
      </w:pPr>
      <w:r>
        <w:rPr>
          <w:b/>
          <w:color w:val="0F766E"/>
          <w:sz w:val="28"/>
          <w:szCs w:val="28"/>
        </w:rPr>
        <w:t>6. Alcance no incluido</w:t>
      </w:r>
    </w:p>
    <w:tbl>
      <w:tblPr>
        <w:tblStyle w:val="TableGrid"/>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3200" w:type="dxa"/>
            <w:shd w:fill="0F766E"/>
            <w:tcMar>
              <w:top w:w="120" w:type="dxa"/>
              <w:left w:w="120" w:type="dxa"/>
              <w:bottom w:w="120" w:type="dxa"/>
              <w:right w:w="120" w:type="dxa"/>
            </w:tcMar>
          </w:tcPr>
          <w:p>
            <w:pPr>
              <w:spacing w:after="0"/>
            </w:pPr>
            <w:r>
              <w:rPr>
                <w:b/>
                <w:color w:val="FFFFFF"/>
              </w:rPr>
              <w:t>No incluido en el precio mensual base</w:t>
            </w:r>
          </w:p>
        </w:tc>
        <w:tc>
          <w:tcPr>
            <w:tcW w:w="6400" w:type="dxa"/>
            <w:shd w:fill="0F766E"/>
            <w:tcMar>
              <w:top w:w="120" w:type="dxa"/>
              <w:left w:w="120" w:type="dxa"/>
              <w:bottom w:w="120" w:type="dxa"/>
              <w:right w:w="120" w:type="dxa"/>
            </w:tcMar>
          </w:tcPr>
          <w:p>
            <w:pPr>
              <w:spacing w:after="0"/>
            </w:pPr>
            <w:r>
              <w:rPr>
                <w:b/>
                <w:color w:val="FFFFFF"/>
              </w:rPr>
              <w:t>Observación</w:t>
            </w:r>
          </w:p>
        </w:tc>
      </w:tr>
      <w:tr>
        <w:tc>
          <w:tcPr>
            <w:tcW w:w="3200" w:type="dxa"/>
            <w:tcMar>
              <w:top w:w="120" w:type="dxa"/>
              <w:left w:w="120" w:type="dxa"/>
              <w:bottom w:w="120" w:type="dxa"/>
              <w:right w:w="120" w:type="dxa"/>
            </w:tcMar>
          </w:tcPr>
          <w:p>
            <w:pPr>
              <w:spacing w:after="0"/>
            </w:pPr>
            <w:r>
              <w:t>Desarrollos a medida</w:t>
            </w:r>
          </w:p>
        </w:tc>
        <w:tc>
          <w:tcPr>
            <w:tcW w:w="6400" w:type="dxa"/>
            <w:tcMar>
              <w:top w:w="120" w:type="dxa"/>
              <w:left w:w="120" w:type="dxa"/>
              <w:bottom w:w="120" w:type="dxa"/>
              <w:right w:w="120" w:type="dxa"/>
            </w:tcMar>
          </w:tcPr>
          <w:p>
            <w:pPr>
              <w:spacing w:after="0"/>
            </w:pPr>
            <w:r>
              <w:t>Nuevas funcionalidades específicas solicitadas por Terratowers se cotizarán por separado.</w:t>
            </w:r>
          </w:p>
        </w:tc>
      </w:tr>
      <w:tr>
        <w:tc>
          <w:tcPr>
            <w:tcW w:w="3200" w:type="dxa"/>
            <w:tcMar>
              <w:top w:w="120" w:type="dxa"/>
              <w:left w:w="120" w:type="dxa"/>
              <w:bottom w:w="120" w:type="dxa"/>
              <w:right w:w="120" w:type="dxa"/>
            </w:tcMar>
          </w:tcPr>
          <w:p>
            <w:pPr>
              <w:spacing w:after="0"/>
            </w:pPr>
            <w:r>
              <w:t>Migraciones masivas de datos</w:t>
            </w:r>
          </w:p>
        </w:tc>
        <w:tc>
          <w:tcPr>
            <w:tcW w:w="6400" w:type="dxa"/>
            <w:tcMar>
              <w:top w:w="120" w:type="dxa"/>
              <w:left w:w="120" w:type="dxa"/>
              <w:bottom w:w="120" w:type="dxa"/>
              <w:right w:w="120" w:type="dxa"/>
            </w:tcMar>
          </w:tcPr>
          <w:p>
            <w:pPr>
              <w:spacing w:after="0"/>
            </w:pPr>
            <w:r>
              <w:t>Carga histórica desde Excel, sistemas externos o bases anteriores requiere evaluación previa.</w:t>
            </w:r>
          </w:p>
        </w:tc>
      </w:tr>
      <w:tr>
        <w:tc>
          <w:tcPr>
            <w:tcW w:w="3200" w:type="dxa"/>
            <w:tcMar>
              <w:top w:w="120" w:type="dxa"/>
              <w:left w:w="120" w:type="dxa"/>
              <w:bottom w:w="120" w:type="dxa"/>
              <w:right w:w="120" w:type="dxa"/>
            </w:tcMar>
          </w:tcPr>
          <w:p>
            <w:pPr>
              <w:spacing w:after="0"/>
            </w:pPr>
            <w:r>
              <w:t>Integraciones externas</w:t>
            </w:r>
          </w:p>
        </w:tc>
        <w:tc>
          <w:tcPr>
            <w:tcW w:w="6400" w:type="dxa"/>
            <w:tcMar>
              <w:top w:w="120" w:type="dxa"/>
              <w:left w:w="120" w:type="dxa"/>
              <w:bottom w:w="120" w:type="dxa"/>
              <w:right w:w="120" w:type="dxa"/>
            </w:tcMar>
          </w:tcPr>
          <w:p>
            <w:pPr>
              <w:spacing w:after="0"/>
            </w:pPr>
            <w:r>
              <w:t>Pasarelas de pago, facturación electrónica, bancos, WhatsApp u otros servicios de terceros se cotizan aparte.</w:t>
            </w:r>
          </w:p>
        </w:tc>
      </w:tr>
      <w:tr>
        <w:tc>
          <w:tcPr>
            <w:tcW w:w="3200" w:type="dxa"/>
            <w:tcMar>
              <w:top w:w="120" w:type="dxa"/>
              <w:left w:w="120" w:type="dxa"/>
              <w:bottom w:w="120" w:type="dxa"/>
              <w:right w:w="120" w:type="dxa"/>
            </w:tcMar>
          </w:tcPr>
          <w:p>
            <w:pPr>
              <w:spacing w:after="0"/>
            </w:pPr>
            <w:r>
              <w:t>Soporte presencial</w:t>
            </w:r>
          </w:p>
        </w:tc>
        <w:tc>
          <w:tcPr>
            <w:tcW w:w="6400" w:type="dxa"/>
            <w:tcMar>
              <w:top w:w="120" w:type="dxa"/>
              <w:left w:w="120" w:type="dxa"/>
              <w:bottom w:w="120" w:type="dxa"/>
              <w:right w:w="120" w:type="dxa"/>
            </w:tcMar>
          </w:tcPr>
          <w:p>
            <w:pPr>
              <w:spacing w:after="0"/>
            </w:pPr>
            <w:r>
              <w:t>Visitas en sitio, capacitaciones presenciales o acompañamientos extendidos se cotizan según alcance.</w:t>
            </w:r>
          </w:p>
        </w:tc>
      </w:tr>
      <w:tr>
        <w:tc>
          <w:tcPr>
            <w:tcW w:w="3200" w:type="dxa"/>
            <w:tcMar>
              <w:top w:w="120" w:type="dxa"/>
              <w:left w:w="120" w:type="dxa"/>
              <w:bottom w:w="120" w:type="dxa"/>
              <w:right w:w="120" w:type="dxa"/>
            </w:tcMar>
          </w:tcPr>
          <w:p>
            <w:pPr>
              <w:spacing w:after="0"/>
            </w:pPr>
            <w:r>
              <w:t>Infraestructura especial</w:t>
            </w:r>
          </w:p>
        </w:tc>
        <w:tc>
          <w:tcPr>
            <w:tcW w:w="6400" w:type="dxa"/>
            <w:tcMar>
              <w:top w:w="120" w:type="dxa"/>
              <w:left w:w="120" w:type="dxa"/>
              <w:bottom w:w="120" w:type="dxa"/>
              <w:right w:w="120" w:type="dxa"/>
            </w:tcMar>
          </w:tcPr>
          <w:p>
            <w:pPr>
              <w:spacing w:after="0"/>
            </w:pPr>
            <w:r>
              <w:t>Servidores dedicados, dominios, certificados, almacenamiento extraordinario o requisitos de alta disponibilidad se cotizan aparte si aplican.</w:t>
            </w:r>
          </w:p>
        </w:tc>
      </w:tr>
    </w:tbl>
    <w:p>
      <w:pPr>
        <w:spacing w:after="120"/>
      </w:pPr>
    </w:p>
    <w:p>
      <w:pPr>
        <w:pStyle w:val="Heading2"/>
        <w:spacing w:after="100"/>
      </w:pPr>
      <w:r>
        <w:rPr>
          <w:b/>
          <w:color w:val="0F766E"/>
          <w:sz w:val="28"/>
          <w:szCs w:val="28"/>
        </w:rPr>
        <w:t>7. Supuestos y próximos pasos</w:t>
      </w:r>
    </w:p>
    <w:p>
      <w:pPr>
        <w:pStyle w:val="ListParagraph"/>
        <w:numPr>
          <w:ilvl w:val="0"/>
          <w:numId w:val="1"/>
        </w:numPr>
        <w:spacing w:after="80"/>
      </w:pPr>
      <w:r>
        <w:t>La presente plantilla puede ajustarse con razón social, RUC, dirección, datos de contacto, forma de pago y condiciones legales definitivas.</w:t>
      </w:r>
    </w:p>
    <w:p>
      <w:pPr>
        <w:pStyle w:val="ListParagraph"/>
        <w:numPr>
          <w:ilvl w:val="0"/>
          <w:numId w:val="1"/>
        </w:numPr>
        <w:spacing w:after="80"/>
      </w:pPr>
      <w:r>
        <w:t>Previo al inicio del servicio se recomienda confirmar el número de ciudadelas, condominios o etapas que Terratowers desea activar.</w:t>
      </w:r>
    </w:p>
    <w:p>
      <w:pPr>
        <w:pStyle w:val="ListParagraph"/>
        <w:numPr>
          <w:ilvl w:val="0"/>
          <w:numId w:val="1"/>
        </w:numPr>
        <w:spacing w:after="80"/>
      </w:pPr>
      <w:r>
        <w:t>Una vez aceptada la cotización, se podrá preparar el contrato mensual de suscripción y el cronograma de configuración inicial.</w:t>
      </w:r>
    </w:p>
    <w:p>
      <w:pPr>
        <w:pStyle w:val="Heading2"/>
        <w:spacing w:after="100"/>
      </w:pPr>
      <w:r>
        <w:rPr>
          <w:b/>
          <w:color w:val="0F766E"/>
          <w:sz w:val="28"/>
          <w:szCs w:val="28"/>
        </w:rPr>
        <w:t>8. Aceptación</w:t>
      </w:r>
    </w:p>
    <w:tbl>
      <w:tblPr>
        <w:tblStyle w:val="TableGrid"/>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3000" w:type="dxa"/>
            <w:tcMar>
              <w:top w:w="120" w:type="dxa"/>
              <w:left w:w="120" w:type="dxa"/>
              <w:bottom w:w="120" w:type="dxa"/>
              <w:right w:w="120" w:type="dxa"/>
            </w:tcMar>
          </w:tcPr>
          <w:p>
            <w:pPr>
              <w:spacing w:after="0"/>
            </w:pPr>
            <w:r>
              <w:t>Preparado para</w:t>
            </w:r>
          </w:p>
        </w:tc>
        <w:tc>
          <w:tcPr>
            <w:tcW w:w="6600" w:type="dxa"/>
            <w:tcMar>
              <w:top w:w="120" w:type="dxa"/>
              <w:left w:w="120" w:type="dxa"/>
              <w:bottom w:w="120" w:type="dxa"/>
              <w:right w:w="120" w:type="dxa"/>
            </w:tcMar>
          </w:tcPr>
          <w:p>
            <w:pPr>
              <w:spacing w:after="0"/>
            </w:pPr>
            <w:r>
              <w:t>Terratowers</w:t>
            </w:r>
          </w:p>
        </w:tc>
      </w:tr>
      <w:tr>
        <w:tc>
          <w:tcPr>
            <w:tcW w:w="3000" w:type="dxa"/>
            <w:tcMar>
              <w:top w:w="120" w:type="dxa"/>
              <w:left w:w="120" w:type="dxa"/>
              <w:bottom w:w="120" w:type="dxa"/>
              <w:right w:w="120" w:type="dxa"/>
            </w:tcMar>
          </w:tcPr>
          <w:p>
            <w:pPr>
              <w:spacing w:after="0"/>
            </w:pPr>
            <w:r>
              <w:t>Preparado por</w:t>
            </w:r>
          </w:p>
        </w:tc>
        <w:tc>
          <w:tcPr>
            <w:tcW w:w="6600" w:type="dxa"/>
            <w:tcMar>
              <w:top w:w="120" w:type="dxa"/>
              <w:left w:w="120" w:type="dxa"/>
              <w:bottom w:w="120" w:type="dxa"/>
              <w:right w:w="120" w:type="dxa"/>
            </w:tcMar>
          </w:tcPr>
          <w:p>
            <w:pPr>
              <w:spacing w:after="0"/>
            </w:pPr>
            <w:r>
              <w:t>[Nombre del proveedor / empresa]</w:t>
            </w:r>
          </w:p>
        </w:tc>
      </w:tr>
      <w:tr>
        <w:tc>
          <w:tcPr>
            <w:tcW w:w="3000" w:type="dxa"/>
            <w:tcMar>
              <w:top w:w="120" w:type="dxa"/>
              <w:left w:w="120" w:type="dxa"/>
              <w:bottom w:w="120" w:type="dxa"/>
              <w:right w:w="120" w:type="dxa"/>
            </w:tcMar>
          </w:tcPr>
          <w:p>
            <w:pPr>
              <w:spacing w:after="0"/>
            </w:pPr>
            <w:r>
              <w:t>Sistema</w:t>
            </w:r>
          </w:p>
        </w:tc>
        <w:tc>
          <w:tcPr>
            <w:tcW w:w="6600" w:type="dxa"/>
            <w:tcMar>
              <w:top w:w="120" w:type="dxa"/>
              <w:left w:w="120" w:type="dxa"/>
              <w:bottom w:w="120" w:type="dxa"/>
              <w:right w:w="120" w:type="dxa"/>
            </w:tcMar>
          </w:tcPr>
          <w:p>
            <w:pPr>
              <w:spacing w:after="0"/>
            </w:pPr>
            <w:r>
              <w:t>InmoAdmin Cloud (nombre temporal)</w:t>
            </w:r>
          </w:p>
        </w:tc>
      </w:tr>
      <w:tr>
        <w:tc>
          <w:tcPr>
            <w:tcW w:w="3000" w:type="dxa"/>
            <w:tcMar>
              <w:top w:w="120" w:type="dxa"/>
              <w:left w:w="120" w:type="dxa"/>
              <w:bottom w:w="120" w:type="dxa"/>
              <w:right w:w="120" w:type="dxa"/>
            </w:tcMar>
          </w:tcPr>
          <w:p>
            <w:pPr>
              <w:spacing w:after="0"/>
            </w:pPr>
            <w:r>
              <w:t>Firma cliente</w:t>
            </w:r>
          </w:p>
        </w:tc>
        <w:tc>
          <w:tcPr>
            <w:tcW w:w="6600" w:type="dxa"/>
            <w:tcMar>
              <w:top w:w="120" w:type="dxa"/>
              <w:left w:w="120" w:type="dxa"/>
              <w:bottom w:w="120" w:type="dxa"/>
              <w:right w:w="120" w:type="dxa"/>
            </w:tcMar>
          </w:tcPr>
          <w:p>
            <w:pPr>
              <w:spacing w:after="0"/>
            </w:pPr>
          </w:p>
        </w:tc>
      </w:tr>
      <w:tr>
        <w:tc>
          <w:tcPr>
            <w:tcW w:w="3000" w:type="dxa"/>
            <w:tcMar>
              <w:top w:w="120" w:type="dxa"/>
              <w:left w:w="120" w:type="dxa"/>
              <w:bottom w:w="120" w:type="dxa"/>
              <w:right w:w="120" w:type="dxa"/>
            </w:tcMar>
          </w:tcPr>
          <w:p>
            <w:pPr>
              <w:spacing w:after="0"/>
            </w:pPr>
            <w:r>
              <w:t>Firma proveedor</w:t>
            </w:r>
          </w:p>
        </w:tc>
        <w:tc>
          <w:tcPr>
            <w:tcW w:w="6600" w:type="dxa"/>
            <w:tcMar>
              <w:top w:w="120" w:type="dxa"/>
              <w:left w:w="120" w:type="dxa"/>
              <w:bottom w:w="120" w:type="dxa"/>
              <w:right w:w="120" w:type="dxa"/>
            </w:tcMar>
          </w:tcPr>
          <w:p>
            <w:pPr>
              <w:spacing w:after="0"/>
            </w:pPr>
          </w:p>
        </w:tc>
      </w:tr>
    </w:tbl>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color w:val="1F2937"/>
    </w:rPr>
  </w:style>
  <w:style w:type="paragraph" w:styleId="Heading2">
    <w:name w:val="heading 2"/>
    <w:basedOn w:val="Normal"/>
    <w:next w:val="Normal"/>
    <w:qFormat/>
    <w:pPr>
      <w:spacing w:before="260" w:after="120"/>
      <w:outlineLvl w:val="1"/>
    </w:pPr>
    <w:rPr>
      <w:b/>
      <w:rFonts w:ascii="Aptos Display" w:hAnsi="Aptos Display"/>
      <w:sz w:val="28"/>
      <w:color w:val="0F766E"/>
    </w:rPr>
  </w:style>
  <w:style w:type="paragraph" w:styleId="ListParagraph">
    <w:name w:val="List Paragraph"/>
    <w:basedOn w:val="Normal"/>
    <w:pPr>
      <w:ind w:left="720" w:hanging="360"/>
    </w:pPr>
  </w:style>
  <w:style w:type="table" w:styleId="TableGrid">
    <w:name w:val="Table Grid"/>
    <w:tblPr>
      <w:tblBorders>
        <w:top w:val="single" w:sz="4" w:color="CBD5E1"/>
        <w:left w:val="single" w:sz="4" w:color="CBD5E1"/>
        <w:bottom w:val="single" w:sz="4" w:color="CBD5E1"/>
        <w:right w:val="single" w:sz="4" w:color="CBD5E1"/>
        <w:insideH w:val="single" w:sz="4" w:color="CBD5E1"/>
        <w:insideV w:val="single" w:sz="4"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Terratowers - InmoAdmin Cloud</dc:title>
  <dc:subject>Servicio mensual de suscripción para sistema de administración inmobiliaria</dc:subject>
  <dc:creator>Codex</dc:creator>
  <cp:lastModifiedBy>Codex</cp:lastModifiedBy>
  <dcterms:created xsi:type="dcterms:W3CDTF">2026-07-28T00:00:00Z</dcterms:created>
  <dcterms:modified xsi:type="dcterms:W3CDTF">2026-07-28T00:00:00Z</dcterms:modified>
</cp:coreProperties>
</file>