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SAMMY / BODY LAB / SOMA-LAB · MASTER STATE</w:t>
      </w:r>
    </w:p>
    <w:p>
      <w:pPr>
        <w:spacing w:after="60"/>
      </w:pPr>
      <w:r>
        <w:rPr>
          <w:b/>
        </w:rPr>
        <w:t>Kanonischer Projektstand · Version 0.5 · 28.08.2026 · App v0.8.28.3</w:t>
      </w:r>
    </w:p>
    <w:p>
      <w:pPr>
        <w:pStyle w:val="Heading1"/>
      </w:pPr>
      <w:r>
        <w:t>1. Verbindliche Projektpflege</w:t>
      </w:r>
    </w:p>
    <w:p>
      <w:pPr>
        <w:pStyle w:val="ListBullet"/>
        <w:spacing w:after="20"/>
      </w:pPr>
      <w:r>
        <w:t>Dieser Master State ist die kanonische Zusammenfassung des aktuellen Projektstands.</w:t>
      </w:r>
    </w:p>
    <w:p>
      <w:pPr>
        <w:pStyle w:val="ListBullet"/>
        <w:spacing w:after="20"/>
      </w:pPr>
      <w:r>
        <w:rPr>
          <w:b/>
        </w:rPr>
        <w:t>Jeder neue SAMMY-Export aktualisiert im selben Arbeitsschritt den Master State.</w:t>
      </w:r>
      <w:r>
        <w:t xml:space="preserve"> Ein Release ohne synchronen Master State gilt nicht als vollständiger Projektstand.</w:t>
      </w:r>
    </w:p>
    <w:p>
      <w:pPr>
        <w:pStyle w:val="ListBullet"/>
        <w:spacing w:after="20"/>
      </w:pPr>
      <w:r>
        <w:t>Zusätzlich wird bei jedem Export SAMMY_CURRENT.zip auf die neue vollständige Version gesetzt, SAMMY_CURRENT_VERSION.txt aktualisiert und SAMMY_GITHUB_CURRENT.zip als direkt uploadbare Compact-Fassung erzeugt. Die GitHub-Fassung muss unter 100 direkt sichtbaren Dateien bleiben; ältere Projektstände werden dafür in genau einem internen History-Archiv gebündelt, nicht verworfen.</w:t>
      </w:r>
      <w:r>
        <w:rPr>
          <w:rFonts w:ascii="Consolas" w:hAnsi="Consolas"/>
          <w:sz w:val="16"/>
        </w:rPr>
      </w:r>
      <w:r/>
      <w:r>
        <w:rPr>
          <w:rFonts w:ascii="Consolas" w:hAnsi="Consolas"/>
          <w:sz w:val="16"/>
        </w:rPr>
      </w:r>
      <w:r/>
    </w:p>
    <w:p>
      <w:pPr>
        <w:pStyle w:val="ListBullet"/>
        <w:spacing w:after="20"/>
      </w:pPr>
      <w:r>
        <w:t xml:space="preserve">Neue Arbeit startet ausschließlich von </w:t>
      </w:r>
      <w:r>
        <w:rPr>
          <w:rFonts w:ascii="Consolas" w:hAnsi="Consolas"/>
          <w:sz w:val="16"/>
        </w:rPr>
        <w:t>SAMMY_CURRENT</w:t>
      </w:r>
      <w:r>
        <w:t xml:space="preserve"> bzw. der dort genannten Version.</w:t>
      </w:r>
    </w:p>
    <w:p>
      <w:pPr>
        <w:pStyle w:val="ListBullet"/>
        <w:spacing w:after="20"/>
      </w:pPr>
      <w:r>
        <w:t>Ersetzte Ansätze bleiben nur als Forschungsarchiv erhalten und dürfen nicht ungeprüft wieder als Hauptpfad vorgeschlagen werden.</w:t>
      </w:r>
    </w:p>
    <w:p>
      <w:pPr>
        <w:pStyle w:val="Heading1"/>
      </w:pPr>
      <w:r>
        <w:t>2. Produktziel</w:t>
      </w:r>
    </w:p>
    <w:p>
      <w:pPr>
        <w:spacing w:after="60"/>
      </w:pPr>
      <w:r>
        <w:t xml:space="preserve">SAMMY ist ein Tool, das aus </w:t>
      </w:r>
      <w:r>
        <w:rPr>
          <w:b/>
        </w:rPr>
        <w:t>wenigen Nutzereingaben</w:t>
      </w:r>
      <w:r>
        <w:t xml:space="preserve"> halbwegs verlässliche grundlegende Körpermaße und einen dazu passenden plausiblen Avatar liefern soll.</w:t>
      </w:r>
    </w:p>
    <w:p>
      <w:pPr>
        <w:spacing w:after="6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6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60"/>
      </w:pPr>
      <w:r>
        <w:t>Der bevorzugte neue Architekturpfad lautet:</w:t>
      </w:r>
    </w:p>
    <w:p>
      <w:pPr>
        <w:spacing w:after="20"/>
        <w:ind w:left="312" w:hanging="227"/>
      </w:pPr>
      <w:r>
        <w:t>1. Offline bzw. vorab viele reproduzierbare Anny-Körperrezepte erzeugen.</w:t>
      </w:r>
    </w:p>
    <w:p>
      <w:pPr>
        <w:spacing w:after="20"/>
        <w:ind w:left="312" w:hanging="227"/>
      </w:pPr>
      <w:r>
        <w:t>2. Körper technisch und visuell auditieren.</w:t>
      </w:r>
    </w:p>
    <w:p>
      <w:pPr>
        <w:spacing w:after="20"/>
        <w:ind w:left="312" w:hanging="227"/>
      </w:pPr>
      <w:r>
        <w:t xml:space="preserve">3. Akzeptierte Körper als Anker eines </w:t>
      </w:r>
      <w:r>
        <w:rPr>
          <w:b/>
        </w:rPr>
        <w:t>auditierten, kontextabhängigen Körperraums</w:t>
      </w:r>
      <w:r>
        <w:t xml:space="preserve"> speichern.</w:t>
      </w:r>
    </w:p>
    <w:p>
      <w:pPr>
        <w:spacing w:after="20"/>
        <w:ind w:left="312" w:hanging="227"/>
      </w:pPr>
      <w:r>
        <w:t>4. Zur Laufzeit aus wenigen Nutzerdaten einen nahen bekannten Körper auswählen.</w:t>
      </w:r>
    </w:p>
    <w:p>
      <w:pPr>
        <w:spacing w:after="20"/>
        <w:ind w:left="312" w:hanging="227"/>
      </w:pPr>
      <w:r>
        <w:t>5. Nur noch kleine lokale Iterationen von diesem nahen Startkörper aus erlauben.</w:t>
      </w:r>
    </w:p>
    <w:p>
      <w:pPr>
        <w:spacing w:after="6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60"/>
      </w:pPr>
      <w:r>
        <w:t xml:space="preserve">Eine menschliche Bewertung gilt </w:t>
      </w:r>
      <w:r>
        <w:rPr>
          <w:b/>
        </w:rPr>
        <w:t>nicht global für einen Sliderwert</w:t>
      </w:r>
      <w:r>
        <w:t>.</w:t>
      </w:r>
    </w:p>
    <w:p>
      <w:pPr>
        <w:spacing w:after="60"/>
      </w:pPr>
      <w:r>
        <w:t>Beispiel: Wenn ein größerer Oberschenkel bei Körperfamilie A unplausibel aussieht, darf daraus nicht folgen, dass derselbe Oberschenkelwert bei Körperfamilie B unzulässig ist.</w:t>
      </w:r>
    </w:p>
    <w:p>
      <w:pPr>
        <w:spacing w:after="60"/>
      </w:pPr>
      <w:r>
        <w:t>Daher werden Auditinformationen an folgende Kontexte gebunden:</w:t>
      </w:r>
    </w:p>
    <w:p>
      <w:pPr>
        <w:pStyle w:val="ListBullet"/>
        <w:spacing w:after="20"/>
      </w:pPr>
      <w:r>
        <w:t>vollständiges Anny-Rezept des Körpers,</w:t>
      </w:r>
    </w:p>
    <w:p>
      <w:pPr>
        <w:pStyle w:val="ListBullet"/>
        <w:spacing w:after="20"/>
      </w:pPr>
      <w:r>
        <w:t xml:space="preserve">lokale </w:t>
      </w:r>
      <w:r>
        <w:rPr>
          <w:rFonts w:ascii="Consolas" w:hAnsi="Consolas"/>
          <w:sz w:val="16"/>
        </w:rPr>
        <w:t>familyId</w:t>
      </w:r>
      <w:r>
        <w:t>,</w:t>
      </w:r>
    </w:p>
    <w:p>
      <w:pPr>
        <w:pStyle w:val="ListBullet"/>
        <w:spacing w:after="20"/>
      </w:pPr>
      <w:r>
        <w:t>konkrete Ausgangs-/Zielkörper,</w:t>
      </w:r>
    </w:p>
    <w:p>
      <w:pPr>
        <w:pStyle w:val="ListBullet"/>
        <w:spacing w:after="20"/>
      </w:pPr>
      <w:r>
        <w:t>konkrete Änderungsrichtung und Distanz, sobald lokale Kanten getestet werden.</w:t>
      </w:r>
    </w:p>
    <w:p>
      <w:pPr>
        <w:spacing w:after="60"/>
      </w:pPr>
      <w:r>
        <w:t>Statusmodell:</w:t>
      </w:r>
    </w:p>
    <w:p>
      <w:pPr>
        <w:pStyle w:val="ListBullet"/>
        <w:spacing w:after="20"/>
      </w:pPr>
      <w:r>
        <w:rPr>
          <w:rFonts w:ascii="Consolas" w:hAnsi="Consolas"/>
          <w:sz w:val="16"/>
        </w:rPr>
        <w:t>HUMAN_ACCEPTED</w:t>
      </w:r>
      <w:r>
        <w:t>: visuell akzeptierter Ankerkörper.</w:t>
      </w:r>
    </w:p>
    <w:p>
      <w:pPr>
        <w:pStyle w:val="ListBullet"/>
        <w:spacing w:after="20"/>
      </w:pPr>
      <w:r>
        <w:rPr>
          <w:rFonts w:ascii="Consolas" w:hAnsi="Consolas"/>
          <w:sz w:val="16"/>
        </w:rPr>
        <w:t>UNCERTAIN</w:t>
      </w:r>
      <w:r>
        <w:t>: keine positive oder negative Regel ableiten.</w:t>
      </w:r>
    </w:p>
    <w:p>
      <w:pPr>
        <w:pStyle w:val="ListBullet"/>
        <w:spacing w:after="20"/>
      </w:pPr>
      <w:r>
        <w:rPr>
          <w:rFonts w:ascii="Consolas" w:hAnsi="Consolas"/>
          <w:sz w:val="16"/>
        </w:rPr>
        <w:t>REJECTED_LOCAL</w:t>
      </w:r>
      <w:r>
        <w:t>: lokaler negativer Referenzpunkt; kein globales Verbot.</w:t>
      </w:r>
    </w:p>
    <w:p>
      <w:pPr>
        <w:pStyle w:val="ListBullet"/>
        <w:spacing w:after="20"/>
      </w:pPr>
      <w:r>
        <w:rPr>
          <w:rFonts w:ascii="Consolas" w:hAnsi="Consolas"/>
          <w:sz w:val="16"/>
        </w:rPr>
        <w:t>SAFE_EDGE</w:t>
      </w:r>
      <w:r>
        <w:t xml:space="preserve"> (spätere Phase): kleine Verbindung zwischen nahen akzeptierten Körpern, deren Zwischenstufen geprüft wurden.</w:t>
      </w:r>
    </w:p>
    <w:p>
      <w:pPr>
        <w:spacing w:after="60"/>
      </w:pPr>
      <w:r>
        <w:t>Zwei akzeptierte Endpunkte garantieren nicht automatisch, dass jede Interpolation dazwischen gültig ist. Zwischenstufen müssen separat technisch geprüft und bei Bedarf human auditiert werden.</w:t>
      </w:r>
    </w:p>
    <w:p>
      <w:pPr>
        <w:pStyle w:val="Heading1"/>
      </w:pPr>
      <w:r>
        <w:t>5. Aktueller Build v0.8.28.3 · BODY BANK PHASE 2 · GRENZ- UND EXTREMRAUM</w:t>
      </w:r>
    </w:p>
    <w:p>
      <w:pPr>
        <w:pStyle w:val="Heading2"/>
      </w:pPr>
      <w:r>
        <w:t>Ergebnis Phase 1 (v0.8.28.2)</w:t>
      </w:r>
    </w:p>
    <w:p>
      <w:pPr>
        <w:spacing w:after="60"/>
      </w:pPr>
      <w:r>
        <w:t xml:space="preserve">Der erste 100er-Audit wurde abgeschlossen und als </w:t>
      </w:r>
      <w:r>
        <w:rPr>
          <w:rFonts w:ascii="Consolas" w:hAnsi="Consolas"/>
          <w:sz w:val="16"/>
        </w:rPr>
        <w:t>Sammy_BODY_BANK_AUDIT_2026-08-28T19-10-48-878Z.json</w:t>
      </w:r>
      <w:r>
        <w:t xml:space="preserve"> ausgewertet.</w:t>
      </w:r>
    </w:p>
    <w:p>
      <w:pPr>
        <w:spacing w:after="60"/>
      </w:pPr>
      <w:r>
        <w:t>Gesamtergebnis inklusive verdeckter Wiederholungen:</w:t>
      </w:r>
    </w:p>
    <w:p>
      <w:pPr>
        <w:pStyle w:val="ListBullet"/>
        <w:spacing w:after="20"/>
      </w:pPr>
      <w:r>
        <w:t xml:space="preserve">70 </w:t>
      </w:r>
      <w:r>
        <w:rPr>
          <w:rFonts w:ascii="Consolas" w:hAnsi="Consolas"/>
          <w:sz w:val="16"/>
        </w:rPr>
        <w:t>Plausibel</w:t>
      </w:r>
      <w:r>
        <w:t>,</w:t>
      </w:r>
    </w:p>
    <w:p>
      <w:pPr>
        <w:pStyle w:val="ListBullet"/>
        <w:spacing w:after="20"/>
      </w:pPr>
      <w:r>
        <w:t xml:space="preserve">26 </w:t>
      </w:r>
      <w:r>
        <w:rPr>
          <w:rFonts w:ascii="Consolas" w:hAnsi="Consolas"/>
          <w:sz w:val="16"/>
        </w:rPr>
        <w:t>Unsicher</w:t>
      </w:r>
      <w:r>
        <w:t>,</w:t>
      </w:r>
    </w:p>
    <w:p>
      <w:pPr>
        <w:pStyle w:val="ListBullet"/>
        <w:spacing w:after="20"/>
      </w:pPr>
      <w:r>
        <w:t xml:space="preserve">2 </w:t>
      </w:r>
      <w:r>
        <w:rPr>
          <w:rFonts w:ascii="Consolas" w:hAnsi="Consolas"/>
          <w:sz w:val="16"/>
        </w:rPr>
        <w:t>Unplausibel</w:t>
      </w:r>
      <w:r>
        <w:t>,</w:t>
      </w:r>
    </w:p>
    <w:p>
      <w:pPr>
        <w:pStyle w:val="ListBullet"/>
        <w:spacing w:after="20"/>
      </w:pPr>
      <w:r>
        <w:t>2 nicht bewertet,</w:t>
      </w:r>
    </w:p>
    <w:p>
      <w:pPr>
        <w:pStyle w:val="ListBullet"/>
        <w:spacing w:after="20"/>
      </w:pPr>
      <w:r>
        <w:t>4 von 5 verdeckten Wiederholungen exakt gleich bewertet.</w:t>
      </w:r>
    </w:p>
    <w:p>
      <w:pPr>
        <w:spacing w:after="60"/>
      </w:pPr>
      <w:r>
        <w:t>Auf eindeutige Körper reduziert sind 66 akzeptierte Anker, 25 unsichere, 2 abgelehnte und 2 unbewertete Körper vorhanden.</w:t>
      </w:r>
    </w:p>
    <w:p>
      <w:pPr>
        <w:spacing w:after="60"/>
      </w:pPr>
      <w:r>
        <w:t xml:space="preserve">Wichtige Human-Audit-Erkenntnis: Der Nutzer erklärte nach dem Lauf, dass </w:t>
      </w:r>
      <w:r>
        <w:rPr>
          <w:b/>
        </w:rPr>
        <w:t>alle unsicheren Bewertungen ausschließlich dadurch entstanden, dass die Beine extrem lang wirkten</w:t>
      </w:r>
      <w:r>
        <w:t xml:space="preserve">. Diese Aussage wird als Phase-1-Annotation </w:t>
      </w:r>
      <w:r>
        <w:rPr>
          <w:rFonts w:ascii="Consolas" w:hAnsi="Consolas"/>
          <w:sz w:val="16"/>
        </w:rPr>
        <w:t>legs-too-long</w:t>
      </w:r>
      <w:r>
        <w:t xml:space="preserve"> gespeichert; sie ist keine globale Regel.</w:t>
      </w:r>
    </w:p>
    <w:p>
      <w:pPr>
        <w:spacing w:after="60"/>
      </w:pPr>
      <w:r>
        <w:t xml:space="preserve">Die Phase-1-Auswertung zeigt zugleich einen Zusammenhang mit Annys Core-Achsen: Unsichere Körper lagen im Mittel deutlich höher bei </w:t>
      </w:r>
      <w:r>
        <w:rPr>
          <w:rFonts w:ascii="Consolas" w:hAnsi="Consolas"/>
          <w:sz w:val="16"/>
        </w:rPr>
        <w:t>proportions</w:t>
      </w:r>
      <w:r>
        <w:t xml:space="preserve"> und </w:t>
      </w:r>
      <w:r>
        <w:rPr>
          <w:rFonts w:ascii="Consolas" w:hAnsi="Consolas"/>
          <w:sz w:val="16"/>
        </w:rPr>
        <w:t>height</w:t>
      </w:r>
      <w:r>
        <w:t xml:space="preserve"> als akzeptierte Körper. Dies wird nur als Auswahlhinweis für Phase 2 genutzt, nicht als harte Grenze.</w:t>
      </w:r>
    </w:p>
    <w:p>
      <w:pPr>
        <w:pStyle w:val="Heading2"/>
      </w:pPr>
      <w:r>
        <w:t>Mess-/Diagnosekorrektur</w:t>
      </w:r>
    </w:p>
    <w:p>
      <w:pPr>
        <w:spacing w:after="60"/>
      </w:pPr>
      <w:r>
        <w:t xml:space="preserve">Die visuellen Phase-1-Verdikte sind gültige Auditdaten. Die damals mitgespeicherten einfachen Umfangs-/Proxy-Snapshots sind jedoch </w:t>
      </w:r>
      <w:r>
        <w:rPr>
          <w:b/>
        </w:rPr>
        <w:t>nicht für Body-Bank-Statistik freigegeben</w:t>
      </w:r>
      <w:r>
        <w:t>: In einzelnen Fällen traten offensichtlich unbrauchbare Umfangs- und Schulterproxywerte auf.</w:t>
      </w:r>
    </w:p>
    <w:p>
      <w:pPr>
        <w:spacing w:after="60"/>
      </w:pPr>
      <w:r>
        <w:t>Phase 2 speichert deshalb keine dieser einfachen Umfangssnapshots mehr. Stattdessen werden nur pose-unabhängige, geometrisch robuste Diagnosekennzahlen verwendet:</w:t>
      </w:r>
    </w:p>
    <w:p>
      <w:pPr>
        <w:pStyle w:val="ListBullet"/>
        <w:spacing w:after="20"/>
      </w:pPr>
      <w:r>
        <w:t>Rest-Mesh-Körperhöhe,</w:t>
      </w:r>
    </w:p>
    <w:p>
      <w:pPr>
        <w:pStyle w:val="ListBullet"/>
        <w:spacing w:after="20"/>
      </w:pPr>
      <w:r>
        <w:t>Hüftgelenkhöhe relativ zur Körperhöhe,</w:t>
      </w:r>
    </w:p>
    <w:p>
      <w:pPr>
        <w:pStyle w:val="ListBullet"/>
        <w:spacing w:after="20"/>
      </w:pPr>
      <w:r>
        <w:t>Femur- + Tibia-Kettenlänge relativ zur Körperhöhe,</w:t>
      </w:r>
    </w:p>
    <w:p>
      <w:pPr>
        <w:pStyle w:val="ListBullet"/>
        <w:spacing w:after="20"/>
      </w:pPr>
      <w:r>
        <w:t>Femur/Tibia-Verhältnis,</w:t>
      </w:r>
    </w:p>
    <w:p>
      <w:pPr>
        <w:pStyle w:val="ListBullet"/>
        <w:spacing w:after="20"/>
      </w:pPr>
      <w:r>
        <w:t>Torso-Skelettkette relativ zur Körperhöhe,</w:t>
      </w:r>
    </w:p>
    <w:p>
      <w:pPr>
        <w:pStyle w:val="ListBullet"/>
        <w:spacing w:after="20"/>
      </w:pPr>
      <w:r>
        <w:t>vertikales Becken-zu-Hals-Verhältnis,</w:t>
      </w:r>
    </w:p>
    <w:p>
      <w:pPr>
        <w:pStyle w:val="ListBullet"/>
        <w:spacing w:after="20"/>
      </w:pPr>
      <w:r>
        <w:t>Schulter- und Hüftgelenkbreite relativ zur Körperhöhe.</w:t>
      </w:r>
    </w:p>
    <w:p>
      <w:pPr>
        <w:spacing w:after="60"/>
      </w:pPr>
      <w:r>
        <w:t xml:space="preserve">Grundlage ist das </w:t>
      </w:r>
      <w:r>
        <w:rPr>
          <w:b/>
        </w:rPr>
        <w:t>shape-abhängige exakte Anny/SOMA-Rest-Rig</w:t>
      </w:r>
      <w:r>
        <w:t>, nicht die sichtbare Auditpose oder Animation. Diese Kennzahlen dienen zunächst nur zur Diagnose der langen-Beine-Grenze; daraus wird noch kein anthropometrischer Auto-Gate abgeleitet.</w:t>
      </w:r>
    </w:p>
    <w:p>
      <w:pPr>
        <w:pStyle w:val="Heading2"/>
      </w:pPr>
      <w:r>
        <w:t>Phase-2-Queue</w:t>
      </w:r>
    </w:p>
    <w:p>
      <w:pPr>
        <w:spacing w:after="60"/>
      </w:pPr>
      <w:r>
        <w:t>Der neue Audit umfasst 400 Bewertungen:</w:t>
      </w:r>
    </w:p>
    <w:p>
      <w:pPr>
        <w:pStyle w:val="ListBullet"/>
        <w:spacing w:after="20"/>
      </w:pPr>
      <w:r>
        <w:t xml:space="preserve">160 </w:t>
      </w:r>
      <w:r>
        <w:rPr>
          <w:b/>
        </w:rPr>
        <w:t>Proportionsfamilien-Fälle</w:t>
      </w:r>
      <w:r>
        <w:t xml:space="preserve">: 40 unterschiedliche, in Phase 1 akzeptierte Körper dienen als lokale Anker; pro Anker werden vier nahe Varianten der </w:t>
      </w:r>
      <w:r>
        <w:rPr>
          <w:rFonts w:ascii="Consolas" w:hAnsi="Consolas"/>
          <w:sz w:val="16"/>
        </w:rPr>
        <w:t>proportions</w:t>
      </w:r>
      <w:r>
        <w:t>-Achse getestet.</w:t>
      </w:r>
    </w:p>
    <w:p>
      <w:pPr>
        <w:pStyle w:val="ListBullet"/>
        <w:spacing w:after="20"/>
      </w:pPr>
      <w:r>
        <w:t xml:space="preserve">160 </w:t>
      </w:r>
      <w:r>
        <w:rPr>
          <w:b/>
        </w:rPr>
        <w:t>Extremraum-Fälle</w:t>
      </w:r>
      <w:r>
        <w:t>: 20 unterschiedliche akzeptierte Anker werden mit acht absichtlichen Core-Randkombinationen geprüft, darunter sehr groß/klein, leicht/schwer, lang-/kurzproportioniert sowie Muskel-/Masse-Gegenpole.</w:t>
      </w:r>
    </w:p>
    <w:p>
      <w:pPr>
        <w:pStyle w:val="ListBullet"/>
        <w:spacing w:after="20"/>
      </w:pPr>
      <w:r>
        <w:t xml:space="preserve">60 </w:t>
      </w:r>
      <w:r>
        <w:rPr>
          <w:b/>
        </w:rPr>
        <w:t>breite Randstichproben</w:t>
      </w:r>
      <w:r>
        <w:t>: deterministische Halton-Abdeckung nahe der Core-Grenzen.</w:t>
      </w:r>
    </w:p>
    <w:p>
      <w:pPr>
        <w:pStyle w:val="ListBullet"/>
        <w:spacing w:after="20"/>
      </w:pPr>
      <w:r>
        <w:t xml:space="preserve">20 </w:t>
      </w:r>
      <w:r>
        <w:rPr>
          <w:b/>
        </w:rPr>
        <w:t>verdeckte Wiederholungen</w:t>
      </w:r>
      <w:r>
        <w:t xml:space="preserve"> zur Konsistenzkontrolle.</w:t>
      </w:r>
    </w:p>
    <w:p>
      <w:pPr>
        <w:spacing w:after="60"/>
      </w:pPr>
      <w:r>
        <w:t>Die 380 eindeutigen Rezepte sind vorab geprüft, reproduzierbar und enthalten keine exakten Duplikate.</w:t>
      </w:r>
    </w:p>
    <w:p>
      <w:pPr>
        <w:pStyle w:val="Heading2"/>
      </w:pPr>
      <w:r>
        <w:t>Audit-UI</w:t>
      </w:r>
    </w:p>
    <w:p>
      <w:pPr>
        <w:spacing w:after="60"/>
      </w:pPr>
      <w:r>
        <w:t>Die bewährte schnelle Bedienung bleibt erhalten:</w:t>
      </w:r>
    </w:p>
    <w:p>
      <w:pPr>
        <w:pStyle w:val="ListBullet"/>
        <w:spacing w:after="20"/>
      </w:pPr>
      <w:r>
        <w:rPr>
          <w:rFonts w:ascii="Consolas" w:hAnsi="Consolas"/>
          <w:sz w:val="16"/>
        </w:rPr>
        <w:t>Plausibel</w:t>
      </w:r>
      <w:r>
        <w:t xml:space="preserve">, </w:t>
      </w:r>
      <w:r>
        <w:rPr>
          <w:rFonts w:ascii="Consolas" w:hAnsi="Consolas"/>
          <w:sz w:val="16"/>
        </w:rPr>
        <w:t>Unsicher</w:t>
      </w:r>
      <w:r>
        <w:t xml:space="preserve">, </w:t>
      </w:r>
      <w:r>
        <w:rPr>
          <w:rFonts w:ascii="Consolas" w:hAnsi="Consolas"/>
          <w:sz w:val="16"/>
        </w:rPr>
        <w:t>Unplausibel</w:t>
      </w:r>
      <w:r>
        <w:t>,</w:t>
      </w:r>
    </w:p>
    <w:p>
      <w:pPr>
        <w:pStyle w:val="ListBullet"/>
        <w:spacing w:after="20"/>
      </w:pPr>
      <w:r>
        <w:t>Vorne / 3/4 / Seite / Hinten,</w:t>
      </w:r>
    </w:p>
    <w:p>
      <w:pPr>
        <w:pStyle w:val="ListBullet"/>
        <w:spacing w:after="20"/>
      </w:pPr>
      <w:r>
        <w:t>statische Posen, Gang-/Stress-Loops und importierte Animationen,</w:t>
      </w:r>
    </w:p>
    <w:p>
      <w:pPr>
        <w:pStyle w:val="ListBullet"/>
        <w:spacing w:after="20"/>
      </w:pPr>
      <w:r>
        <w:t>manueller Zoom und Orbit bleiben beim Personenwechsel unverändert,</w:t>
      </w:r>
    </w:p>
    <w:p>
      <w:pPr>
        <w:pStyle w:val="ListBullet"/>
        <w:spacing w:after="20"/>
      </w:pPr>
      <w:r>
        <w:t>nur ein expliziter Viewport-Klick darf neu einrahmen.</w:t>
      </w:r>
    </w:p>
    <w:p>
      <w:pPr>
        <w:spacing w:after="60"/>
      </w:pPr>
      <w:r>
        <w:t xml:space="preserve">Neu ist ein </w:t>
      </w:r>
      <w:r>
        <w:rPr>
          <w:b/>
        </w:rPr>
        <w:t>optionaler persistenter Schnellgrund</w:t>
      </w:r>
      <w:r>
        <w:t xml:space="preserve"> für </w:t>
      </w:r>
      <w:r>
        <w:rPr>
          <w:rFonts w:ascii="Consolas" w:hAnsi="Consolas"/>
          <w:sz w:val="16"/>
        </w:rPr>
        <w:t>?</w:t>
      </w:r>
      <w:r>
        <w:t xml:space="preserve"> / </w:t>
      </w:r>
      <w:r>
        <w:rPr>
          <w:rFonts w:ascii="Consolas" w:hAnsi="Consolas"/>
          <w:sz w:val="16"/>
        </w:rPr>
        <w:t>×</w:t>
      </w:r>
      <w:r>
        <w:t xml:space="preserve">. Er startet in Phase 2 auf </w:t>
      </w:r>
      <w:r>
        <w:rPr>
          <w:rFonts w:ascii="Consolas" w:hAnsi="Consolas"/>
          <w:sz w:val="16"/>
        </w:rPr>
        <w:t>Beine zu lang</w:t>
      </w:r>
      <w:r>
        <w:t xml:space="preserve">, weil dies die bekannte Ursache aller Phase-1-Unsicherheiten war. Weitere Werte sind </w:t>
      </w:r>
      <w:r>
        <w:rPr>
          <w:rFonts w:ascii="Consolas" w:hAnsi="Consolas"/>
          <w:sz w:val="16"/>
        </w:rPr>
        <w:t>Beine zu kurz</w:t>
      </w:r>
      <w:r>
        <w:t xml:space="preserve">, </w:t>
      </w:r>
      <w:r>
        <w:rPr>
          <w:rFonts w:ascii="Consolas" w:hAnsi="Consolas"/>
          <w:sz w:val="16"/>
        </w:rPr>
        <w:t>Torso / Proportion</w:t>
      </w:r>
      <w:r>
        <w:t xml:space="preserve">, </w:t>
      </w:r>
      <w:r>
        <w:rPr>
          <w:rFonts w:ascii="Consolas" w:hAnsi="Consolas"/>
          <w:sz w:val="16"/>
        </w:rPr>
        <w:t>Masse / Breite</w:t>
      </w:r>
      <w:r>
        <w:t xml:space="preserve">, </w:t>
      </w:r>
      <w:r>
        <w:rPr>
          <w:rFonts w:ascii="Consolas" w:hAnsi="Consolas"/>
          <w:sz w:val="16"/>
        </w:rPr>
        <w:t>Sonstiges</w:t>
      </w:r>
      <w:r>
        <w:t xml:space="preserve"> oder kein Grund. Der Audit blockiert niemals auf eine Begründung.</w:t>
      </w:r>
    </w:p>
    <w:p>
      <w:pPr>
        <w:pStyle w:val="Heading2"/>
      </w:pPr>
      <w:r>
        <w:t>Datenbasis Phase 2</w:t>
      </w:r>
    </w:p>
    <w:p>
      <w:pPr>
        <w:spacing w:after="60"/>
      </w:pPr>
      <w:r>
        <w:t>Der Build enthält zwei reproduzierbare Dateien:</w:t>
      </w:r>
    </w:p>
    <w:p>
      <w:pPr>
        <w:pStyle w:val="ListBullet"/>
        <w:spacing w:after="20"/>
      </w:pPr>
      <w:r>
        <w:rPr>
          <w:rFonts w:ascii="Consolas" w:hAnsi="Consolas"/>
          <w:sz w:val="16"/>
        </w:rPr>
        <w:t>body-bank-phase1-audit-seed-v1.json</w:t>
      </w:r>
      <w:r>
        <w:t xml:space="preserve">: konsolidiert die 95 eindeutigen Phase-1-Körper, Originalurteile und die nachträgliche </w:t>
      </w:r>
      <w:r>
        <w:rPr>
          <w:rFonts w:ascii="Consolas" w:hAnsi="Consolas"/>
          <w:sz w:val="16"/>
        </w:rPr>
        <w:t>legs-too-long</w:t>
      </w:r>
      <w:r>
        <w:t>-Annotation.</w:t>
      </w:r>
    </w:p>
    <w:p>
      <w:pPr>
        <w:pStyle w:val="ListBullet"/>
        <w:spacing w:after="20"/>
      </w:pPr>
      <w:r>
        <w:rPr>
          <w:rFonts w:ascii="Consolas" w:hAnsi="Consolas"/>
          <w:sz w:val="16"/>
        </w:rPr>
        <w:t>body-bank-phase2-plan-v1.json</w:t>
      </w:r>
      <w:r>
        <w:t>: enthält den vollständigen 380+20-Plan und die verwendeten Phase-1-Anker.</w:t>
      </w:r>
    </w:p>
    <w:p>
      <w:pPr>
        <w:spacing w:after="60"/>
      </w:pPr>
      <w:r>
        <w:t>Dadurch ist nachvollziehbar, aus welchem Human-Audit jeder Phase-2-Kandidat abgeleitet wurde.</w:t>
      </w:r>
    </w:p>
    <w:p>
      <w:pPr>
        <w:pStyle w:val="Heading1"/>
      </w:pPr>
      <w:r>
        <w:t>6. Rolle des bisherigen Wissens</w:t>
      </w:r>
    </w:p>
    <w:p>
      <w:pPr>
        <w:spacing w:after="60"/>
      </w:pPr>
      <w:r>
        <w:t xml:space="preserve">Die bisherige Arbeit wird </w:t>
      </w:r>
      <w:r>
        <w:rPr>
          <w:b/>
        </w:rPr>
        <w:t>nicht verworfen</w:t>
      </w:r>
      <w:r>
        <w:t>. Sie ändert ihre Rolle.</w:t>
      </w:r>
    </w:p>
    <w:p>
      <w:pPr>
        <w:spacing w:after="60"/>
      </w:pPr>
      <w:r>
        <w:t>Weiterzuverwenden sind insbesondere:</w:t>
      </w:r>
    </w:p>
    <w:p>
      <w:pPr>
        <w:pStyle w:val="ListBullet"/>
        <w:spacing w:after="20"/>
      </w:pPr>
      <w:r>
        <w:t>Landmark- und Messdefinitionen,</w:t>
      </w:r>
    </w:p>
    <w:p>
      <w:pPr>
        <w:pStyle w:val="ListBullet"/>
        <w:spacing w:after="20"/>
      </w:pPr>
      <w:r>
        <w:t>geometrische Messoperatoren und Region-Masks,</w:t>
      </w:r>
    </w:p>
    <w:p>
      <w:pPr>
        <w:pStyle w:val="ListBullet"/>
        <w:spacing w:after="20"/>
      </w:pPr>
      <w:r>
        <w:t>Symmetrie-Regeln,</w:t>
      </w:r>
    </w:p>
    <w:p>
      <w:pPr>
        <w:pStyle w:val="ListBullet"/>
        <w:spacing w:after="20"/>
      </w:pPr>
      <w:r>
        <w:t>Morph Influence Atlas,</w:t>
      </w:r>
    </w:p>
    <w:p>
      <w:pPr>
        <w:pStyle w:val="ListBullet"/>
        <w:spacing w:after="20"/>
      </w:pPr>
      <w:r>
        <w:t>Morph Observatory / Skelettreaktionen,</w:t>
      </w:r>
    </w:p>
    <w:p>
      <w:pPr>
        <w:pStyle w:val="ListBullet"/>
        <w:spacing w:after="20"/>
      </w:pPr>
      <w:r>
        <w:t>gekoppelte Morph-/Slidergruppen,</w:t>
      </w:r>
    </w:p>
    <w:p>
      <w:pPr>
        <w:pStyle w:val="ListBullet"/>
        <w:spacing w:after="20"/>
      </w:pPr>
      <w:r>
        <w:t>Stabilitäts- und Regressions-Gates,</w:t>
      </w:r>
    </w:p>
    <w:p>
      <w:pPr>
        <w:pStyle w:val="ListBullet"/>
        <w:spacing w:after="20"/>
      </w:pPr>
      <w:r>
        <w:t>ANSUR-/Studienwissen als Mess- und Plausibilitätsreferenz,</w:t>
      </w:r>
    </w:p>
    <w:p>
      <w:pPr>
        <w:pStyle w:val="ListBullet"/>
        <w:spacing w:after="20"/>
      </w:pPr>
      <w:r>
        <w:t>Solver-Fehlschläge als Information über ungeeignete Freiheitsgrade und Cross-Region-Risiken.</w:t>
      </w:r>
    </w:p>
    <w:p>
      <w:pPr>
        <w:spacing w:after="6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6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spacing w:after="20"/>
      </w:pPr>
      <w:r>
        <w:t>Body Fit v1.2 aus v0.8.27.2 bleibt als bestehender Minimal-Prototyp verfügbar.</w:t>
      </w:r>
    </w:p>
    <w:p>
      <w:pPr>
        <w:pStyle w:val="ListBullet"/>
        <w:spacing w:after="20"/>
      </w:pPr>
      <w:r>
        <w:t>v0.8.28.3 setzt den Body-Bank-/Audit-Pfad mit dem ersten echten Folge-Gate fort: Phase-1-Human-Anker werden für lokale Proportionsgrenzen sowie bewusste Extrem- und Randraumfälle genutzt. Der Runtime-Lookup/Fitter bleibt weiterhin deaktiviert, bis dieser Raum ausreichend kartiert ist.</w:t>
      </w:r>
    </w:p>
    <w:p>
      <w:pPr>
        <w:pStyle w:val="Heading2"/>
      </w:pPr>
      <w:r>
        <w:t>Forschungsarchiv</w:t>
      </w:r>
    </w:p>
    <w:p>
      <w:pPr>
        <w:spacing w:after="60"/>
      </w:pPr>
      <w:r>
        <w:t>Weiter verfügbar, aber nicht automatisch Produktionsarchitektur:</w:t>
      </w:r>
    </w:p>
    <w:p>
      <w:pPr>
        <w:pStyle w:val="ListBullet"/>
        <w:spacing w:after="20"/>
      </w:pPr>
      <w:r>
        <w:t>Solver24,</w:t>
      </w:r>
    </w:p>
    <w:p>
      <w:pPr>
        <w:pStyle w:val="ListBullet"/>
        <w:spacing w:after="20"/>
      </w:pPr>
      <w:r>
        <w:t>Solver V2 Proof,</w:t>
      </w:r>
    </w:p>
    <w:p>
      <w:pPr>
        <w:pStyle w:val="ListBullet"/>
        <w:spacing w:after="20"/>
      </w:pPr>
      <w:r>
        <w:t>Real-ANSUR-Stress,</w:t>
      </w:r>
    </w:p>
    <w:p>
      <w:pPr>
        <w:pStyle w:val="ListBullet"/>
        <w:spacing w:after="20"/>
      </w:pPr>
      <w:r>
        <w:t>Pragmatic Repair / Residual Convergence,</w:t>
      </w:r>
    </w:p>
    <w:p>
      <w:pPr>
        <w:pStyle w:val="ListBullet"/>
        <w:spacing w:after="20"/>
      </w:pPr>
      <w:r>
        <w:t>Morph &lt;-&gt; Messebene Alignment,</w:t>
      </w:r>
    </w:p>
    <w:p>
      <w:pPr>
        <w:pStyle w:val="ListBullet"/>
        <w:spacing w:after="20"/>
      </w:pPr>
      <w:r>
        <w:t>Solver Shape Layer,</w:t>
      </w:r>
    </w:p>
    <w:p>
      <w:pPr>
        <w:pStyle w:val="ListBullet"/>
        <w:spacing w:after="20"/>
      </w:pPr>
      <w:r>
        <w:t>Legacy Blind Audit (</w:t>
      </w:r>
      <w:r>
        <w:rPr>
          <w:rFonts w:ascii="Consolas" w:hAnsi="Consolas"/>
          <w:sz w:val="16"/>
        </w:rPr>
        <w:t>AUDT</w:t>
      </w:r>
      <w:r>
        <w:t>).</w:t>
      </w:r>
    </w:p>
    <w:p>
      <w:pPr>
        <w:spacing w:after="6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spacing w:after="20"/>
      </w:pPr>
      <w:r>
        <w:t>Anatomische Regionen bleiben strikt getrennt; Torsomaße dürfen keine Arme fangen.</w:t>
      </w:r>
    </w:p>
    <w:p>
      <w:pPr>
        <w:pStyle w:val="ListBullet"/>
        <w:spacing w:after="20"/>
      </w:pPr>
      <w:r>
        <w:t>Symmetrische Parameter müssen bilateral konsistent wirken, sofern kein expliziter asymmetrischer Modus vorliegt.</w:t>
      </w:r>
    </w:p>
    <w:p>
      <w:pPr>
        <w:pStyle w:val="ListBullet"/>
        <w:spacing w:after="20"/>
      </w:pPr>
      <w:r>
        <w:t>Morphs dürfen nur für fachlich passende Körperregionen geroutet werden.</w:t>
      </w:r>
    </w:p>
    <w:p>
      <w:pPr>
        <w:pStyle w:val="ListBullet"/>
        <w:spacing w:after="20"/>
      </w:pPr>
      <w:r>
        <w:t>Gekoppelte Formänderungen (z. B. Width + Depth für einen Umfang) dürfen als semantischer Controller behandelt werden, wenn dies geometrisch sinnvoll ist.</w:t>
      </w:r>
    </w:p>
    <w:p>
      <w:pPr>
        <w:pStyle w:val="ListBullet"/>
        <w:spacing w:after="20"/>
      </w:pPr>
      <w:r>
        <w:t>Messfehler, Mesh-Limit, Lookup-Abdeckung und Fitterfehler müssen separat diagnostizierbar bleiben.</w:t>
      </w:r>
    </w:p>
    <w:p>
      <w:pPr>
        <w:pStyle w:val="ListBullet"/>
        <w:spacing w:after="20"/>
      </w:pPr>
      <w:r>
        <w:t>iPhone/Safari-Tauglichkeit und Resume/Persistenz sind Pflicht.</w:t>
      </w:r>
    </w:p>
    <w:p>
      <w:pPr>
        <w:pStyle w:val="Heading1"/>
      </w:pPr>
      <w:r>
        <w:t>10. Nächster Gate nach v0.8.28.3</w:t>
      </w:r>
    </w:p>
    <w:p>
      <w:pPr>
        <w:spacing w:after="60"/>
      </w:pPr>
      <w:r>
        <w:t xml:space="preserve">Der Nutzer auditiert die 400 Phase-2-Fälle und exportiert </w:t>
      </w:r>
      <w:r>
        <w:rPr>
          <w:rFonts w:ascii="Consolas" w:hAnsi="Consolas"/>
          <w:sz w:val="16"/>
        </w:rPr>
        <w:t>Sammy_BODY_BANK_PHASE2_AUDIT_*.json</w:t>
      </w:r>
      <w:r>
        <w:t>.</w:t>
      </w:r>
    </w:p>
    <w:p>
      <w:pPr>
        <w:spacing w:after="60"/>
      </w:pPr>
      <w:r>
        <w:t>Danach werden mindestens getrennt bewertet:</w:t>
      </w:r>
    </w:p>
    <w:p>
      <w:pPr>
        <w:spacing w:after="20"/>
        <w:ind w:left="312" w:hanging="227"/>
      </w:pPr>
      <w:r>
        <w:t xml:space="preserve">1. </w:t>
      </w:r>
      <w:r>
        <w:rPr>
          <w:b/>
        </w:rPr>
        <w:t>Lange-Beine-Grenze:</w:t>
      </w:r>
      <w:r>
        <w:t xml:space="preserve"> Zusammenhang zwischen </w:t>
      </w:r>
      <w:r>
        <w:rPr>
          <w:rFonts w:ascii="Consolas" w:hAnsi="Consolas"/>
          <w:sz w:val="16"/>
        </w:rPr>
        <w:t>legs-too-long</w:t>
      </w:r>
      <w:r>
        <w:t xml:space="preserve"> und den neuen exakten Rest-Rig-Kennzahlen (</w:t>
      </w:r>
      <w:r>
        <w:rPr>
          <w:rFonts w:ascii="Consolas" w:hAnsi="Consolas"/>
          <w:sz w:val="16"/>
        </w:rPr>
        <w:t>hipJointHeightRatio</w:t>
      </w:r>
      <w:r>
        <w:t xml:space="preserve">, </w:t>
      </w:r>
      <w:r>
        <w:rPr>
          <w:rFonts w:ascii="Consolas" w:hAnsi="Consolas"/>
          <w:sz w:val="16"/>
        </w:rPr>
        <w:t>legChainRatio</w:t>
      </w:r>
      <w:r>
        <w:t xml:space="preserve">, </w:t>
      </w:r>
      <w:r>
        <w:rPr>
          <w:rFonts w:ascii="Consolas" w:hAnsi="Consolas"/>
          <w:sz w:val="16"/>
        </w:rPr>
        <w:t>torsoChainRatio</w:t>
      </w:r>
      <w:r>
        <w:t>) innerhalb einzelner Körperfamilien.</w:t>
      </w:r>
    </w:p>
    <w:p>
      <w:pPr>
        <w:spacing w:after="20"/>
        <w:ind w:left="312" w:hanging="227"/>
      </w:pPr>
      <w:r>
        <w:t xml:space="preserve">2. </w:t>
      </w:r>
      <w:r>
        <w:rPr>
          <w:b/>
        </w:rPr>
        <w:t>Kontextabhängigkeit:</w:t>
      </w:r>
      <w:r>
        <w:t xml:space="preserve"> ob ähnliche Skelettverhältnisse in verschiedenen Körperfamilien unterschiedlich bewertet werden und deshalb lokale statt globale Grenzen nötig bleiben.</w:t>
      </w:r>
    </w:p>
    <w:p>
      <w:pPr>
        <w:spacing w:after="20"/>
        <w:ind w:left="312" w:hanging="227"/>
      </w:pPr>
      <w:r>
        <w:t xml:space="preserve">3. </w:t>
      </w:r>
      <w:r>
        <w:rPr>
          <w:b/>
        </w:rPr>
        <w:t>Extremraum:</w:t>
      </w:r>
      <w:r>
        <w:t xml:space="preserve"> welche der absichtlich weit getriebenen Core-Kombinationen noch plausibel sind und wo echte lokale Ablehnungsregionen beginnen.</w:t>
      </w:r>
    </w:p>
    <w:p>
      <w:pPr>
        <w:spacing w:after="20"/>
        <w:ind w:left="312" w:hanging="227"/>
      </w:pPr>
      <w:r>
        <w:t xml:space="preserve">4. </w:t>
      </w:r>
      <w:r>
        <w:rPr>
          <w:b/>
        </w:rPr>
        <w:t>Breite Randabdeckung:</w:t>
      </w:r>
      <w:r>
        <w:t xml:space="preserve"> ob außerhalb des bisherigen komfortablen Innenraums weitere plausible Inseln existieren.</w:t>
      </w:r>
    </w:p>
    <w:p>
      <w:pPr>
        <w:spacing w:after="20"/>
        <w:ind w:left="312" w:hanging="227"/>
      </w:pPr>
      <w:r>
        <w:t xml:space="preserve">5. </w:t>
      </w:r>
      <w:r>
        <w:rPr>
          <w:b/>
        </w:rPr>
        <w:t>Reviewer-Konsistenz:</w:t>
      </w:r>
      <w:r>
        <w:t xml:space="preserve"> 20 verdeckte Wiederholungen, getrennt nach Proportions-, Extrem- und Randfällen.</w:t>
      </w:r>
    </w:p>
    <w:p>
      <w:pPr>
        <w:spacing w:after="20"/>
        <w:ind w:left="312" w:hanging="227"/>
      </w:pPr>
      <w:r>
        <w:t xml:space="preserve">6. </w:t>
      </w:r>
      <w:r>
        <w:rPr>
          <w:b/>
        </w:rPr>
        <w:t>Zusammenhängender akzeptierter Raum:</w:t>
      </w:r>
      <w:r>
        <w:t xml:space="preserve"> ob genug </w:t>
      </w:r>
      <w:r>
        <w:rPr>
          <w:rFonts w:ascii="Consolas" w:hAnsi="Consolas"/>
          <w:sz w:val="16"/>
        </w:rPr>
        <w:t>HUMAN_ACCEPTED</w:t>
      </w:r>
      <w:r>
        <w:t>-Anker und lokale Übergänge für einen ersten Lookup-Prototyp vorhanden sind.</w:t>
      </w:r>
    </w:p>
    <w:p>
      <w:pPr>
        <w:spacing w:after="60"/>
      </w:pPr>
      <w:r>
        <w:t>Erst wenn diese Auswertung brauchbar ist, folgt der nächste technische Proof:</w:t>
      </w:r>
    </w:p>
    <w:p>
      <w:pPr>
        <w:pStyle w:val="ListBullet"/>
        <w:spacing w:after="20"/>
      </w:pPr>
      <w:r>
        <w:t>Top-K-Lookup auf akzeptierten Anny-Rezepten,</w:t>
      </w:r>
    </w:p>
    <w:p>
      <w:pPr>
        <w:pStyle w:val="ListBullet"/>
        <w:spacing w:after="20"/>
      </w:pPr>
      <w:r>
        <w:t>zunächst nur mit wenigen stabilen Eingaben,</w:t>
      </w:r>
    </w:p>
    <w:p>
      <w:pPr>
        <w:pStyle w:val="ListBullet"/>
        <w:spacing w:after="20"/>
      </w:pPr>
      <w:r>
        <w:t>anschließend sehr kleiner anatomisch gerouteter lokaler Fitter,</w:t>
      </w:r>
    </w:p>
    <w:p>
      <w:pPr>
        <w:pStyle w:val="ListBullet"/>
        <w:spacing w:after="20"/>
      </w:pPr>
      <w:r>
        <w:t>kein freier From-Scratch-Solver.</w:t>
      </w:r>
    </w:p>
    <w:p>
      <w:pPr>
        <w:spacing w:after="60"/>
      </w:pPr>
      <w:r>
        <w:t xml:space="preserve">Wenn die langen-Beine-Unsicherheit durch einen klaren, aber familienabhängigen Skelettbereich erklärt werden kann, wird daraus </w:t>
      </w:r>
      <w:r>
        <w:rPr>
          <w:b/>
        </w:rPr>
        <w:t>keine globale Proportions-Grenze</w:t>
      </w:r>
      <w:r>
        <w:t>, sondern ein lokaler Audit-/Korridorhinweis für die jeweilige Körperfamilie.</w:t>
      </w:r>
    </w:p>
    <w:p>
      <w:pPr>
        <w:pStyle w:val="Heading1"/>
      </w:pPr>
      <w:r>
        <w:t>11. Abbruch-/Entscheidungsregel</w:t>
      </w:r>
    </w:p>
    <w:p>
      <w:pPr>
        <w:spacing w:after="6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r>
        <w:br w:type="page"/>
      </w:r>
    </w:p>
    <w:p>
      <w:pPr>
        <w:pStyle w:val="Heading1"/>
      </w:pPr>
      <w:r>
        <w:t>12. Änderungsprotokoll</w:t>
      </w:r>
    </w:p>
    <w:tbl>
      <w:tblPr>
        <w:tblStyle w:val="TableGrid"/>
        <w:tblW w:type="auto" w:w="0"/>
        <w:jc w:val="center"/>
        <w:tblLook w:firstColumn="1" w:firstRow="1" w:lastColumn="0" w:lastRow="0" w:noHBand="0" w:noVBand="1" w:val="04A0"/>
      </w:tblPr>
      <w:tblGrid>
        <w:gridCol w:w="3400"/>
        <w:gridCol w:w="3400"/>
        <w:gridCol w:w="3400"/>
      </w:tblGrid>
      <w:tr>
        <w:trPr>
          <w:cantSplit/>
        </w:trPr>
        <w:tc>
          <w:tcPr>
            <w:tcW w:type="dxa" w:w="3400"/>
            <w:vAlign w:val="center"/>
            <w:shd w:fill="E7E9EC"/>
          </w:tcPr>
          <w:p>
            <w:pPr>
              <w:spacing w:after="0" w:before="0"/>
            </w:pPr>
            <w:r>
              <w:rPr>
                <w:rFonts w:ascii="Arial" w:hAnsi="Arial"/>
                <w:b/>
                <w:sz w:val="14"/>
              </w:rPr>
            </w:r>
            <w:r>
              <w:rPr>
                <w:rFonts w:ascii="Arial" w:hAnsi="Arial"/>
                <w:b/>
                <w:sz w:val="14"/>
              </w:rPr>
              <w:t>Version</w:t>
            </w:r>
          </w:p>
        </w:tc>
        <w:tc>
          <w:tcPr>
            <w:tcW w:type="dxa" w:w="3400"/>
            <w:vAlign w:val="center"/>
            <w:shd w:fill="E7E9EC"/>
          </w:tcPr>
          <w:p>
            <w:pPr>
              <w:spacing w:after="0" w:before="0"/>
            </w:pPr>
            <w:r>
              <w:rPr>
                <w:rFonts w:ascii="Arial" w:hAnsi="Arial"/>
                <w:b/>
                <w:sz w:val="14"/>
              </w:rPr>
            </w:r>
            <w:r>
              <w:rPr>
                <w:rFonts w:ascii="Arial" w:hAnsi="Arial"/>
                <w:b/>
                <w:sz w:val="14"/>
              </w:rPr>
              <w:t>Datum</w:t>
            </w:r>
          </w:p>
        </w:tc>
        <w:tc>
          <w:tcPr>
            <w:tcW w:type="dxa" w:w="3400"/>
            <w:vAlign w:val="center"/>
            <w:shd w:fill="E7E9EC"/>
          </w:tcPr>
          <w:p>
            <w:pPr>
              <w:spacing w:after="0" w:before="0"/>
            </w:pPr>
            <w:r>
              <w:rPr>
                <w:rFonts w:ascii="Arial" w:hAnsi="Arial"/>
                <w:b/>
                <w:sz w:val="14"/>
              </w:rPr>
            </w:r>
            <w:r>
              <w:rPr>
                <w:rFonts w:ascii="Arial" w:hAnsi="Arial"/>
                <w:b/>
                <w:sz w:val="14"/>
              </w:rPr>
              <w:t>Änderung</w:t>
            </w:r>
          </w:p>
        </w:tc>
      </w:tr>
      <w:tr>
        <w:trPr>
          <w:cantSplit/>
        </w:trPr>
        <w:tc>
          <w:tcPr>
            <w:tcW w:type="dxa" w:w="3400"/>
            <w:vAlign w:val="center"/>
          </w:tcPr>
          <w:p>
            <w:pPr>
              <w:spacing w:after="0" w:before="0"/>
            </w:pPr>
            <w:r>
              <w:rPr>
                <w:rFonts w:ascii="Arial" w:hAnsi="Arial"/>
                <w:b w:val="0"/>
                <w:sz w:val="14"/>
              </w:rPr>
            </w:r>
            <w:r>
              <w:rPr>
                <w:rFonts w:ascii="Arial" w:hAnsi="Arial"/>
                <w:b w:val="0"/>
                <w:sz w:val="14"/>
              </w:rPr>
              <w:t>0.1</w:t>
            </w:r>
          </w:p>
        </w:tc>
        <w:tc>
          <w:tcPr>
            <w:tcW w:type="dxa" w:w="3400"/>
            <w:vAlign w:val="center"/>
          </w:tcPr>
          <w:p>
            <w:pPr>
              <w:spacing w:after="0" w:before="0"/>
            </w:pPr>
            <w:r>
              <w:rPr>
                <w:rFonts w:ascii="Arial" w:hAnsi="Arial"/>
                <w:b w:val="0"/>
                <w:sz w:val="14"/>
              </w:rPr>
            </w:r>
            <w:r>
              <w:rPr>
                <w:rFonts w:ascii="Arial" w:hAnsi="Arial"/>
                <w:b w:val="0"/>
                <w:sz w:val="14"/>
              </w:rPr>
              <w:t>22.08.2026</w:t>
            </w:r>
          </w:p>
        </w:tc>
        <w:tc>
          <w:tcPr>
            <w:tcW w:type="dxa" w:w="3400"/>
            <w:vAlign w:val="center"/>
          </w:tcPr>
          <w:p>
            <w:pPr>
              <w:spacing w:after="0" w:before="0"/>
            </w:pPr>
            <w:r>
              <w:rPr>
                <w:rFonts w:ascii="Arial" w:hAnsi="Arial"/>
                <w:b w:val="0"/>
                <w:sz w:val="14"/>
              </w:rPr>
            </w:r>
            <w:r>
              <w:rPr>
                <w:rFonts w:ascii="Arial" w:hAnsi="Arial"/>
                <w:b w:val="0"/>
                <w:sz w:val="14"/>
              </w:rPr>
              <w:t>Master State eingeführt; Landmark-/Messpipeline als damaliger Schwerpunkt dokumentiert.</w:t>
            </w:r>
          </w:p>
        </w:tc>
      </w:tr>
      <w:tr>
        <w:trPr>
          <w:cantSplit/>
        </w:trPr>
        <w:tc>
          <w:tcPr>
            <w:tcW w:type="dxa" w:w="3400"/>
            <w:vAlign w:val="center"/>
          </w:tcPr>
          <w:p>
            <w:pPr>
              <w:spacing w:after="0" w:before="0"/>
            </w:pPr>
            <w:r>
              <w:rPr>
                <w:rFonts w:ascii="Arial" w:hAnsi="Arial"/>
                <w:b w:val="0"/>
                <w:sz w:val="14"/>
              </w:rPr>
            </w:r>
            <w:r>
              <w:rPr>
                <w:rFonts w:ascii="Arial" w:hAnsi="Arial"/>
                <w:b w:val="0"/>
                <w:sz w:val="14"/>
              </w:rPr>
              <w:t>0.2</w:t>
            </w:r>
          </w:p>
        </w:tc>
        <w:tc>
          <w:tcPr>
            <w:tcW w:type="dxa" w:w="3400"/>
            <w:vAlign w:val="center"/>
          </w:tcPr>
          <w:p>
            <w:pPr>
              <w:spacing w:after="0" w:before="0"/>
            </w:pPr>
            <w:r>
              <w:rPr>
                <w:rFonts w:ascii="Arial" w:hAnsi="Arial"/>
                <w:b w:val="0"/>
                <w:sz w:val="14"/>
              </w:rPr>
            </w:r>
            <w:r>
              <w:rPr>
                <w:rFonts w:ascii="Arial" w:hAnsi="Arial"/>
                <w:b w:val="0"/>
                <w:sz w:val="14"/>
              </w:rPr>
              <w:t>28.08.2026</w:t>
            </w:r>
          </w:p>
        </w:tc>
        <w:tc>
          <w:tcPr>
            <w:tcW w:type="dxa" w:w="3400"/>
            <w:vAlign w:val="center"/>
          </w:tcPr>
          <w:p>
            <w:pPr>
              <w:spacing w:after="0" w:before="0"/>
            </w:pPr>
            <w:r>
              <w:rPr>
                <w:rFonts w:ascii="Arial" w:hAnsi="Arial"/>
                <w:b w:val="0"/>
                <w:sz w:val="14"/>
              </w:rPr>
            </w:r>
            <w:r>
              <w:rPr>
                <w:rFonts w:ascii="Arial" w:hAnsi="Arial"/>
                <w:b w:val="0"/>
                <w:sz w:val="14"/>
              </w:rPr>
              <w:t>Auf aktuellen Projektstand konsolidiert. From-Scratch-Solver nicht mehr bevorzugter Produktpfad; Audited Body Bank / lokale Körperfamilien als neue Hauptarchitektur. BODY BANK AUDIT PoC v0.8.28.0 und verpflichtende synchronisierte Master-State-/SAMMY_CURRENT-Exports festgelegt.</w:t>
            </w:r>
          </w:p>
        </w:tc>
      </w:tr>
      <w:tr>
        <w:trPr>
          <w:cantSplit/>
        </w:trPr>
        <w:tc>
          <w:tcPr>
            <w:tcW w:type="dxa" w:w="3400"/>
            <w:vAlign w:val="center"/>
          </w:tcPr>
          <w:p>
            <w:pPr>
              <w:spacing w:after="0" w:before="0"/>
            </w:pPr>
            <w:r>
              <w:rPr>
                <w:rFonts w:ascii="Arial" w:hAnsi="Arial"/>
                <w:b w:val="0"/>
                <w:sz w:val="14"/>
              </w:rPr>
            </w:r>
            <w:r>
              <w:rPr>
                <w:rFonts w:ascii="Arial" w:hAnsi="Arial"/>
                <w:b w:val="0"/>
                <w:sz w:val="14"/>
              </w:rPr>
              <w:t>0.3</w:t>
            </w:r>
          </w:p>
        </w:tc>
        <w:tc>
          <w:tcPr>
            <w:tcW w:type="dxa" w:w="3400"/>
            <w:vAlign w:val="center"/>
          </w:tcPr>
          <w:p>
            <w:pPr>
              <w:spacing w:after="0" w:before="0"/>
            </w:pPr>
            <w:r>
              <w:rPr>
                <w:rFonts w:ascii="Arial" w:hAnsi="Arial"/>
                <w:b w:val="0"/>
                <w:sz w:val="14"/>
              </w:rPr>
            </w:r>
            <w:r>
              <w:rPr>
                <w:rFonts w:ascii="Arial" w:hAnsi="Arial"/>
                <w:b w:val="0"/>
                <w:sz w:val="14"/>
              </w:rPr>
              <w:t>28.08.2026</w:t>
            </w:r>
          </w:p>
        </w:tc>
        <w:tc>
          <w:tcPr>
            <w:tcW w:type="dxa" w:w="3400"/>
            <w:vAlign w:val="center"/>
          </w:tcPr>
          <w:p>
            <w:pPr>
              <w:spacing w:after="0" w:before="0"/>
            </w:pPr>
            <w:r>
              <w:rPr>
                <w:rFonts w:ascii="Arial" w:hAnsi="Arial"/>
                <w:b w:val="0"/>
                <w:sz w:val="14"/>
              </w:rPr>
            </w:r>
            <w:r>
              <w:rPr>
                <w:rFonts w:ascii="Arial" w:hAnsi="Arial"/>
                <w:b w:val="0"/>
                <w:sz w:val="14"/>
              </w:rPr>
              <w:t xml:space="preserve">GitHub Pages Hotfix v0.8.28.1: Cache-Busting-/Versionsdrift aus v0.8.28.0 korrigiert; synchroner HTML/JS/CSS-Deployment-Gate und </w:t>
            </w:r>
            <w:r>
              <w:rPr>
                <w:rFonts w:ascii="Arial" w:hAnsi="Arial"/>
                <w:b w:val="0"/>
                <w:sz w:val="14"/>
              </w:rPr>
              <w:t>.nojekyll</w:t>
            </w:r>
            <w:r>
              <w:rPr>
                <w:rFonts w:ascii="Arial" w:hAnsi="Arial"/>
                <w:b w:val="0"/>
                <w:sz w:val="14"/>
              </w:rPr>
              <w:t xml:space="preserve"> als Exportregel ergänzt.</w:t>
            </w:r>
          </w:p>
        </w:tc>
      </w:tr>
      <w:tr>
        <w:trPr>
          <w:cantSplit/>
        </w:trPr>
        <w:tc>
          <w:tcPr>
            <w:tcW w:type="dxa" w:w="3400"/>
            <w:vAlign w:val="center"/>
          </w:tcPr>
          <w:p>
            <w:pPr>
              <w:spacing w:after="0" w:before="0"/>
            </w:pPr>
            <w:r>
              <w:rPr>
                <w:rFonts w:ascii="Arial" w:hAnsi="Arial"/>
                <w:b w:val="0"/>
                <w:sz w:val="14"/>
              </w:rPr>
            </w:r>
            <w:r>
              <w:rPr>
                <w:rFonts w:ascii="Arial" w:hAnsi="Arial"/>
                <w:b w:val="0"/>
                <w:sz w:val="14"/>
              </w:rPr>
              <w:t>0.4</w:t>
            </w:r>
          </w:p>
        </w:tc>
        <w:tc>
          <w:tcPr>
            <w:tcW w:type="dxa" w:w="3400"/>
            <w:vAlign w:val="center"/>
          </w:tcPr>
          <w:p>
            <w:pPr>
              <w:spacing w:after="0" w:before="0"/>
            </w:pPr>
            <w:r>
              <w:rPr>
                <w:rFonts w:ascii="Arial" w:hAnsi="Arial"/>
                <w:b w:val="0"/>
                <w:sz w:val="14"/>
              </w:rPr>
            </w:r>
            <w:r>
              <w:rPr>
                <w:rFonts w:ascii="Arial" w:hAnsi="Arial"/>
                <w:b w:val="0"/>
                <w:sz w:val="14"/>
              </w:rPr>
              <w:t>28.08.2026</w:t>
            </w:r>
          </w:p>
        </w:tc>
        <w:tc>
          <w:tcPr>
            <w:tcW w:type="dxa" w:w="3400"/>
            <w:vAlign w:val="center"/>
          </w:tcPr>
          <w:p>
            <w:pPr>
              <w:spacing w:after="0" w:before="0"/>
            </w:pPr>
            <w:r>
              <w:rPr>
                <w:rFonts w:ascii="Arial" w:hAnsi="Arial"/>
                <w:b w:val="0"/>
                <w:sz w:val="14"/>
              </w:rPr>
            </w:r>
            <w:r>
              <w:rPr>
                <w:rFonts w:ascii="Arial" w:hAnsi="Arial"/>
                <w:b w:val="0"/>
                <w:sz w:val="14"/>
              </w:rPr>
              <w:t>BODY BANK v0.8.28.2: manueller Zoom/Orbit bleibt über Personenwechsel erhalten; nur expliziter Viewport-Wechsel reframed. Statische Posen, Gang-/Stress-Loops und importierte Animationen direkt im Audit. Review-Kontext wird gespeichert; numerische Audit-Snapshots sind pose-unabhängig.</w:t>
            </w:r>
          </w:p>
        </w:tc>
      </w:tr>
      <w:tr>
        <w:trPr>
          <w:cantSplit/>
        </w:trPr>
        <w:tc>
          <w:tcPr>
            <w:tcW w:type="dxa" w:w="3400"/>
            <w:vAlign w:val="center"/>
          </w:tcPr>
          <w:p>
            <w:pPr>
              <w:spacing w:after="0" w:before="0"/>
            </w:pPr>
            <w:r>
              <w:rPr>
                <w:rFonts w:ascii="Arial" w:hAnsi="Arial"/>
                <w:b w:val="0"/>
                <w:sz w:val="14"/>
              </w:rPr>
            </w:r>
            <w:r>
              <w:rPr>
                <w:rFonts w:ascii="Arial" w:hAnsi="Arial"/>
                <w:b w:val="0"/>
                <w:sz w:val="14"/>
              </w:rPr>
              <w:t>0.5</w:t>
            </w:r>
          </w:p>
        </w:tc>
        <w:tc>
          <w:tcPr>
            <w:tcW w:type="dxa" w:w="3400"/>
            <w:vAlign w:val="center"/>
          </w:tcPr>
          <w:p>
            <w:pPr>
              <w:spacing w:after="0" w:before="0"/>
            </w:pPr>
            <w:r>
              <w:rPr>
                <w:rFonts w:ascii="Arial" w:hAnsi="Arial"/>
                <w:b w:val="0"/>
                <w:sz w:val="14"/>
              </w:rPr>
            </w:r>
            <w:r>
              <w:rPr>
                <w:rFonts w:ascii="Arial" w:hAnsi="Arial"/>
                <w:b w:val="0"/>
                <w:sz w:val="14"/>
              </w:rPr>
              <w:t>28.08.2026</w:t>
            </w:r>
          </w:p>
        </w:tc>
        <w:tc>
          <w:tcPr>
            <w:tcW w:type="dxa" w:w="3400"/>
            <w:vAlign w:val="center"/>
          </w:tcPr>
          <w:p>
            <w:pPr>
              <w:spacing w:after="0" w:before="0"/>
            </w:pPr>
            <w:r>
              <w:rPr>
                <w:rFonts w:ascii="Arial" w:hAnsi="Arial"/>
                <w:b w:val="0"/>
                <w:sz w:val="14"/>
              </w:rPr>
            </w:r>
            <w:r>
              <w:rPr>
                <w:rFonts w:ascii="Arial" w:hAnsi="Arial"/>
                <w:b w:val="0"/>
                <w:sz w:val="14"/>
              </w:rPr>
              <w:t xml:space="preserve">BODY BANK v0.8.28.3: Phase-1-Audit konsolidiert; alle Unsicherheiten als nutzerbestätigtes </w:t>
            </w:r>
            <w:r>
              <w:rPr>
                <w:rFonts w:ascii="Arial" w:hAnsi="Arial"/>
                <w:b w:val="0"/>
                <w:sz w:val="14"/>
              </w:rPr>
              <w:t>legs-too-long</w:t>
            </w:r>
            <w:r>
              <w:rPr>
                <w:rFonts w:ascii="Arial" w:hAnsi="Arial"/>
                <w:b w:val="0"/>
                <w:sz w:val="14"/>
              </w:rPr>
              <w:t>-Signal dokumentiert. Neuer 400er Grenz-/Extremraum (160 Proportionsfamilien, 160 Extremfälle, 60 breite Randfälle, 20 verdeckte Wiederholungen). Fehleranfällige Phase-1-Umfangssnapshots aus dem Bank-Pfad entfernt; stattdessen exakte Anny-Rest-Rig-Bein/Torso-Verhältnisse. Optionaler persistenter Schnellgrund ohne Kommentarzwang.</w:t>
            </w:r>
          </w:p>
        </w:tc>
      </w:tr>
    </w:tbl>
    <w:sectPr w:rsidR="00FC693F" w:rsidRPr="0006063C" w:rsidSect="00034616">
      <w:headerReference w:type="default" r:id="rId9"/>
      <w:footerReference w:type="default" r:id="rId10"/>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5"/>
      </w:rPr>
      <w:t>Kanonischer Projektstand · App v0.8.28.3 · 28.08.2026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15"/>
      </w:rPr>
      <w:t>SAMMY / BODY LAB · MASTER STATE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