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SAMMY / BODY LAB / SOMA-LAB · MASTER STATE</w:t>
      </w:r>
    </w:p>
    <w:p>
      <w:pPr/>
      <w:r>
        <w:rPr>
          <w:b/>
        </w:rPr>
        <w:t>Kanonischer Projektstand · Version 0.11 · 29.08.2026 · App v0.8.29.3</w:t>
      </w:r>
    </w:p>
    <w:p>
      <w:pPr>
        <w:pStyle w:val="Heading1"/>
      </w:pPr>
      <w:r>
        <w:t>1. Verbindliche Projektpflege</w:t>
      </w:r>
    </w:p>
    <w:p>
      <w:pPr>
        <w:pStyle w:val="ListBullet"/>
      </w:pPr>
      <w:r>
        <w:t>Dieser Master State ist die kanonische Zusammenfassung des aktuellen Projektstands.</w:t>
      </w:r>
    </w:p>
    <w:p>
      <w:pPr>
        <w:pStyle w:val="ListBullet"/>
      </w:pPr>
      <w:r>
        <w:rPr>
          <w:b/>
        </w:rPr>
        <w:t>Jeder neue SAMMY-Export aktualisiert im selben Arbeitsschritt den Master State.</w:t>
      </w:r>
      <w:r>
        <w:t xml:space="preserve"> Ein Release ohne synchronen Master State gilt nicht als vollständiger Projektstand.</w:t>
      </w:r>
    </w:p>
    <w:p>
      <w:pPr>
        <w:pStyle w:val="ListBullet"/>
      </w:pPr>
      <w:r>
        <w:t xml:space="preserve">Zusätzlich wird bei jedem Export </w:t>
      </w:r>
      <w:r>
        <w:rPr>
          <w:rFonts w:ascii="Aptos Mono" w:hAnsi="Aptos Mono"/>
          <w:sz w:val="17"/>
        </w:rPr>
        <w:t>SAMMY_CURRENT.zip</w:t>
      </w:r>
      <w:r>
        <w:t xml:space="preserve"> auf die neue vollständige Version gesetzt, </w:t>
      </w:r>
      <w:r>
        <w:rPr>
          <w:rFonts w:ascii="Aptos Mono" w:hAnsi="Aptos Mono"/>
          <w:sz w:val="17"/>
        </w:rPr>
        <w:t>SAMMY_GITHUB_CURRENT.zip</w:t>
      </w:r>
      <w:r>
        <w:t xml:space="preserve"> auf die kompakte GitHub-Fassung gesetzt und </w:t>
      </w:r>
      <w:r>
        <w:rPr>
          <w:rFonts w:ascii="Aptos Mono" w:hAnsi="Aptos Mono"/>
          <w:sz w:val="17"/>
        </w:rPr>
        <w:t>SAMMY_CURRENT_VERSION.txt</w:t>
      </w:r>
      <w:r>
        <w:t xml:space="preserve"> aktualisiert. Die GitHub-Fassung bleibt unter 100 direkt sichtbaren Dateien; ältere Release-Historie darf dafür als internes History-Archiv gebündelt werden.</w:t>
      </w:r>
    </w:p>
    <w:p>
      <w:pPr>
        <w:pStyle w:val="ListBullet"/>
      </w:pPr>
      <w:r>
        <w:t xml:space="preserve">Neue Arbeit startet ausschließlich von </w:t>
      </w:r>
      <w:r>
        <w:rPr>
          <w:rFonts w:ascii="Aptos Mono" w:hAnsi="Aptos Mono"/>
          <w:sz w:val="17"/>
        </w:rPr>
        <w:t>SAMMY_CURRENT</w:t>
      </w:r>
      <w:r>
        <w:t xml:space="preserve"> bzw. der dort genannten Version.</w:t>
      </w:r>
    </w:p>
    <w:p>
      <w:pPr>
        <w:pStyle w:val="ListBullet"/>
      </w:pPr>
      <w:r>
        <w:t>Ersetzte Ansätze bleiben nur als Forschungsarchiv erhalten und dürfen nicht ungeprüft wieder als Hauptpfad vorgeschlagen werden.</w:t>
      </w:r>
    </w:p>
    <w:p>
      <w:pPr>
        <w:pStyle w:val="Heading1"/>
      </w:pPr>
      <w:r>
        <w:t>2. Produktziel</w:t>
      </w:r>
    </w:p>
    <w:p>
      <w:pPr/>
      <w:r>
        <w:t xml:space="preserve">SAMMY ist ein Tool, das aus </w:t>
      </w:r>
      <w:r>
        <w:rPr>
          <w:b/>
        </w:rPr>
        <w:t>wenigen Nutzereingaben</w:t>
      </w:r>
      <w:r>
        <w:t xml:space="preserve"> halbwegs verlässliche grundlegende Körpermaße und einen dazu passenden plausiblen Avatar liefern soll.</w:t>
      </w:r>
    </w:p>
    <w:p>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pPr>
      <w:r>
        <w:t>3. Aktuelle Architekturentscheidung</w:t>
      </w:r>
    </w:p>
    <w:p>
      <w:pPr>
        <w:pStyle w:val="Heading2"/>
      </w:pPr>
      <w:r>
        <w:t>3.1 Kein freier From-Scratch-Solver als primärer Produktionspfad</w:t>
      </w:r>
    </w:p>
    <w:p>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pPr>
      <w:r>
        <w:t>3.2 Neuer Zielpfad: Audited Body Bank -&gt; Lookup -&gt; kleiner lokaler Fitter</w:t>
      </w:r>
    </w:p>
    <w:p>
      <w:pPr/>
      <w:r>
        <w:t>Der bevorzugte neue Architekturpfad lautet:</w:t>
      </w:r>
    </w:p>
    <w:p>
      <w:pPr>
        <w:ind w:left="198" w:hanging="198"/>
      </w:pPr>
      <w:r>
        <w:t>1. Offline bzw. vorab viele reproduzierbare Anny-Körperrezepte erzeugen.</w:t>
      </w:r>
    </w:p>
    <w:p>
      <w:pPr>
        <w:ind w:left="198" w:hanging="198"/>
      </w:pPr>
      <w:r>
        <w:t>2. Körper technisch und visuell auditieren.</w:t>
      </w:r>
    </w:p>
    <w:p>
      <w:pPr>
        <w:ind w:left="198" w:hanging="198"/>
      </w:pPr>
      <w:r>
        <w:t xml:space="preserve">3. Akzeptierte Körper als Anker eines </w:t>
      </w:r>
      <w:r>
        <w:rPr>
          <w:b/>
        </w:rPr>
        <w:t>auditierten, kontextabhängigen Körperraums</w:t>
      </w:r>
      <w:r>
        <w:t xml:space="preserve"> speichern.</w:t>
      </w:r>
    </w:p>
    <w:p>
      <w:pPr>
        <w:ind w:left="198" w:hanging="198"/>
      </w:pPr>
      <w:r>
        <w:t>4. Zur Laufzeit aus wenigen Nutzerdaten einen nahen bekannten Körper auswählen.</w:t>
      </w:r>
    </w:p>
    <w:p>
      <w:pPr>
        <w:ind w:left="198" w:hanging="198"/>
      </w:pPr>
      <w:r>
        <w:t>5. Nur noch kleine lokale Iterationen von diesem nahen Startkörper aus erlauben.</w:t>
      </w:r>
    </w:p>
    <w:p>
      <w:pPr/>
      <w:r>
        <w:t>Der lokale Fitter darf keine anatomisch fremden Morphs als Rettung benutzen. Ein Brust-Controller darf beispielsweise nicht zur Korrektur eines Oberschenkelziels herangezogen werden.</w:t>
      </w:r>
    </w:p>
    <w:p>
      <w:pPr>
        <w:pStyle w:val="Heading1"/>
      </w:pPr>
      <w:r>
        <w:t>4. Audited Body Graph / Körperfamilien</w:t>
      </w:r>
    </w:p>
    <w:p>
      <w:pPr/>
      <w:r>
        <w:t xml:space="preserve">Eine menschliche Bewertung gilt </w:t>
      </w:r>
      <w:r>
        <w:rPr>
          <w:b/>
        </w:rPr>
        <w:t>nicht global für einen Sliderwert</w:t>
      </w:r>
      <w:r>
        <w:t>.</w:t>
      </w:r>
    </w:p>
    <w:p>
      <w:pPr/>
      <w:r>
        <w:t>Beispiel: Wenn ein größerer Oberschenkel bei Körperfamilie A unplausibel aussieht, darf daraus nicht folgen, dass derselbe Oberschenkelwert bei Körperfamilie B unzulässig ist.</w:t>
      </w:r>
    </w:p>
    <w:p>
      <w:pPr/>
      <w:r>
        <w:t>Daher werden Auditinformationen an folgende Kontexte gebunden:</w:t>
      </w:r>
    </w:p>
    <w:p>
      <w:pPr>
        <w:pStyle w:val="ListBullet"/>
      </w:pPr>
      <w:r>
        <w:t>vollständiges Anny-Rezept des Körpers,</w:t>
      </w:r>
    </w:p>
    <w:p>
      <w:pPr>
        <w:pStyle w:val="ListBullet"/>
      </w:pPr>
      <w:r>
        <w:t xml:space="preserve">lokale </w:t>
      </w:r>
      <w:r>
        <w:rPr>
          <w:rFonts w:ascii="Aptos Mono" w:hAnsi="Aptos Mono"/>
          <w:sz w:val="17"/>
        </w:rPr>
        <w:t>familyId</w:t>
      </w:r>
      <w:r>
        <w:t>,</w:t>
      </w:r>
    </w:p>
    <w:p>
      <w:pPr>
        <w:pStyle w:val="ListBullet"/>
      </w:pPr>
      <w:r>
        <w:t>konkrete Ausgangs-/Zielkörper,</w:t>
      </w:r>
    </w:p>
    <w:p>
      <w:pPr>
        <w:pStyle w:val="ListBullet"/>
      </w:pPr>
      <w:r>
        <w:t>konkrete Änderungsrichtung und Distanz, sobald lokale Kanten getestet werden.</w:t>
      </w:r>
    </w:p>
    <w:p>
      <w:pPr/>
      <w:r>
        <w:t>Statusmodell:</w:t>
      </w:r>
    </w:p>
    <w:p>
      <w:pPr>
        <w:pStyle w:val="ListBullet"/>
      </w:pPr>
      <w:r>
        <w:rPr>
          <w:rFonts w:ascii="Aptos Mono" w:hAnsi="Aptos Mono"/>
          <w:sz w:val="17"/>
        </w:rPr>
        <w:t>HUMAN_ACCEPTED</w:t>
      </w:r>
      <w:r>
        <w:t>: visuell akzeptierter Ankerkörper.</w:t>
      </w:r>
    </w:p>
    <w:p>
      <w:pPr>
        <w:pStyle w:val="ListBullet"/>
      </w:pPr>
      <w:r>
        <w:rPr>
          <w:rFonts w:ascii="Aptos Mono" w:hAnsi="Aptos Mono"/>
          <w:sz w:val="17"/>
        </w:rPr>
        <w:t>UNCERTAIN</w:t>
      </w:r>
      <w:r>
        <w:t>: keine positive oder negative Regel ableiten.</w:t>
      </w:r>
    </w:p>
    <w:p>
      <w:pPr>
        <w:pStyle w:val="ListBullet"/>
      </w:pPr>
      <w:r>
        <w:rPr>
          <w:rFonts w:ascii="Aptos Mono" w:hAnsi="Aptos Mono"/>
          <w:sz w:val="17"/>
        </w:rPr>
        <w:t>REJECTED_LOCAL</w:t>
      </w:r>
      <w:r>
        <w:t>: lokaler negativer Referenzpunkt; kein globales Verbot.</w:t>
      </w:r>
    </w:p>
    <w:p>
      <w:pPr>
        <w:pStyle w:val="ListBullet"/>
      </w:pPr>
      <w:r>
        <w:rPr>
          <w:rFonts w:ascii="Aptos Mono" w:hAnsi="Aptos Mono"/>
          <w:sz w:val="17"/>
        </w:rPr>
        <w:t>SAFE_EDGE</w:t>
      </w:r>
      <w:r>
        <w:t xml:space="preserve"> (spätere Phase): kleine Verbindung zwischen nahen akzeptierten Körpern, deren Zwischenstufen geprüft wurden.</w:t>
      </w:r>
    </w:p>
    <w:p>
      <w:pPr/>
      <w:r>
        <w:t>Zwei akzeptierte Endpunkte garantieren nicht automatisch, dass jede Interpolation dazwischen gültig ist. Zwischenstufen müssen separat technisch geprüft und bei Bedarf human auditiert werden.</w:t>
      </w:r>
    </w:p>
    <w:p>
      <w:pPr>
        <w:pStyle w:val="Heading1"/>
      </w:pPr>
      <w:r>
        <w:t>5. Aktueller Build v0.8.29.3 · BODY BANK SOLVER · PROOF HARDENING 1.1</w:t>
      </w:r>
    </w:p>
    <w:p>
      <w:pPr>
        <w:pStyle w:val="Heading2"/>
      </w:pPr>
      <w:r>
        <w:t>5.1 Kanonische Body Bank</w:t>
      </w:r>
    </w:p>
    <w:p>
      <w:pPr/>
      <w:r>
        <w:t xml:space="preserve">Der kanonische </w:t>
      </w:r>
      <w:r>
        <w:rPr>
          <w:rFonts w:ascii="Aptos Mono" w:hAnsi="Aptos Mono"/>
          <w:sz w:val="17"/>
        </w:rPr>
        <w:t>body-bank-index-v1.json</w:t>
      </w:r>
      <w:r>
        <w:t xml:space="preserve"> bleibt bei </w:t>
      </w:r>
      <w:r>
        <w:rPr>
          <w:b/>
        </w:rPr>
        <w:t>397 eindeutigen Nodes</w:t>
      </w:r>
      <w:r>
        <w:t xml:space="preserve"> aus Phase 2 plus dem abgeschlossenen 32er ACTIVE-Audit:</w:t>
      </w:r>
    </w:p>
    <w:p>
      <w:pPr>
        <w:pStyle w:val="ListBullet"/>
      </w:pPr>
      <w:r>
        <w:t xml:space="preserve">269 </w:t>
      </w:r>
      <w:r>
        <w:rPr>
          <w:rFonts w:ascii="Aptos Mono" w:hAnsi="Aptos Mono"/>
          <w:sz w:val="17"/>
        </w:rPr>
        <w:t>trusted</w:t>
      </w:r>
      <w:r>
        <w:t>,</w:t>
      </w:r>
    </w:p>
    <w:p>
      <w:pPr>
        <w:pStyle w:val="ListBullet"/>
      </w:pPr>
      <w:r>
        <w:t xml:space="preserve">91 </w:t>
      </w:r>
      <w:r>
        <w:rPr>
          <w:rFonts w:ascii="Aptos Mono" w:hAnsi="Aptos Mono"/>
          <w:sz w:val="17"/>
        </w:rPr>
        <w:t>frontier</w:t>
      </w:r>
      <w:r>
        <w:t>,</w:t>
      </w:r>
    </w:p>
    <w:p>
      <w:pPr>
        <w:pStyle w:val="ListBullet"/>
      </w:pPr>
      <w:r>
        <w:t xml:space="preserve">37 </w:t>
      </w:r>
      <w:r>
        <w:rPr>
          <w:rFonts w:ascii="Aptos Mono" w:hAnsi="Aptos Mono"/>
          <w:sz w:val="17"/>
        </w:rPr>
        <w:t>negative</w:t>
      </w:r>
      <w:r>
        <w:t>,</w:t>
      </w:r>
    </w:p>
    <w:p>
      <w:pPr>
        <w:pStyle w:val="ListBullet"/>
      </w:pPr>
      <w:r>
        <w:t xml:space="preserve">0 </w:t>
      </w:r>
      <w:r>
        <w:rPr>
          <w:rFonts w:ascii="Aptos Mono" w:hAnsi="Aptos Mono"/>
          <w:sz w:val="17"/>
        </w:rPr>
        <w:t>unchecked</w:t>
      </w:r>
      <w:r>
        <w:t>.</w:t>
      </w:r>
    </w:p>
    <w:p>
      <w:pPr/>
      <w:r>
        <w:rPr>
          <w:rFonts w:ascii="Aptos Mono" w:hAnsi="Aptos Mono"/>
          <w:sz w:val="17"/>
        </w:rPr>
        <w:t>negative</w:t>
      </w:r>
      <w:r>
        <w:t xml:space="preserve"> bleibt lokales Negativwissen. Kein Audit-Vote wird in eine globale Slidergrenze übersetzt. Der bekannte fehlerhafte </w:t>
      </w:r>
      <w:r>
        <w:rPr>
          <w:rFonts w:ascii="Aptos Mono" w:hAnsi="Aptos Mono"/>
          <w:sz w:val="17"/>
        </w:rPr>
        <w:t>shoulderJointBreadth</w:t>
      </w:r>
      <w:r>
        <w:t>-Proxy bleibt aus Retrieval und Auto-Gates ausgeschlossen.</w:t>
      </w:r>
    </w:p>
    <w:p>
      <w:pPr>
        <w:pStyle w:val="Heading2"/>
      </w:pPr>
      <w:r>
        <w:t>5.2 Bisherige Solver-Evidenz</w:t>
      </w:r>
    </w:p>
    <w:p>
      <w:pPr/>
      <w:r>
        <w:t>Der erste 8er Proof aus v0.8.29.0 unterstützte die Architekturhypothese bereits deutlich, war aber wegen eines offensichtlich falschen Brust-Snapshots noch nicht als sauberer Solverbeweis geeignet.</w:t>
      </w:r>
    </w:p>
    <w:p>
      <w:pPr/>
      <w:r>
        <w:t>Der reparierte Proof v1.1 unter v0.8.29.2 ergab:</w:t>
      </w:r>
    </w:p>
    <w:p>
      <w:pPr>
        <w:pStyle w:val="ListBullet"/>
      </w:pPr>
      <w:r>
        <w:t xml:space="preserve">Neutral-Median: </w:t>
      </w:r>
      <w:r>
        <w:rPr>
          <w:rFonts w:ascii="Aptos Mono" w:hAnsi="Aptos Mono"/>
          <w:sz w:val="17"/>
        </w:rPr>
        <w:t>0.45745</w:t>
      </w:r>
      <w:r>
        <w:t>,</w:t>
      </w:r>
    </w:p>
    <w:p>
      <w:pPr>
        <w:pStyle w:val="ListBullet"/>
      </w:pPr>
      <w:r>
        <w:t xml:space="preserve">Body-Bank-Retrieval-Median: </w:t>
      </w:r>
      <w:r>
        <w:rPr>
          <w:rFonts w:ascii="Aptos Mono" w:hAnsi="Aptos Mono"/>
          <w:sz w:val="17"/>
        </w:rPr>
        <w:t>0.115095</w:t>
      </w:r>
      <w:r>
        <w:t>,</w:t>
      </w:r>
    </w:p>
    <w:p>
      <w:pPr>
        <w:pStyle w:val="ListBullet"/>
      </w:pPr>
      <w:r>
        <w:t xml:space="preserve">Local-Fit-Median: </w:t>
      </w:r>
      <w:r>
        <w:rPr>
          <w:rFonts w:ascii="Aptos Mono" w:hAnsi="Aptos Mono"/>
          <w:sz w:val="17"/>
        </w:rPr>
        <w:t>0.115095</w:t>
      </w:r>
      <w:r>
        <w:t>,</w:t>
      </w:r>
    </w:p>
    <w:p>
      <w:pPr>
        <w:pStyle w:val="ListBullet"/>
      </w:pPr>
      <w:r>
        <w:t>Retrieval besser als neutral: 6/8,</w:t>
      </w:r>
    </w:p>
    <w:p>
      <w:pPr>
        <w:pStyle w:val="ListBullet"/>
      </w:pPr>
      <w:r>
        <w:t>Local Fit nicht schlechter als Retrieval: 8/8,</w:t>
      </w:r>
    </w:p>
    <w:p>
      <w:pPr>
        <w:pStyle w:val="ListBullet"/>
      </w:pPr>
      <w:r>
        <w:t>Local Fit tatsächlich verbessert: 1/8,</w:t>
      </w:r>
    </w:p>
    <w:p>
      <w:pPr>
        <w:pStyle w:val="ListBullet"/>
      </w:pPr>
      <w:r>
        <w:t>ein technisch ungültiger Holdout (</w:t>
      </w:r>
      <w:r>
        <w:rPr>
          <w:rFonts w:ascii="Aptos Mono" w:hAnsi="Aptos Mono"/>
          <w:sz w:val="17"/>
        </w:rPr>
        <w:t>chest = 42.96 cm</w:t>
      </w:r>
      <w:r>
        <w:t>) wurde vom Measurement-Sanity-Gate korrekt übersprungen und ersetzt.</w:t>
      </w:r>
    </w:p>
    <w:p>
      <w:pPr/>
      <w:r>
        <w:t xml:space="preserve">Der manuelle Test </w:t>
      </w:r>
      <w:r>
        <w:rPr>
          <w:rFonts w:ascii="Aptos Mono" w:hAnsi="Aptos Mono"/>
          <w:sz w:val="17"/>
        </w:rPr>
        <w:t>Mann · 35 · 178 cm · 80 kg · Brust 100 · Taille 85 · Hüfte 100</w:t>
      </w:r>
      <w:r>
        <w:t xml:space="preserve"> lief vollständig durch und reduzierte den damaligen kombinierten Score von </w:t>
      </w:r>
      <w:r>
        <w:rPr>
          <w:rFonts w:ascii="Aptos Mono" w:hAnsi="Aptos Mono"/>
          <w:sz w:val="17"/>
        </w:rPr>
        <w:t>0.788</w:t>
      </w:r>
      <w:r>
        <w:t xml:space="preserve"> auf </w:t>
      </w:r>
      <w:r>
        <w:rPr>
          <w:rFonts w:ascii="Aptos Mono" w:hAnsi="Aptos Mono"/>
          <w:sz w:val="17"/>
        </w:rPr>
        <w:t>0.518</w:t>
      </w:r>
      <w:r>
        <w:t xml:space="preserve">. Er erzeugte den unauditierten ACTIVE-Kandidaten </w:t>
      </w:r>
      <w:r>
        <w:rPr>
          <w:rFonts w:ascii="Aptos Mono" w:hAnsi="Aptos Mono"/>
          <w:sz w:val="17"/>
        </w:rPr>
        <w:t>AA-S-2f9708e4</w:t>
      </w:r>
      <w:r>
        <w:t>.</w:t>
      </w:r>
    </w:p>
    <w:p>
      <w:pPr/>
      <w:r>
        <w:t>Diese Evidenz stützt weiterhin den neuen Hauptpfad, zeigt aber zwei methodische Schwächen des bisherigen Proofs: nahe Familiennachbarn konnten im Holdout verbleiben, und zwei unterschiedliche Körperhöhen-Definitionen wurden parallel verwendet.</w:t>
      </w:r>
    </w:p>
    <w:p>
      <w:pPr>
        <w:pStyle w:val="Heading2"/>
      </w:pPr>
      <w:r>
        <w:t>5.3 Eine kanonische Körperhöhe im Body-Bank-Solver</w:t>
      </w:r>
    </w:p>
    <w:p>
      <w:pPr/>
      <w:r>
        <w:t xml:space="preserve">Ab v0.8.29.3 verwendet der Body-Bank-Solver für Eingabe, Retrieval, Proof und </w:t>
      </w:r>
      <w:r>
        <w:rPr>
          <w:rFonts w:ascii="Aptos Mono" w:hAnsi="Aptos Mono"/>
          <w:sz w:val="17"/>
        </w:rPr>
        <w:t>core:height</w:t>
      </w:r>
      <w:r>
        <w:t xml:space="preserve">-Local-Fit </w:t>
      </w:r>
      <w:r>
        <w:rPr>
          <w:b/>
        </w:rPr>
        <w:t>eine einzige Staturdefinition</w:t>
      </w:r>
      <w:r>
        <w:t>:</w:t>
      </w:r>
    </w:p>
    <w:p>
      <w:pPr/>
      <w:r>
        <w:rPr>
          <w:rFonts w:ascii="Aptos Mono" w:hAnsi="Aptos Mono"/>
          <w:sz w:val="17"/>
        </w:rPr>
        <w:t>exact Anny rest-mesh bounding-box height</w:t>
      </w:r>
      <w:r>
        <w:t>.</w:t>
      </w:r>
    </w:p>
    <w:p>
      <w:pPr/>
      <w:r>
        <w:t>Die bisherige Measurement-Stack-Statur wird im Solver nur noch diagnostisch exportiert (</w:t>
      </w:r>
      <w:r>
        <w:rPr>
          <w:rFonts w:ascii="Aptos Mono" w:hAnsi="Aptos Mono"/>
          <w:sz w:val="17"/>
        </w:rPr>
        <w:t>legacyMeasureStatureCm</w:t>
      </w:r>
      <w:r>
        <w:t xml:space="preserve"> und Differenz zur kanonischen Statur). Sie darf den Body-Bank-Score oder Height-Fit nicht mehr steuern. Damit wird die in v0.8.29.2 beobachtete systematische Differenz von ungefähr 2.4 cm nicht länger in zwei widersprüchlichen Solverpfaden verwendet.</w:t>
      </w:r>
    </w:p>
    <w:p>
      <w:pPr/>
      <w:r>
        <w:t>Die allgemeine Messpipeline außerhalb des Body-Bank-Solvers bleibt davon unberührt; Messdefinition und Solverdefinition bleiben getrennte Arbeitsstränge.</w:t>
      </w:r>
    </w:p>
    <w:p>
      <w:pPr>
        <w:pStyle w:val="Heading2"/>
      </w:pPr>
      <w:r>
        <w:t>5.4 Geometrischer Fit und Gewicht/Prior werden getrennt</w:t>
      </w:r>
    </w:p>
    <w:p>
      <w:pPr/>
      <w:r>
        <w:t xml:space="preserve">Gewicht wird weiterhin als Seed-/Ranking-Prior und als Diagnose genutzt. Es ist jedoch </w:t>
      </w:r>
      <w:r>
        <w:rPr>
          <w:b/>
        </w:rPr>
        <w:t>kein lokal steuerbares Ziel</w:t>
      </w:r>
      <w:r>
        <w:t xml:space="preserve"> in Solver 1.0 und darf deshalb den Local-Fit-Gate nicht retten oder verwerfen.</w:t>
      </w:r>
    </w:p>
    <w:p>
      <w:pPr/>
      <w:r>
        <w:t>Ab v0.8.29.3 gilt:</w:t>
      </w:r>
    </w:p>
    <w:p>
      <w:pPr>
        <w:pStyle w:val="ListBullet"/>
      </w:pPr>
      <w:r>
        <w:rPr>
          <w:rFonts w:ascii="Aptos Mono" w:hAnsi="Aptos Mono"/>
          <w:sz w:val="17"/>
        </w:rPr>
        <w:t>geometryScore</w:t>
      </w:r>
      <w:r>
        <w:t>: nur Statur + Brust + Taille + Hüfte/Gesäß,</w:t>
      </w:r>
    </w:p>
    <w:p>
      <w:pPr>
        <w:pStyle w:val="ListBullet"/>
      </w:pPr>
      <w:r>
        <w:rPr>
          <w:rFonts w:ascii="Aptos Mono" w:hAnsi="Aptos Mono"/>
          <w:sz w:val="17"/>
        </w:rPr>
        <w:t>weightPriorScore</w:t>
      </w:r>
      <w:r>
        <w:t>: separater Diagnose-/Retrievalwert,</w:t>
      </w:r>
    </w:p>
    <w:p>
      <w:pPr>
        <w:pStyle w:val="ListBullet"/>
      </w:pPr>
      <w:r>
        <w:rPr>
          <w:rFonts w:ascii="Aptos Mono" w:hAnsi="Aptos Mono"/>
          <w:sz w:val="17"/>
        </w:rPr>
        <w:t>retrievalScore</w:t>
      </w:r>
      <w:r>
        <w:t>: Geometrie plus schwach gewichteter Weight-Prior für die Seed-Rangfolge,</w:t>
      </w:r>
    </w:p>
    <w:p>
      <w:pPr>
        <w:pStyle w:val="ListBullet"/>
      </w:pPr>
      <w:r>
        <w:rPr>
          <w:rFonts w:ascii="Aptos Mono" w:hAnsi="Aptos Mono"/>
          <w:sz w:val="17"/>
        </w:rPr>
        <w:t>Local-Fit global gate</w:t>
      </w:r>
      <w:r>
        <w:t xml:space="preserve">: ausschließlich </w:t>
      </w:r>
      <w:r>
        <w:rPr>
          <w:rFonts w:ascii="Aptos Mono" w:hAnsi="Aptos Mono"/>
          <w:sz w:val="17"/>
        </w:rPr>
        <w:t>geometryScore</w:t>
      </w:r>
      <w:r>
        <w:t>.</w:t>
      </w:r>
    </w:p>
    <w:p>
      <w:pPr/>
      <w:r>
        <w:t>Weight/Muscle werden weiterhin nicht frei nachoptimiert. Cross-Region-Rettung bleibt verboten.</w:t>
      </w:r>
    </w:p>
    <w:p>
      <w:pPr>
        <w:pStyle w:val="Heading2"/>
      </w:pPr>
      <w:r>
        <w:t>5.5 Family-Holdout-Proof v1.2</w:t>
      </w:r>
    </w:p>
    <w:p>
      <w:pPr/>
      <w:r>
        <w:t xml:space="preserve">Der alte Exact-Body-Holdout wird durch einen härteren </w:t>
      </w:r>
      <w:r>
        <w:rPr>
          <w:b/>
        </w:rPr>
        <w:t>16er Family-Holdout</w:t>
      </w:r>
      <w:r>
        <w:t xml:space="preserve"> ersetzt. Für jeden versteckten Zielkörper werden vor Retrieval ausgeschlossen:</w:t>
      </w:r>
    </w:p>
    <w:p>
      <w:pPr>
        <w:ind w:left="198" w:hanging="198"/>
      </w:pPr>
      <w:r>
        <w:t>1. der exakte Zielkörper,</w:t>
      </w:r>
    </w:p>
    <w:p>
      <w:pPr>
        <w:ind w:left="198" w:hanging="198"/>
      </w:pPr>
      <w:r>
        <w:t xml:space="preserve">2. die komplette </w:t>
      </w:r>
      <w:r>
        <w:rPr>
          <w:rFonts w:ascii="Aptos Mono" w:hAnsi="Aptos Mono"/>
          <w:sz w:val="17"/>
        </w:rPr>
        <w:t>familyId</w:t>
      </w:r>
      <w:r>
        <w:t>,</w:t>
      </w:r>
    </w:p>
    <w:p>
      <w:pPr>
        <w:ind w:left="198" w:hanging="198"/>
      </w:pPr>
      <w:r>
        <w:t xml:space="preserve">3. zusätzlich sehr nahe Core-Rezeptnachbarn mit </w:t>
      </w:r>
      <w:r>
        <w:rPr>
          <w:rFonts w:ascii="Aptos Mono" w:hAnsi="Aptos Mono"/>
          <w:sz w:val="17"/>
        </w:rPr>
        <w:t>coreDistance &lt;= 0.16</w:t>
      </w:r>
      <w:r>
        <w:t>.</w:t>
      </w:r>
    </w:p>
    <w:p>
      <w:pPr/>
      <w:r>
        <w:t>Der Proof ist auf den Produktbereich 140–205 cm begrenzt und weiterhin geschlechtsbalanciert. Er vergleicht:</w:t>
      </w:r>
    </w:p>
    <w:p>
      <w:pPr/>
      <w:r>
        <w:rPr>
          <w:rFonts w:ascii="Aptos Mono" w:hAnsi="Aptos Mono"/>
          <w:sz w:val="17"/>
        </w:rPr>
        <w:t>neutraler Anny-Start -&gt; family-bereinigtes Trusted Retrieval -&gt; kleiner Local Fit</w:t>
      </w:r>
      <w:r>
        <w:t>.</w:t>
      </w:r>
    </w:p>
    <w:p>
      <w:pPr/>
      <w:r>
        <w:t>GO bleibt bewusst ein einfaches Architektur-Gate:</w:t>
      </w:r>
    </w:p>
    <w:p>
      <w:pPr>
        <w:pStyle w:val="ListBullet"/>
      </w:pPr>
      <w:r>
        <w:t>Retrieval-Median &lt; Neutral-Median,</w:t>
      </w:r>
    </w:p>
    <w:p>
      <w:pPr>
        <w:pStyle w:val="ListBullet"/>
      </w:pPr>
      <w:r>
        <w:t>Local-Fit-Median &lt;= Retrieval-Median.</w:t>
      </w:r>
    </w:p>
    <w:p>
      <w:pPr/>
      <w:r>
        <w:t>Zusätzlich werden Fallzahl, Retrieval-bessere Fälle, lokale Verbesserungen und die tatsächlich ausgeschlossenen Body-/Family-/Near-Neighbor-Zahlen exportiert. Der Proof repariert keine fehlerhafte Brust-/Hüftmessung; der breite technische Measurement-Sanity-Gate bleibt vorgeschaltet.</w:t>
      </w:r>
    </w:p>
    <w:p>
      <w:pPr>
        <w:pStyle w:val="Heading2"/>
      </w:pPr>
      <w:r>
        <w:t>5.6 Vollständiger Local-Fit-Trace</w:t>
      </w:r>
    </w:p>
    <w:p>
      <w:pPr/>
      <w:r>
        <w:t xml:space="preserve">Ab v0.8.29.3 schreibt jeder zugelassene Controller einen Trace-Eintrag, auch wenn </w:t>
      </w:r>
      <w:r>
        <w:rPr>
          <w:b/>
        </w:rPr>
        <w:t>keine</w:t>
      </w:r>
      <w:r>
        <w:t xml:space="preserve"> Änderung erfolgt. Gründe sind unter anderem:</w:t>
      </w:r>
    </w:p>
    <w:p>
      <w:pPr>
        <w:pStyle w:val="ListBullet"/>
      </w:pPr>
      <w:r>
        <w:rPr>
          <w:rFonts w:ascii="Aptos Mono" w:hAnsi="Aptos Mono"/>
          <w:sz w:val="17"/>
        </w:rPr>
        <w:t>within-deadband</w:t>
      </w:r>
      <w:r>
        <w:t>,</w:t>
      </w:r>
    </w:p>
    <w:p>
      <w:pPr>
        <w:pStyle w:val="ListBullet"/>
      </w:pPr>
      <w:r>
        <w:rPr>
          <w:rFonts w:ascii="Aptos Mono" w:hAnsi="Aptos Mono"/>
          <w:sz w:val="17"/>
        </w:rPr>
        <w:t>morph-missing</w:t>
      </w:r>
      <w:r>
        <w:t>,</w:t>
      </w:r>
    </w:p>
    <w:p>
      <w:pPr>
        <w:pStyle w:val="ListBullet"/>
      </w:pPr>
      <w:r>
        <w:rPr>
          <w:rFonts w:ascii="Aptos Mono" w:hAnsi="Aptos Mono"/>
          <w:sz w:val="17"/>
        </w:rPr>
        <w:t>local-bound</w:t>
      </w:r>
      <w:r>
        <w:t>,</w:t>
      </w:r>
    </w:p>
    <w:p>
      <w:pPr>
        <w:pStyle w:val="ListBullet"/>
      </w:pPr>
      <w:r>
        <w:rPr>
          <w:rFonts w:ascii="Aptos Mono" w:hAnsi="Aptos Mono"/>
          <w:sz w:val="17"/>
        </w:rPr>
        <w:t>weak-derivative</w:t>
      </w:r>
      <w:r>
        <w:t>,</w:t>
      </w:r>
    </w:p>
    <w:p>
      <w:pPr>
        <w:pStyle w:val="ListBullet"/>
      </w:pPr>
      <w:r>
        <w:rPr>
          <w:rFonts w:ascii="Aptos Mono" w:hAnsi="Aptos Mono"/>
          <w:sz w:val="17"/>
        </w:rPr>
        <w:t>no-improvement-rollback</w:t>
      </w:r>
      <w:r>
        <w:t>,</w:t>
      </w:r>
    </w:p>
    <w:p>
      <w:pPr>
        <w:pStyle w:val="ListBullet"/>
      </w:pPr>
      <w:r>
        <w:rPr>
          <w:rFonts w:ascii="Aptos Mono" w:hAnsi="Aptos Mono"/>
          <w:sz w:val="17"/>
        </w:rPr>
        <w:t>improved</w:t>
      </w:r>
      <w:r>
        <w:t>.</w:t>
      </w:r>
    </w:p>
    <w:p>
      <w:pPr/>
      <w:r>
        <w:t>Damit ist sichtbar, ob Höhe, Taille, Hüfte und Brust tatsächlich versucht, bewusst nicht benötigt oder wegen fehlender lokaler Wirksamkeit verworfen wurden.</w:t>
      </w:r>
    </w:p>
    <w:p>
      <w:pPr>
        <w:pStyle w:val="Heading2"/>
      </w:pPr>
      <w:r>
        <w:t>5.7 ACTIVE Audit und erhaltenes Solver-Ergebnis</w:t>
      </w:r>
    </w:p>
    <w:p>
      <w:pPr/>
      <w:r>
        <w:t xml:space="preserve">Der aus dem erfolgreichen v0.8.29.2-Manuallauf erzeugte Kandidat </w:t>
      </w:r>
      <w:r>
        <w:rPr>
          <w:rFonts w:ascii="Aptos Mono" w:hAnsi="Aptos Mono"/>
          <w:sz w:val="17"/>
        </w:rPr>
        <w:t>AA-S-2f9708e4</w:t>
      </w:r>
      <w:r>
        <w:t xml:space="preserve"> wird zusätzlich im statischen ACTIVE-Seed erhalten. Er bleibt </w:t>
      </w:r>
      <w:r>
        <w:rPr>
          <w:b/>
        </w:rPr>
        <w:t>unauditiert</w:t>
      </w:r>
      <w:r>
        <w:t xml:space="preserve">, bis er in </w:t>
      </w:r>
      <w:r>
        <w:rPr>
          <w:rFonts w:ascii="Aptos Mono" w:hAnsi="Aptos Mono"/>
          <w:sz w:val="17"/>
        </w:rPr>
        <w:t>BANK -&gt; ACTIVE</w:t>
      </w:r>
      <w:r>
        <w:t xml:space="preserve"> mit ✓ / ? / × bewertet wurde. Auf Geräten, auf denen derselbe Kandidat bereits im lokalen Pending Store liegt, wird er über die stabile Shape-ID dedupliziert.</w:t>
      </w:r>
    </w:p>
    <w:p>
      <w:pPr/>
      <w:r>
        <w:t>Der Human-in-the-loop-Lernpfad bleibt transparent:</w:t>
      </w:r>
    </w:p>
    <w:p>
      <w:pPr>
        <w:pStyle w:val="ListBullet"/>
      </w:pPr>
      <w:r>
        <w:rPr>
          <w:rFonts w:ascii="Aptos Mono" w:hAnsi="Aptos Mono"/>
          <w:sz w:val="17"/>
        </w:rPr>
        <w:t>accepted</w:t>
      </w:r>
      <w:r>
        <w:t xml:space="preserve"> -&gt; </w:t>
      </w:r>
      <w:r>
        <w:rPr>
          <w:rFonts w:ascii="Aptos Mono" w:hAnsi="Aptos Mono"/>
          <w:sz w:val="17"/>
        </w:rPr>
        <w:t>trusted-user</w:t>
      </w:r>
      <w:r>
        <w:t>,</w:t>
      </w:r>
    </w:p>
    <w:p>
      <w:pPr>
        <w:pStyle w:val="ListBullet"/>
      </w:pPr>
      <w:r>
        <w:rPr>
          <w:rFonts w:ascii="Aptos Mono" w:hAnsi="Aptos Mono"/>
          <w:sz w:val="17"/>
        </w:rPr>
        <w:t>uncertain</w:t>
      </w:r>
      <w:r>
        <w:t xml:space="preserve"> -&gt; </w:t>
      </w:r>
      <w:r>
        <w:rPr>
          <w:rFonts w:ascii="Aptos Mono" w:hAnsi="Aptos Mono"/>
          <w:sz w:val="17"/>
        </w:rPr>
        <w:t>frontier-user</w:t>
      </w:r>
      <w:r>
        <w:t>,</w:t>
      </w:r>
    </w:p>
    <w:p>
      <w:pPr>
        <w:pStyle w:val="ListBullet"/>
      </w:pPr>
      <w:r>
        <w:rPr>
          <w:rFonts w:ascii="Aptos Mono" w:hAnsi="Aptos Mono"/>
          <w:sz w:val="17"/>
        </w:rPr>
        <w:t>rejected</w:t>
      </w:r>
      <w:r>
        <w:t xml:space="preserve"> -&gt; </w:t>
      </w:r>
      <w:r>
        <w:rPr>
          <w:rFonts w:ascii="Aptos Mono" w:hAnsi="Aptos Mono"/>
          <w:sz w:val="17"/>
        </w:rPr>
        <w:t>negative-user</w:t>
      </w:r>
      <w:r>
        <w:t>.</w:t>
      </w:r>
    </w:p>
    <w:p>
      <w:pPr/>
      <w:r>
        <w:t>Anny selbst wird nicht trainiert.</w:t>
      </w:r>
    </w:p>
    <w:p>
      <w:pPr>
        <w:pStyle w:val="Heading2"/>
      </w:pPr>
      <w:r>
        <w:t>5.8 Deployment-/BANK-Regeln bleiben gültig</w:t>
      </w:r>
    </w:p>
    <w:p>
      <w:pPr/>
      <w:r>
        <w:t xml:space="preserve">Splash, Hauptlabel, HTML-Titel, </w:t>
      </w:r>
      <w:r>
        <w:rPr>
          <w:rFonts w:ascii="Aptos Mono" w:hAnsi="Aptos Mono"/>
          <w:sz w:val="17"/>
        </w:rPr>
        <w:t>SAMMY_APP_VERSION</w:t>
      </w:r>
      <w:r>
        <w:t xml:space="preserve"> sowie JS-/CSS-Cache-Tags müssen dieselbe Version tragen. Der statische Release-Gate prüft diese Marker gemeinsam.</w:t>
      </w:r>
    </w:p>
    <w:p>
      <w:pPr/>
      <w:r>
        <w:t>Der menu-safe Dual Viewport, unabhängige Kameras, Last-Interaction-Auswahl, optionales AutoFit pro Viewport, blinde Präsentation, 205-cm-Audit-Cap und das vertagte Kopf-/Head-Fat-Thema bleiben unverändert erhalten.</w:t>
      </w:r>
    </w:p>
    <w:p>
      <w:pPr>
        <w:pStyle w:val="Heading1"/>
      </w:pPr>
      <w:r>
        <w:t>6. Rolle des bisherigen Wissens</w:t>
      </w:r>
    </w:p>
    <w:p>
      <w:pPr/>
      <w:r>
        <w:t xml:space="preserve">Die bisherige Arbeit wird </w:t>
      </w:r>
      <w:r>
        <w:rPr>
          <w:b/>
        </w:rPr>
        <w:t>nicht verworfen</w:t>
      </w:r>
      <w:r>
        <w:t>. Sie ändert ihre Rolle.</w:t>
      </w:r>
    </w:p>
    <w:p>
      <w:pPr/>
      <w:r>
        <w:t>Weiterzuverwenden sind insbesondere:</w:t>
      </w:r>
    </w:p>
    <w:p>
      <w:pPr>
        <w:pStyle w:val="ListBullet"/>
      </w:pPr>
      <w:r>
        <w:t>Landmark- und Messdefinitionen,</w:t>
      </w:r>
    </w:p>
    <w:p>
      <w:pPr>
        <w:pStyle w:val="ListBullet"/>
      </w:pPr>
      <w:r>
        <w:t>geometrische Messoperatoren und Region-Masks,</w:t>
      </w:r>
    </w:p>
    <w:p>
      <w:pPr>
        <w:pStyle w:val="ListBullet"/>
      </w:pPr>
      <w:r>
        <w:t>Symmetrie-Regeln,</w:t>
      </w:r>
    </w:p>
    <w:p>
      <w:pPr>
        <w:pStyle w:val="ListBullet"/>
      </w:pPr>
      <w:r>
        <w:t>Morph Influence Atlas,</w:t>
      </w:r>
    </w:p>
    <w:p>
      <w:pPr>
        <w:pStyle w:val="ListBullet"/>
      </w:pPr>
      <w:r>
        <w:t>Morph Observatory / Skelettreaktionen,</w:t>
      </w:r>
    </w:p>
    <w:p>
      <w:pPr>
        <w:pStyle w:val="ListBullet"/>
      </w:pPr>
      <w:r>
        <w:t>gekoppelte Morph-/Slidergruppen,</w:t>
      </w:r>
    </w:p>
    <w:p>
      <w:pPr>
        <w:pStyle w:val="ListBullet"/>
      </w:pPr>
      <w:r>
        <w:t>Stabilitäts- und Regressions-Gates,</w:t>
      </w:r>
    </w:p>
    <w:p>
      <w:pPr>
        <w:pStyle w:val="ListBullet"/>
      </w:pPr>
      <w:r>
        <w:t>ANSUR-/Studienwissen als Mess- und Plausibilitätsreferenz,</w:t>
      </w:r>
    </w:p>
    <w:p>
      <w:pPr>
        <w:pStyle w:val="ListBullet"/>
      </w:pPr>
      <w:r>
        <w:t>Solver-Fehlschläge als Information über ungeeignete Freiheitsgrade und Cross-Region-Risiken.</w:t>
      </w:r>
    </w:p>
    <w:p>
      <w:pPr/>
      <w:r>
        <w:t>Diese Informationen sollen den Body-Bank-Generator, automatische Plausibilitätschecks und spätere lokale Fitter begrenzen, nicht erneut einen freien globalen Solver rechtfertigen.</w:t>
      </w:r>
    </w:p>
    <w:p>
      <w:pPr>
        <w:pStyle w:val="Heading1"/>
      </w:pPr>
      <w:r>
        <w:t>7. ANSUR / externe Studien</w:t>
      </w:r>
    </w:p>
    <w:p>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pPr>
      <w:r>
        <w:t>8. Produktionspfad vs. Forschungsarchiv</w:t>
      </w:r>
    </w:p>
    <w:p>
      <w:pPr>
        <w:pStyle w:val="Heading2"/>
      </w:pPr>
      <w:r>
        <w:t>Aktueller Produktions-/Produktpfad</w:t>
      </w:r>
    </w:p>
    <w:p>
      <w:pPr>
        <w:pStyle w:val="ListBullet"/>
      </w:pPr>
      <w:r>
        <w:rPr>
          <w:b/>
        </w:rPr>
        <w:t>Body Bank Solver 1.0</w:t>
      </w:r>
      <w:r>
        <w:t xml:space="preserve"> ist ab v0.8.29.0 der aktuelle Architektur-POC für den zukünftigen Produktpfad: </w:t>
      </w:r>
      <w:r>
        <w:rPr>
          <w:rFonts w:ascii="Aptos Mono" w:hAnsi="Aptos Mono"/>
          <w:sz w:val="17"/>
        </w:rPr>
        <w:t>trusted</w:t>
      </w:r>
      <w:r>
        <w:t xml:space="preserve"> Retrieval -&gt; Top-K -&gt; kleiner anatomisch begrenzter Local Fit -&gt; Active Audit.</w:t>
      </w:r>
    </w:p>
    <w:p>
      <w:pPr>
        <w:pStyle w:val="ListBullet"/>
      </w:pPr>
      <w:r>
        <w:rPr>
          <w:rFonts w:ascii="Aptos Mono" w:hAnsi="Aptos Mono"/>
          <w:sz w:val="17"/>
        </w:rPr>
        <w:t>BANK -&gt; ACTIVE</w:t>
      </w:r>
      <w:r>
        <w:t xml:space="preserve"> ist der Human-in-the-loop-Lernpfad für neue Solverzustände; Accepted-Votes können sofort lokal als neue Seeds verwendet werden.</w:t>
      </w:r>
    </w:p>
    <w:p>
      <w:pPr>
        <w:pStyle w:val="ListBullet"/>
      </w:pPr>
      <w:r>
        <w:t>Body Fit v1.2 aus v0.8.27.2 bleibt unverändert als Vergleich/Fallback-Prototyp verfügbar, ist aber nicht mehr der bevorzugte Körperaufbaupfad.</w:t>
      </w:r>
    </w:p>
    <w:p>
      <w:pPr>
        <w:pStyle w:val="ListBullet"/>
      </w:pPr>
      <w:r>
        <w:t>Der menu-safe Dual Viewport und die bisherigen Phase-2-Auditdaten bleiben erhalten.</w:t>
      </w:r>
    </w:p>
    <w:p>
      <w:pPr>
        <w:pStyle w:val="Heading2"/>
      </w:pPr>
      <w:r>
        <w:t>Forschungsarchiv</w:t>
      </w:r>
    </w:p>
    <w:p>
      <w:pPr/>
      <w:r>
        <w:t>Weiter verfügbar, aber nicht automatisch Produktionsarchitektur:</w:t>
      </w:r>
    </w:p>
    <w:p>
      <w:pPr>
        <w:pStyle w:val="ListBullet"/>
      </w:pPr>
      <w:r>
        <w:t>Solver24,</w:t>
      </w:r>
    </w:p>
    <w:p>
      <w:pPr>
        <w:pStyle w:val="ListBullet"/>
      </w:pPr>
      <w:r>
        <w:t>Solver V2 Proof,</w:t>
      </w:r>
    </w:p>
    <w:p>
      <w:pPr>
        <w:pStyle w:val="ListBullet"/>
      </w:pPr>
      <w:r>
        <w:t>Real-ANSUR-Stress,</w:t>
      </w:r>
    </w:p>
    <w:p>
      <w:pPr>
        <w:pStyle w:val="ListBullet"/>
      </w:pPr>
      <w:r>
        <w:t>Pragmatic Repair / Residual Convergence,</w:t>
      </w:r>
    </w:p>
    <w:p>
      <w:pPr>
        <w:pStyle w:val="ListBullet"/>
      </w:pPr>
      <w:r>
        <w:t>Morph &lt;-&gt; Messebene Alignment,</w:t>
      </w:r>
    </w:p>
    <w:p>
      <w:pPr>
        <w:pStyle w:val="ListBullet"/>
      </w:pPr>
      <w:r>
        <w:t>Solver Shape Layer,</w:t>
      </w:r>
    </w:p>
    <w:p>
      <w:pPr>
        <w:pStyle w:val="ListBullet"/>
      </w:pPr>
      <w:r>
        <w:t>Legacy Blind Audit (</w:t>
      </w:r>
      <w:r>
        <w:rPr>
          <w:rFonts w:ascii="Aptos Mono" w:hAnsi="Aptos Mono"/>
          <w:sz w:val="17"/>
        </w:rPr>
        <w:t>AUDT</w:t>
      </w:r>
      <w:r>
        <w:t>).</w:t>
      </w:r>
    </w:p>
    <w:p>
      <w:pPr/>
      <w:r>
        <w:t>Diese Pfade dürfen als Diagnose, Vergleich oder Datenquelle genutzt werden. Ein fehlgeschlagener Body-Bank-Test ist kein automatischer Auftrag, zu einem alten globalen Solver zurückzukehren.</w:t>
      </w:r>
    </w:p>
    <w:p>
      <w:pPr>
        <w:pStyle w:val="Heading1"/>
      </w:pPr>
      <w:r>
        <w:t>9. Nicht verhandelbare technische Regeln</w:t>
      </w:r>
    </w:p>
    <w:p>
      <w:pPr>
        <w:pStyle w:val="ListBullet"/>
      </w:pPr>
      <w:r>
        <w:t>Anatomische Regionen bleiben strikt getrennt; Torsomaße dürfen keine Arme fangen.</w:t>
      </w:r>
    </w:p>
    <w:p>
      <w:pPr>
        <w:pStyle w:val="ListBullet"/>
      </w:pPr>
      <w:r>
        <w:t>Symmetrische Parameter müssen bilateral konsistent wirken, sofern kein expliziter asymmetrischer Modus vorliegt.</w:t>
      </w:r>
    </w:p>
    <w:p>
      <w:pPr>
        <w:pStyle w:val="ListBullet"/>
      </w:pPr>
      <w:r>
        <w:t>Morphs dürfen nur für fachlich passende Körperregionen geroutet werden.</w:t>
      </w:r>
    </w:p>
    <w:p>
      <w:pPr>
        <w:pStyle w:val="ListBullet"/>
      </w:pPr>
      <w:r>
        <w:t>Gekoppelte Formänderungen (z. B. Width + Depth für einen Umfang) dürfen als semantischer Controller behandelt werden, wenn dies geometrisch sinnvoll ist.</w:t>
      </w:r>
    </w:p>
    <w:p>
      <w:pPr>
        <w:pStyle w:val="ListBullet"/>
      </w:pPr>
      <w:r>
        <w:t>Messfehler, Mesh-Limit, Lookup-Abdeckung und Fitterfehler müssen separat diagnostizierbar bleiben.</w:t>
      </w:r>
    </w:p>
    <w:p>
      <w:pPr>
        <w:pStyle w:val="ListBullet"/>
      </w:pPr>
      <w:r>
        <w:t>iPhone/Safari-Tauglichkeit und Resume/Persistenz sind Pflicht.</w:t>
      </w:r>
    </w:p>
    <w:p>
      <w:pPr>
        <w:pStyle w:val="Heading1"/>
      </w:pPr>
      <w:r>
        <w:t>10. Nächster Gate nach v0.8.29.3</w:t>
      </w:r>
    </w:p>
    <w:p>
      <w:pPr/>
      <w:r>
        <w:t xml:space="preserve">Der nächste Entscheidungs-Gate ist der </w:t>
      </w:r>
      <w:r>
        <w:rPr>
          <w:b/>
        </w:rPr>
        <w:t>16er Family-Holdout-Proof v1.2</w:t>
      </w:r>
      <w:r>
        <w:t>.</w:t>
      </w:r>
    </w:p>
    <w:p>
      <w:pPr>
        <w:pStyle w:val="Heading2"/>
      </w:pPr>
      <w:r>
        <w:t>Gate A · 16er Family-Holdout</w:t>
      </w:r>
    </w:p>
    <w:p>
      <w:pPr/>
      <w:r>
        <w:t>Der Proof muss mindestens zeigen:</w:t>
      </w:r>
    </w:p>
    <w:p>
      <w:pPr>
        <w:ind w:left="198" w:hanging="198"/>
      </w:pPr>
      <w:r>
        <w:t>1. Retrieval-Median &lt; kanonisch höhenangepasster Neutralstart-Median.</w:t>
      </w:r>
    </w:p>
    <w:p>
      <w:pPr>
        <w:ind w:left="198" w:hanging="198"/>
      </w:pPr>
      <w:r>
        <w:t>2. Local-Fit-Median &lt;= Retrieval-Median.</w:t>
      </w:r>
    </w:p>
    <w:p>
      <w:pPr>
        <w:ind w:left="198" w:hanging="198"/>
      </w:pPr>
      <w:r>
        <w:t>3. Zielkörper, komplette Familie und Near-Neighbors wurden tatsächlich aus dem Retrieval-Pool ausgeschlossen.</w:t>
      </w:r>
    </w:p>
    <w:p>
      <w:pPr>
        <w:ind w:left="198" w:hanging="198"/>
      </w:pPr>
      <w:r>
        <w:t>4. Kein Cross-Region-Controller und keine freie globale Weight/Muscle-Suche wurde benötigt.</w:t>
      </w:r>
    </w:p>
    <w:p>
      <w:pPr>
        <w:ind w:left="198" w:hanging="198"/>
      </w:pPr>
      <w:r>
        <w:t>5. Die Ergebnisse bleiben technisch gültig und im 140–205-cm-Produktbereich.</w:t>
      </w:r>
    </w:p>
    <w:p>
      <w:pPr/>
      <w:r>
        <w:t>Ein GO bestätigt die Architektur deutlich stärker als der bisherige Exact-Body-Holdout. Ein HOLD führt zuerst zur Analyse von Bankabdeckung, Messqualität oder lokalen DOFs; nicht automatisch zu einem komplexeren Solver.</w:t>
      </w:r>
    </w:p>
    <w:p>
      <w:pPr>
        <w:pStyle w:val="Heading2"/>
      </w:pPr>
      <w:r>
        <w:t>Gate B · ACTIVE Audit der neuen Solverzustände</w:t>
      </w:r>
    </w:p>
    <w:p>
      <w:pPr/>
      <w:r>
        <w:t xml:space="preserve">Nach dem Family-Proof werden nur tatsächlich neue Solver-/Grenzkandidaten in </w:t>
      </w:r>
      <w:r>
        <w:rPr>
          <w:rFonts w:ascii="Aptos Mono" w:hAnsi="Aptos Mono"/>
          <w:sz w:val="17"/>
        </w:rPr>
        <w:t>BANK -&gt; ACTIVE</w:t>
      </w:r>
      <w:r>
        <w:t xml:space="preserve"> bewertet. Der bereits erhaltene Kandidat </w:t>
      </w:r>
      <w:r>
        <w:rPr>
          <w:rFonts w:ascii="Aptos Mono" w:hAnsi="Aptos Mono"/>
          <w:sz w:val="17"/>
        </w:rPr>
        <w:t>AA-S-2f9708e4</w:t>
      </w:r>
      <w:r>
        <w:t xml:space="preserve"> gehört ausdrücklich dazu.</w:t>
      </w:r>
    </w:p>
    <w:p>
      <w:pPr/>
      <w:r>
        <w:t>Zu prüfen ist insbesondere:</w:t>
      </w:r>
    </w:p>
    <w:p>
      <w:pPr>
        <w:pStyle w:val="ListBullet"/>
      </w:pPr>
      <w:r>
        <w:t>ob Local-Fit-Ergebnisse überwiegend akzeptiert werden,</w:t>
      </w:r>
    </w:p>
    <w:p>
      <w:pPr>
        <w:pStyle w:val="ListBullet"/>
      </w:pPr>
      <w:r>
        <w:t>ob Rejections lokal bleiben,</w:t>
      </w:r>
    </w:p>
    <w:p>
      <w:pPr>
        <w:pStyle w:val="ListBullet"/>
      </w:pPr>
      <w:r>
        <w:t>ob neue Accepted-Körper die Retrieval-Abdeckung sinnvoll erweitern,</w:t>
      </w:r>
    </w:p>
    <w:p>
      <w:pPr>
        <w:pStyle w:val="ListBullet"/>
      </w:pPr>
      <w:r>
        <w:t>ob der Solver wiederholt dieselben unsicheren Korridore anfordert.</w:t>
      </w:r>
    </w:p>
    <w:p>
      <w:pPr>
        <w:pStyle w:val="Heading2"/>
      </w:pPr>
      <w:r>
        <w:t>Gate C · danach erst Solver-Ausbau</w:t>
      </w:r>
    </w:p>
    <w:p>
      <w:pPr/>
      <w:r>
        <w:t>Erst nach A/B werden zusätzliche Freiheitsgrade oder weitere Nutzereingaben ergänzt. Bevorzugt werden nur Maße, die geometrisch stabil messbar sind und passende lokale DOFs besitzen.</w:t>
      </w:r>
    </w:p>
    <w:p>
      <w:pPr/>
      <w:r>
        <w:t>Das vertagte Kopfgrößen-/Head-Fat-Thema bleibt außerhalb dieses Gates und wird später mit absolutem Größenbezug separat geprüft.</w:t>
      </w:r>
    </w:p>
    <w:p>
      <w:pPr>
        <w:pStyle w:val="Heading1"/>
      </w:pPr>
      <w:r>
        <w:t>11. Abbruch-/Entscheidungsregel</w:t>
      </w:r>
    </w:p>
    <w:p>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pPr>
        <w:pStyle w:val="Heading1"/>
      </w:pPr>
      <w:r>
        <w:t>12. Änderungsprotokoll</w:t>
      </w:r>
    </w:p>
    <w:tbl>
      <w:tblPr>
        <w:tblStyle w:val="TableGrid"/>
        <w:tblW w:type="auto" w:w="0"/>
        <w:jc w:val="center"/>
        <w:tblLook w:firstColumn="1" w:firstRow="1" w:lastColumn="0" w:lastRow="0" w:noHBand="0" w:noVBand="1" w:val="04A0"/>
      </w:tblPr>
      <w:tblGrid>
        <w:gridCol w:w="3437"/>
        <w:gridCol w:w="3437"/>
        <w:gridCol w:w="3437"/>
      </w:tblGrid>
      <w:tr>
        <w:trPr>
          <w:cantSplit/>
        </w:trPr>
        <w:tc>
          <w:tcPr>
            <w:tcW w:type="dxa" w:w="3437"/>
            <w:vAlign w:val="top"/>
          </w:tcPr>
          <w:p>
            <w:r>
              <w:rPr>
                <w:b/>
                <w:sz w:val="16"/>
              </w:rPr>
            </w:r>
            <w:r>
              <w:rPr>
                <w:b/>
                <w:sz w:val="16"/>
              </w:rPr>
              <w:t>Version</w:t>
            </w:r>
          </w:p>
        </w:tc>
        <w:tc>
          <w:tcPr>
            <w:tcW w:type="dxa" w:w="3437"/>
            <w:vAlign w:val="top"/>
          </w:tcPr>
          <w:p>
            <w:r>
              <w:rPr>
                <w:b/>
                <w:sz w:val="16"/>
              </w:rPr>
            </w:r>
            <w:r>
              <w:rPr>
                <w:b/>
                <w:sz w:val="16"/>
              </w:rPr>
              <w:t>Datum</w:t>
            </w:r>
          </w:p>
        </w:tc>
        <w:tc>
          <w:tcPr>
            <w:tcW w:type="dxa" w:w="3437"/>
            <w:vAlign w:val="top"/>
          </w:tcPr>
          <w:p>
            <w:r>
              <w:rPr>
                <w:b/>
                <w:sz w:val="16"/>
              </w:rPr>
            </w:r>
            <w:r>
              <w:rPr>
                <w:b/>
                <w:sz w:val="16"/>
              </w:rPr>
              <w:t>Änderung</w:t>
            </w:r>
          </w:p>
        </w:tc>
      </w:tr>
      <w:tr>
        <w:trPr>
          <w:cantSplit/>
        </w:trPr>
        <w:tc>
          <w:tcPr>
            <w:tcW w:type="dxa" w:w="3437"/>
            <w:vAlign w:val="top"/>
          </w:tcPr>
          <w:p>
            <w:r>
              <w:rPr>
                <w:b w:val="0"/>
                <w:sz w:val="15"/>
              </w:rPr>
            </w:r>
            <w:r>
              <w:rPr>
                <w:b w:val="0"/>
                <w:sz w:val="15"/>
              </w:rPr>
              <w:t>0.1</w:t>
            </w:r>
          </w:p>
        </w:tc>
        <w:tc>
          <w:tcPr>
            <w:tcW w:type="dxa" w:w="3437"/>
            <w:vAlign w:val="top"/>
          </w:tcPr>
          <w:p>
            <w:r>
              <w:rPr>
                <w:b w:val="0"/>
                <w:sz w:val="15"/>
              </w:rPr>
            </w:r>
            <w:r>
              <w:rPr>
                <w:b w:val="0"/>
                <w:sz w:val="15"/>
              </w:rPr>
              <w:t>22.08.2026</w:t>
            </w:r>
          </w:p>
        </w:tc>
        <w:tc>
          <w:tcPr>
            <w:tcW w:type="dxa" w:w="3437"/>
            <w:vAlign w:val="top"/>
          </w:tcPr>
          <w:p>
            <w:r>
              <w:rPr>
                <w:b w:val="0"/>
                <w:sz w:val="15"/>
              </w:rPr>
            </w:r>
            <w:r>
              <w:rPr>
                <w:b w:val="0"/>
                <w:sz w:val="15"/>
              </w:rPr>
              <w:t>Master State eingeführt; Landmark-/Messpipeline als damaliger Schwerpunkt dokumentiert.</w:t>
            </w:r>
          </w:p>
        </w:tc>
      </w:tr>
      <w:tr>
        <w:trPr>
          <w:cantSplit/>
        </w:trPr>
        <w:tc>
          <w:tcPr>
            <w:tcW w:type="dxa" w:w="3437"/>
            <w:vAlign w:val="top"/>
          </w:tcPr>
          <w:p>
            <w:r>
              <w:rPr>
                <w:b w:val="0"/>
                <w:sz w:val="15"/>
              </w:rPr>
            </w:r>
            <w:r>
              <w:rPr>
                <w:b w:val="0"/>
                <w:sz w:val="15"/>
              </w:rPr>
              <w:t>0.2</w:t>
            </w:r>
          </w:p>
        </w:tc>
        <w:tc>
          <w:tcPr>
            <w:tcW w:type="dxa" w:w="3437"/>
            <w:vAlign w:val="top"/>
          </w:tcPr>
          <w:p>
            <w:r>
              <w:rPr>
                <w:b w:val="0"/>
                <w:sz w:val="15"/>
              </w:rPr>
            </w:r>
            <w:r>
              <w:rPr>
                <w:b w:val="0"/>
                <w:sz w:val="15"/>
              </w:rPr>
              <w:t>28.08.2026</w:t>
            </w:r>
          </w:p>
        </w:tc>
        <w:tc>
          <w:tcPr>
            <w:tcW w:type="dxa" w:w="3437"/>
            <w:vAlign w:val="top"/>
          </w:tcPr>
          <w:p>
            <w:r>
              <w:rPr>
                <w:b w:val="0"/>
                <w:sz w:val="15"/>
              </w:rPr>
            </w:r>
            <w:r>
              <w:rPr>
                <w:b w:val="0"/>
                <w:sz w:val="15"/>
              </w:rPr>
              <w:t>Projektstand konsolidiert; Audited Body Bank / lokale Körperfamilien als neue Hauptarchitektur; synchrone Master-State-/SAMMY_CURRENT-Exports festgelegt.</w:t>
            </w:r>
          </w:p>
        </w:tc>
      </w:tr>
      <w:tr>
        <w:trPr>
          <w:cantSplit/>
        </w:trPr>
        <w:tc>
          <w:tcPr>
            <w:tcW w:type="dxa" w:w="3437"/>
            <w:vAlign w:val="top"/>
          </w:tcPr>
          <w:p>
            <w:r>
              <w:rPr>
                <w:b w:val="0"/>
                <w:sz w:val="15"/>
              </w:rPr>
            </w:r>
            <w:r>
              <w:rPr>
                <w:b w:val="0"/>
                <w:sz w:val="15"/>
              </w:rPr>
              <w:t>0.3</w:t>
            </w:r>
          </w:p>
        </w:tc>
        <w:tc>
          <w:tcPr>
            <w:tcW w:type="dxa" w:w="3437"/>
            <w:vAlign w:val="top"/>
          </w:tcPr>
          <w:p>
            <w:r>
              <w:rPr>
                <w:b w:val="0"/>
                <w:sz w:val="15"/>
              </w:rPr>
            </w:r>
            <w:r>
              <w:rPr>
                <w:b w:val="0"/>
                <w:sz w:val="15"/>
              </w:rPr>
              <w:t>28.08.2026</w:t>
            </w:r>
          </w:p>
        </w:tc>
        <w:tc>
          <w:tcPr>
            <w:tcW w:type="dxa" w:w="3437"/>
            <w:vAlign w:val="top"/>
          </w:tcPr>
          <w:p>
            <w:r>
              <w:rPr>
                <w:b w:val="0"/>
                <w:sz w:val="15"/>
              </w:rPr>
            </w:r>
            <w:r>
              <w:rPr>
                <w:b w:val="0"/>
                <w:sz w:val="15"/>
              </w:rPr>
              <w:t xml:space="preserve">GitHub-Pages-Hotfix: Cache-/Versionsdrift korrigiert; synchroner HTML/JS/CSS-Deployment-Gate und </w:t>
            </w:r>
            <w:r>
              <w:rPr>
                <w:rFonts w:ascii="Aptos Mono" w:hAnsi="Aptos Mono"/>
                <w:b w:val="0"/>
                <w:sz w:val="15"/>
              </w:rPr>
              <w:t>.nojekyll</w:t>
            </w:r>
            <w:r>
              <w:rPr>
                <w:b w:val="0"/>
                <w:sz w:val="15"/>
              </w:rPr>
              <w:t>.</w:t>
            </w:r>
          </w:p>
        </w:tc>
      </w:tr>
      <w:tr>
        <w:trPr>
          <w:cantSplit/>
        </w:trPr>
        <w:tc>
          <w:tcPr>
            <w:tcW w:type="dxa" w:w="3437"/>
            <w:vAlign w:val="top"/>
          </w:tcPr>
          <w:p>
            <w:r>
              <w:rPr>
                <w:b w:val="0"/>
                <w:sz w:val="15"/>
              </w:rPr>
            </w:r>
            <w:r>
              <w:rPr>
                <w:b w:val="0"/>
                <w:sz w:val="15"/>
              </w:rPr>
              <w:t>0.4</w:t>
            </w:r>
          </w:p>
        </w:tc>
        <w:tc>
          <w:tcPr>
            <w:tcW w:type="dxa" w:w="3437"/>
            <w:vAlign w:val="top"/>
          </w:tcPr>
          <w:p>
            <w:r>
              <w:rPr>
                <w:b w:val="0"/>
                <w:sz w:val="15"/>
              </w:rPr>
            </w:r>
            <w:r>
              <w:rPr>
                <w:b w:val="0"/>
                <w:sz w:val="15"/>
              </w:rPr>
              <w:t>28.08.2026</w:t>
            </w:r>
          </w:p>
        </w:tc>
        <w:tc>
          <w:tcPr>
            <w:tcW w:type="dxa" w:w="3437"/>
            <w:vAlign w:val="top"/>
          </w:tcPr>
          <w:p>
            <w:r>
              <w:rPr>
                <w:b w:val="0"/>
                <w:sz w:val="15"/>
              </w:rPr>
            </w:r>
            <w:r>
              <w:rPr>
                <w:b w:val="0"/>
                <w:sz w:val="15"/>
              </w:rPr>
              <w:t>BANK v0.8.28.2: Kamera bleibt über Personenwechsel erhalten; Posen/Animationen im Audit; Review-Kontext getrennt gespeichert.</w:t>
            </w:r>
          </w:p>
        </w:tc>
      </w:tr>
      <w:tr>
        <w:trPr>
          <w:cantSplit/>
        </w:trPr>
        <w:tc>
          <w:tcPr>
            <w:tcW w:type="dxa" w:w="3437"/>
            <w:vAlign w:val="top"/>
          </w:tcPr>
          <w:p>
            <w:r>
              <w:rPr>
                <w:b w:val="0"/>
                <w:sz w:val="15"/>
              </w:rPr>
            </w:r>
            <w:r>
              <w:rPr>
                <w:b w:val="0"/>
                <w:sz w:val="15"/>
              </w:rPr>
              <w:t>0.5</w:t>
            </w:r>
          </w:p>
        </w:tc>
        <w:tc>
          <w:tcPr>
            <w:tcW w:type="dxa" w:w="3437"/>
            <w:vAlign w:val="top"/>
          </w:tcPr>
          <w:p>
            <w:r>
              <w:rPr>
                <w:b w:val="0"/>
                <w:sz w:val="15"/>
              </w:rPr>
            </w:r>
            <w:r>
              <w:rPr>
                <w:b w:val="0"/>
                <w:sz w:val="15"/>
              </w:rPr>
              <w:t>28.08.2026</w:t>
            </w:r>
          </w:p>
        </w:tc>
        <w:tc>
          <w:tcPr>
            <w:tcW w:type="dxa" w:w="3437"/>
            <w:vAlign w:val="top"/>
          </w:tcPr>
          <w:p>
            <w:r>
              <w:rPr>
                <w:b w:val="0"/>
                <w:sz w:val="15"/>
              </w:rPr>
            </w:r>
            <w:r>
              <w:rPr>
                <w:b w:val="0"/>
                <w:sz w:val="15"/>
              </w:rPr>
              <w:t xml:space="preserve">BANK v0.8.28.3: 400er Grenz-/Extremraum; Phase-1 </w:t>
            </w:r>
            <w:r>
              <w:rPr>
                <w:rFonts w:ascii="Aptos Mono" w:hAnsi="Aptos Mono"/>
                <w:b w:val="0"/>
                <w:sz w:val="15"/>
              </w:rPr>
              <w:t>legs-too-long</w:t>
            </w:r>
            <w:r>
              <w:rPr>
                <w:b w:val="0"/>
                <w:sz w:val="15"/>
              </w:rPr>
              <w:t xml:space="preserve"> dokumentiert; exakte Rest-Rig-Bein/Torso-Diagnosen statt fehlerhafter Umfangssnapshots.</w:t>
            </w:r>
          </w:p>
        </w:tc>
      </w:tr>
      <w:tr>
        <w:trPr>
          <w:cantSplit/>
        </w:trPr>
        <w:tc>
          <w:tcPr>
            <w:tcW w:type="dxa" w:w="3437"/>
            <w:vAlign w:val="top"/>
          </w:tcPr>
          <w:p>
            <w:r>
              <w:rPr>
                <w:b w:val="0"/>
                <w:sz w:val="15"/>
              </w:rPr>
            </w:r>
            <w:r>
              <w:rPr>
                <w:b w:val="0"/>
                <w:sz w:val="15"/>
              </w:rPr>
              <w:t>0.6</w:t>
            </w:r>
          </w:p>
        </w:tc>
        <w:tc>
          <w:tcPr>
            <w:tcW w:type="dxa" w:w="3437"/>
            <w:vAlign w:val="top"/>
          </w:tcPr>
          <w:p>
            <w:r>
              <w:rPr>
                <w:b w:val="0"/>
                <w:sz w:val="15"/>
              </w:rPr>
            </w:r>
            <w:r>
              <w:rPr>
                <w:b w:val="0"/>
                <w:sz w:val="15"/>
              </w:rPr>
              <w:t>28.08.2026</w:t>
            </w:r>
          </w:p>
        </w:tc>
        <w:tc>
          <w:tcPr>
            <w:tcW w:type="dxa" w:w="3437"/>
            <w:vAlign w:val="top"/>
          </w:tcPr>
          <w:p>
            <w:r>
              <w:rPr>
                <w:b w:val="0"/>
                <w:sz w:val="15"/>
              </w:rPr>
            </w:r>
            <w:r>
              <w:rPr>
                <w:b w:val="0"/>
                <w:sz w:val="15"/>
              </w:rPr>
              <w:t>BANK v0.8.28.4: reviewer-blinde Mischung, BANK-only Dual Viewport, unabhängiges AutoFit, &lt;=205-cm-Gate; Kopf/Head-Fat bewusst vertagt.</w:t>
            </w:r>
          </w:p>
        </w:tc>
      </w:tr>
      <w:tr>
        <w:trPr>
          <w:cantSplit/>
        </w:trPr>
        <w:tc>
          <w:tcPr>
            <w:tcW w:type="dxa" w:w="3437"/>
            <w:vAlign w:val="top"/>
          </w:tcPr>
          <w:p>
            <w:r>
              <w:rPr>
                <w:b w:val="0"/>
                <w:sz w:val="15"/>
              </w:rPr>
            </w:r>
            <w:r>
              <w:rPr>
                <w:b w:val="0"/>
                <w:sz w:val="15"/>
              </w:rPr>
              <w:t>0.7</w:t>
            </w:r>
          </w:p>
        </w:tc>
        <w:tc>
          <w:tcPr>
            <w:tcW w:type="dxa" w:w="3437"/>
            <w:vAlign w:val="top"/>
          </w:tcPr>
          <w:p>
            <w:r>
              <w:rPr>
                <w:b w:val="0"/>
                <w:sz w:val="15"/>
              </w:rPr>
            </w:r>
            <w:r>
              <w:rPr>
                <w:b w:val="0"/>
                <w:sz w:val="15"/>
              </w:rPr>
              <w:t>28.08.2026</w:t>
            </w:r>
          </w:p>
        </w:tc>
        <w:tc>
          <w:tcPr>
            <w:tcW w:type="dxa" w:w="3437"/>
            <w:vAlign w:val="top"/>
          </w:tcPr>
          <w:p>
            <w:r>
              <w:rPr>
                <w:b w:val="0"/>
                <w:sz w:val="15"/>
              </w:rPr>
            </w:r>
            <w:r>
              <w:rPr>
                <w:b w:val="0"/>
                <w:sz w:val="15"/>
              </w:rPr>
              <w:t>BANK v0.8.28.5: iPhone-menüsicheres A/B-Layout; Dual Viewport nutzt nur die freie Viewer-Fläche.</w:t>
            </w:r>
          </w:p>
        </w:tc>
      </w:tr>
      <w:tr>
        <w:trPr>
          <w:cantSplit/>
        </w:trPr>
        <w:tc>
          <w:tcPr>
            <w:tcW w:type="dxa" w:w="3437"/>
            <w:vAlign w:val="top"/>
          </w:tcPr>
          <w:p>
            <w:r>
              <w:rPr>
                <w:b w:val="0"/>
                <w:sz w:val="15"/>
              </w:rPr>
            </w:r>
            <w:r>
              <w:rPr>
                <w:b w:val="0"/>
                <w:sz w:val="15"/>
              </w:rPr>
              <w:t>0.8</w:t>
            </w:r>
          </w:p>
        </w:tc>
        <w:tc>
          <w:tcPr>
            <w:tcW w:type="dxa" w:w="3437"/>
            <w:vAlign w:val="top"/>
          </w:tcPr>
          <w:p>
            <w:r>
              <w:rPr>
                <w:b w:val="0"/>
                <w:sz w:val="15"/>
              </w:rPr>
            </w:r>
            <w:r>
              <w:rPr>
                <w:b w:val="0"/>
                <w:sz w:val="15"/>
              </w:rPr>
              <w:t>29.08.2026</w:t>
            </w:r>
          </w:p>
        </w:tc>
        <w:tc>
          <w:tcPr>
            <w:tcW w:type="dxa" w:w="3437"/>
            <w:vAlign w:val="top"/>
          </w:tcPr>
          <w:p>
            <w:r>
              <w:rPr>
                <w:b w:val="0"/>
                <w:sz w:val="15"/>
              </w:rPr>
            </w:r>
            <w:r>
              <w:rPr>
                <w:b w:val="0"/>
                <w:sz w:val="15"/>
              </w:rPr>
              <w:t>v0.8.29.0: Audit zu Body-Bank-Index kompiliert; Trusted-Top-K-Solver + kleiner Local Fit + 8er Blind-Proof + ACTIVE-Lernmodus. Shoulder-Proxy ausgeschlossen; Proof ohne kg-Vorauswahl; Non-Worsening-Rollback; Resume-Fix.</w:t>
            </w:r>
          </w:p>
        </w:tc>
      </w:tr>
      <w:tr>
        <w:trPr>
          <w:cantSplit/>
        </w:trPr>
        <w:tc>
          <w:tcPr>
            <w:tcW w:type="dxa" w:w="3437"/>
            <w:vAlign w:val="top"/>
          </w:tcPr>
          <w:p>
            <w:r>
              <w:rPr>
                <w:b w:val="0"/>
                <w:sz w:val="15"/>
              </w:rPr>
            </w:r>
            <w:r>
              <w:rPr>
                <w:b w:val="0"/>
                <w:sz w:val="15"/>
              </w:rPr>
              <w:t>0.9</w:t>
            </w:r>
          </w:p>
        </w:tc>
        <w:tc>
          <w:tcPr>
            <w:tcW w:type="dxa" w:w="3437"/>
            <w:vAlign w:val="top"/>
          </w:tcPr>
          <w:p>
            <w:r>
              <w:rPr>
                <w:b w:val="0"/>
                <w:sz w:val="15"/>
              </w:rPr>
            </w:r>
            <w:r>
              <w:rPr>
                <w:b w:val="0"/>
                <w:sz w:val="15"/>
              </w:rPr>
              <w:t>29.08.2026</w:t>
            </w:r>
          </w:p>
        </w:tc>
        <w:tc>
          <w:tcPr>
            <w:tcW w:type="dxa" w:w="3437"/>
            <w:vAlign w:val="top"/>
          </w:tcPr>
          <w:p>
            <w:r>
              <w:rPr>
                <w:b w:val="0"/>
                <w:sz w:val="15"/>
              </w:rPr>
            </w:r>
            <w:r>
              <w:rPr>
                <w:b w:val="0"/>
                <w:sz w:val="15"/>
              </w:rPr>
              <w:t>v0.8.29.1: fehlenden manuellen Retrieval-Handler repariert; fail-fast UI-/Release-Handler-Gate; 32er ACTIVE-Audit kanonisch gemergt (269 trusted / 91 frontier / 37 negative / 0 unchecked); technische Mess-Sanity und Proof v1.1 wegen sichtbar falschem Brust-Snapshot.</w:t>
            </w:r>
          </w:p>
        </w:tc>
      </w:tr>
      <w:tr>
        <w:trPr>
          <w:cantSplit/>
        </w:trPr>
        <w:tc>
          <w:tcPr>
            <w:tcW w:type="dxa" w:w="3437"/>
            <w:vAlign w:val="top"/>
          </w:tcPr>
          <w:p>
            <w:r>
              <w:rPr>
                <w:b w:val="0"/>
                <w:sz w:val="15"/>
              </w:rPr>
            </w:r>
            <w:r>
              <w:rPr>
                <w:b w:val="0"/>
                <w:sz w:val="15"/>
              </w:rPr>
              <w:t>0.10</w:t>
            </w:r>
          </w:p>
        </w:tc>
        <w:tc>
          <w:tcPr>
            <w:tcW w:type="dxa" w:w="3437"/>
            <w:vAlign w:val="top"/>
          </w:tcPr>
          <w:p>
            <w:r>
              <w:rPr>
                <w:b w:val="0"/>
                <w:sz w:val="15"/>
              </w:rPr>
            </w:r>
            <w:r>
              <w:rPr>
                <w:b w:val="0"/>
                <w:sz w:val="15"/>
              </w:rPr>
              <w:t>29.08.2026</w:t>
            </w:r>
          </w:p>
        </w:tc>
        <w:tc>
          <w:tcPr>
            <w:tcW w:type="dxa" w:w="3437"/>
            <w:vAlign w:val="top"/>
          </w:tcPr>
          <w:p>
            <w:r>
              <w:rPr>
                <w:b w:val="0"/>
                <w:sz w:val="15"/>
              </w:rPr>
            </w:r>
            <w:r>
              <w:rPr>
                <w:b w:val="0"/>
                <w:sz w:val="15"/>
              </w:rPr>
              <w:t>v0.8.29.2: stale Splash-Version v0.8.28.4 entfernt; Runtime-/Titel-/Hauptlabel-/Splash-/JS-/CSS-Versionen synchronisiert; Deployment-Gate erweitert; Solver-/Body-Bank-Daten unverändert.</w:t>
            </w:r>
          </w:p>
        </w:tc>
      </w:tr>
      <w:tr>
        <w:trPr>
          <w:cantSplit/>
        </w:trPr>
        <w:tc>
          <w:tcPr>
            <w:tcW w:type="dxa" w:w="3437"/>
            <w:vAlign w:val="top"/>
          </w:tcPr>
          <w:p>
            <w:r>
              <w:rPr>
                <w:b w:val="0"/>
                <w:sz w:val="15"/>
              </w:rPr>
            </w:r>
            <w:r>
              <w:rPr>
                <w:b w:val="0"/>
                <w:sz w:val="15"/>
              </w:rPr>
              <w:t>0.11</w:t>
            </w:r>
          </w:p>
        </w:tc>
        <w:tc>
          <w:tcPr>
            <w:tcW w:type="dxa" w:w="3437"/>
            <w:vAlign w:val="top"/>
          </w:tcPr>
          <w:p>
            <w:r>
              <w:rPr>
                <w:b w:val="0"/>
                <w:sz w:val="15"/>
              </w:rPr>
            </w:r>
            <w:r>
              <w:rPr>
                <w:b w:val="0"/>
                <w:sz w:val="15"/>
              </w:rPr>
              <w:t>29.08.2026</w:t>
            </w:r>
          </w:p>
        </w:tc>
        <w:tc>
          <w:tcPr>
            <w:tcW w:type="dxa" w:w="3437"/>
            <w:vAlign w:val="top"/>
          </w:tcPr>
          <w:p>
            <w:r>
              <w:rPr>
                <w:b w:val="0"/>
                <w:sz w:val="15"/>
              </w:rPr>
            </w:r>
            <w:r>
              <w:rPr>
                <w:b w:val="0"/>
                <w:sz w:val="15"/>
              </w:rPr>
              <w:t>v0.8.29.3: kanonische Rest-Mesh-Statur im Body-Bank-Solver; Geometrie-Score von Weight-Prior getrennt; vollständiger Local-Fit-Trace; 16er Family-/Near-Neighbor-Holdout Proof v1.2; manuellen Solver-Kandidaten AA-S-2f9708e4 im ACTIVE-Seed erhalten.</w:t>
            </w:r>
          </w:p>
        </w:tc>
      </w:tr>
    </w:tbl>
    <w:sectPr w:rsidR="00FC693F" w:rsidRPr="0006063C" w:rsidSect="00034616">
      <w:headerReference w:type="default" r:id="rId9"/>
      <w:footerReference w:type="default" r:id="rId10"/>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5"/>
      </w:rPr>
      <w:t>Kanonischer Projektstand · App v0.8.29.3 · 29.08.2026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16"/>
      </w:rPr>
      <w:t>SAMMY / BODY LAB / SOMA-LAB · MASTER STATE 0.11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