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SAMMY / BODY LAB / SOMA-LAB · MASTER STATE</w:t>
      </w:r>
    </w:p>
    <w:p>
      <w:pPr>
        <w:spacing w:after="60"/>
      </w:pPr>
      <w:r>
        <w:rPr>
          <w:b/>
        </w:rPr>
        <w:t>Kanonischer Projektstand · Version 0.12 · 29.08.2026 · App v0.8.29.4</w:t>
      </w:r>
    </w:p>
    <w:p>
      <w:pPr>
        <w:pStyle w:val="Heading1"/>
      </w:pPr>
      <w:r>
        <w:t>1. Verbindliche Projektpflege</w:t>
      </w:r>
    </w:p>
    <w:p>
      <w:pPr>
        <w:pStyle w:val="ListBullet"/>
        <w:spacing w:after="20"/>
      </w:pPr>
      <w:r>
        <w:t>Dieser Master State ist die kanonische Zusammenfassung des aktuellen Projektstands.</w:t>
      </w:r>
    </w:p>
    <w:p>
      <w:pPr>
        <w:pStyle w:val="ListBullet"/>
        <w:spacing w:after="20"/>
      </w:pPr>
      <w:r>
        <w:rPr>
          <w:b/>
        </w:rPr>
        <w:t>Jeder neue SAMMY-Export aktualisiert im selben Arbeitsschritt den Master State.</w:t>
      </w:r>
      <w:r>
        <w:t xml:space="preserve"> Ein Release ohne synchronen Master State gilt nicht als vollständiger Projektstand.</w:t>
      </w:r>
    </w:p>
    <w:p>
      <w:pPr>
        <w:pStyle w:val="ListBullet"/>
        <w:spacing w:after="20"/>
      </w:pPr>
      <w:r>
        <w:t xml:space="preserve">Zusätzlich wird bei jedem Export </w:t>
      </w:r>
      <w:r>
        <w:rPr>
          <w:rFonts w:ascii="Consolas" w:hAnsi="Consolas"/>
          <w:sz w:val="16"/>
        </w:rPr>
        <w:t>SAMMY_CURRENT.zip</w:t>
      </w:r>
      <w:r>
        <w:t xml:space="preserve"> auf die neue vollständige Version gesetzt, </w:t>
      </w:r>
      <w:r>
        <w:rPr>
          <w:rFonts w:ascii="Consolas" w:hAnsi="Consolas"/>
          <w:sz w:val="16"/>
        </w:rPr>
        <w:t>SAMMY_GITHUB_CURRENT.zip</w:t>
      </w:r>
      <w:r>
        <w:t xml:space="preserve"> auf die kompakte GitHub-Fassung gesetzt und </w:t>
      </w:r>
      <w:r>
        <w:rPr>
          <w:rFonts w:ascii="Consolas" w:hAnsi="Consolas"/>
          <w:sz w:val="16"/>
        </w:rPr>
        <w:t>SAMMY_CURRENT_VERSION.txt</w:t>
      </w:r>
      <w:r>
        <w:t xml:space="preserve"> aktualisiert. Die GitHub-Fassung bleibt unter 100 direkt sichtbaren Dateien; ältere Release-Historie darf dafür als internes History-Archiv gebündelt werden.</w:t>
      </w:r>
    </w:p>
    <w:p>
      <w:pPr>
        <w:pStyle w:val="ListBullet"/>
        <w:spacing w:after="20"/>
      </w:pPr>
      <w:r>
        <w:t xml:space="preserve">Neue Arbeit startet ausschließlich von </w:t>
      </w:r>
      <w:r>
        <w:rPr>
          <w:rFonts w:ascii="Consolas" w:hAnsi="Consolas"/>
          <w:sz w:val="16"/>
        </w:rPr>
        <w:t>SAMMY_CURRENT</w:t>
      </w:r>
      <w:r>
        <w:t xml:space="preserve"> bzw. der dort genannten Version.</w:t>
      </w:r>
    </w:p>
    <w:p>
      <w:pPr>
        <w:pStyle w:val="ListBullet"/>
        <w:spacing w:after="20"/>
      </w:pPr>
      <w:r>
        <w:t>Ersetzte Ansätze bleiben nur als Forschungsarchiv erhalten und dürfen nicht ungeprüft wieder als Hauptpfad vorgeschlagen werden.</w:t>
      </w:r>
    </w:p>
    <w:p>
      <w:pPr>
        <w:pStyle w:val="Heading1"/>
      </w:pPr>
      <w:r>
        <w:t>2. Produktziel</w:t>
      </w:r>
    </w:p>
    <w:p>
      <w:pPr>
        <w:spacing w:after="60"/>
      </w:pPr>
      <w:r>
        <w:t xml:space="preserve">SAMMY ist ein Tool, das aus </w:t>
      </w:r>
      <w:r>
        <w:rPr>
          <w:b/>
        </w:rPr>
        <w:t>wenigen Nutzereingaben</w:t>
      </w:r>
      <w:r>
        <w:t xml:space="preserve"> halbwegs verlässliche grundlegende Körpermaße und einen dazu passenden plausiblen Avatar liefern soll.</w:t>
      </w:r>
    </w:p>
    <w:p>
      <w:pPr>
        <w:spacing w:after="6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pPr>
      <w:r>
        <w:t>3. Aktuelle Architekturentscheidung</w:t>
      </w:r>
    </w:p>
    <w:p>
      <w:pPr>
        <w:pStyle w:val="Heading2"/>
      </w:pPr>
      <w:r>
        <w:t>3.1 Kein freier From-Scratch-Solver als primärer Produktionspfad</w:t>
      </w:r>
    </w:p>
    <w:p>
      <w:pPr>
        <w:spacing w:after="6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pPr>
      <w:r>
        <w:t>3.2 Neuer Zielpfad: Audited Body Bank -&gt; Lookup -&gt; kleiner lokaler Fitter</w:t>
      </w:r>
    </w:p>
    <w:p>
      <w:pPr>
        <w:spacing w:after="60"/>
      </w:pPr>
      <w:r>
        <w:t>Der bevorzugte neue Architekturpfad lautet:</w:t>
      </w:r>
    </w:p>
    <w:p>
      <w:pPr>
        <w:spacing w:after="20"/>
        <w:ind w:left="198" w:hanging="198"/>
      </w:pPr>
      <w:r>
        <w:t xml:space="preserve">1. </w:t>
      </w:r>
      <w:r>
        <w:t>Offline bzw. vorab viele reproduzierbare Anny-Körperrezepte erzeugen.</w:t>
      </w:r>
    </w:p>
    <w:p>
      <w:pPr>
        <w:spacing w:after="20"/>
        <w:ind w:left="198" w:hanging="198"/>
      </w:pPr>
      <w:r>
        <w:t xml:space="preserve">2. </w:t>
      </w:r>
      <w:r>
        <w:t>Körper technisch und visuell auditieren.</w:t>
      </w:r>
    </w:p>
    <w:p>
      <w:pPr>
        <w:spacing w:after="20"/>
        <w:ind w:left="198" w:hanging="198"/>
      </w:pPr>
      <w:r>
        <w:t xml:space="preserve">3. </w:t>
      </w:r>
      <w:r>
        <w:t xml:space="preserve">Akzeptierte Körper als Anker eines </w:t>
      </w:r>
      <w:r>
        <w:rPr>
          <w:b/>
        </w:rPr>
        <w:t>auditierten, kontextabhängigen Körperraums</w:t>
      </w:r>
      <w:r>
        <w:t xml:space="preserve"> speichern.</w:t>
      </w:r>
    </w:p>
    <w:p>
      <w:pPr>
        <w:spacing w:after="20"/>
        <w:ind w:left="198" w:hanging="198"/>
      </w:pPr>
      <w:r>
        <w:t xml:space="preserve">4. </w:t>
      </w:r>
      <w:r>
        <w:t>Zur Laufzeit aus wenigen Nutzerdaten einen nahen bekannten Körper auswählen.</w:t>
      </w:r>
    </w:p>
    <w:p>
      <w:pPr>
        <w:spacing w:after="20"/>
        <w:ind w:left="198" w:hanging="198"/>
      </w:pPr>
      <w:r>
        <w:t xml:space="preserve">5. </w:t>
      </w:r>
      <w:r>
        <w:t>Nur noch kleine lokale Iterationen von diesem nahen Startkörper aus erlauben.</w:t>
      </w:r>
    </w:p>
    <w:p>
      <w:pPr>
        <w:spacing w:after="60"/>
      </w:pPr>
      <w:r>
        <w:t>Der lokale Fitter darf keine anatomisch fremden Morphs als Rettung benutzen. Ein Brust-Controller darf beispielsweise nicht zur Korrektur eines Oberschenkelziels herangezogen werden.</w:t>
      </w:r>
    </w:p>
    <w:p>
      <w:pPr>
        <w:pStyle w:val="Heading1"/>
      </w:pPr>
      <w:r>
        <w:t>4. Audited Body Graph / Körperfamilien</w:t>
      </w:r>
    </w:p>
    <w:p>
      <w:pPr>
        <w:spacing w:after="60"/>
      </w:pPr>
      <w:r>
        <w:t xml:space="preserve">Eine menschliche Bewertung gilt </w:t>
      </w:r>
      <w:r>
        <w:rPr>
          <w:b/>
        </w:rPr>
        <w:t>nicht global für einen Sliderwert</w:t>
      </w:r>
      <w:r>
        <w:t>.</w:t>
      </w:r>
    </w:p>
    <w:p>
      <w:pPr>
        <w:spacing w:after="60"/>
      </w:pPr>
      <w:r>
        <w:t>Beispiel: Wenn ein größerer Oberschenkel bei Körperfamilie A unplausibel aussieht, darf daraus nicht folgen, dass derselbe Oberschenkelwert bei Körperfamilie B unzulässig ist.</w:t>
      </w:r>
    </w:p>
    <w:p>
      <w:pPr>
        <w:spacing w:after="60"/>
      </w:pPr>
      <w:r>
        <w:t>Daher werden Auditinformationen an folgende Kontexte gebunden:</w:t>
      </w:r>
    </w:p>
    <w:p>
      <w:pPr>
        <w:pStyle w:val="ListBullet"/>
        <w:spacing w:after="20"/>
      </w:pPr>
      <w:r>
        <w:t>vollständiges Anny-Rezept des Körpers,</w:t>
      </w:r>
    </w:p>
    <w:p>
      <w:pPr>
        <w:pStyle w:val="ListBullet"/>
        <w:spacing w:after="20"/>
      </w:pPr>
      <w:r>
        <w:t xml:space="preserve">lokale </w:t>
      </w:r>
      <w:r>
        <w:rPr>
          <w:rFonts w:ascii="Consolas" w:hAnsi="Consolas"/>
          <w:sz w:val="16"/>
        </w:rPr>
        <w:t>familyId</w:t>
      </w:r>
      <w:r>
        <w:t>,</w:t>
      </w:r>
    </w:p>
    <w:p>
      <w:pPr>
        <w:pStyle w:val="ListBullet"/>
        <w:spacing w:after="20"/>
      </w:pPr>
      <w:r>
        <w:t>konkrete Ausgangs-/Zielkörper,</w:t>
      </w:r>
    </w:p>
    <w:p>
      <w:pPr>
        <w:pStyle w:val="ListBullet"/>
        <w:spacing w:after="20"/>
      </w:pPr>
      <w:r>
        <w:t>konkrete Änderungsrichtung und Distanz, sobald lokale Kanten getestet werden.</w:t>
      </w:r>
    </w:p>
    <w:p>
      <w:pPr>
        <w:spacing w:after="60"/>
      </w:pPr>
      <w:r>
        <w:t>Statusmodell:</w:t>
      </w:r>
    </w:p>
    <w:p>
      <w:pPr>
        <w:pStyle w:val="ListBullet"/>
        <w:spacing w:after="20"/>
      </w:pPr>
      <w:r>
        <w:rPr>
          <w:rFonts w:ascii="Consolas" w:hAnsi="Consolas"/>
          <w:sz w:val="16"/>
        </w:rPr>
        <w:t>HUMAN_ACCEPTED</w:t>
      </w:r>
      <w:r>
        <w:t>: visuell akzeptierter Ankerkörper.</w:t>
      </w:r>
    </w:p>
    <w:p>
      <w:pPr>
        <w:pStyle w:val="ListBullet"/>
        <w:spacing w:after="20"/>
      </w:pPr>
      <w:r>
        <w:rPr>
          <w:rFonts w:ascii="Consolas" w:hAnsi="Consolas"/>
          <w:sz w:val="16"/>
        </w:rPr>
        <w:t>UNCERTAIN</w:t>
      </w:r>
      <w:r>
        <w:t>: keine positive oder negative Regel ableiten.</w:t>
      </w:r>
    </w:p>
    <w:p>
      <w:pPr>
        <w:pStyle w:val="ListBullet"/>
        <w:spacing w:after="20"/>
      </w:pPr>
      <w:r>
        <w:rPr>
          <w:rFonts w:ascii="Consolas" w:hAnsi="Consolas"/>
          <w:sz w:val="16"/>
        </w:rPr>
        <w:t>REJECTED_LOCAL</w:t>
      </w:r>
      <w:r>
        <w:t>: lokaler negativer Referenzpunkt; kein globales Verbot.</w:t>
      </w:r>
    </w:p>
    <w:p>
      <w:pPr>
        <w:pStyle w:val="ListBullet"/>
        <w:spacing w:after="20"/>
      </w:pPr>
      <w:r>
        <w:rPr>
          <w:rFonts w:ascii="Consolas" w:hAnsi="Consolas"/>
          <w:sz w:val="16"/>
        </w:rPr>
        <w:t>SAFE_EDGE</w:t>
      </w:r>
      <w:r>
        <w:t xml:space="preserve"> (spätere Phase): kleine Verbindung zwischen nahen akzeptierten Körpern, deren Zwischenstufen geprüft wurden.</w:t>
      </w:r>
    </w:p>
    <w:p>
      <w:pPr>
        <w:spacing w:after="60"/>
      </w:pPr>
      <w:r>
        <w:t>Zwei akzeptierte Endpunkte garantieren nicht automatisch, dass jede Interpolation dazwischen gültig ist. Zwischenstufen müssen separat technisch geprüft und bei Bedarf human auditiert werden.</w:t>
      </w:r>
    </w:p>
    <w:p>
      <w:pPr>
        <w:pStyle w:val="Heading1"/>
      </w:pPr>
      <w:r>
        <w:t>5. Aktueller Build v0.8.29.4 · BODY BANK SOLVER 1.1 · TOP-3 + BIDIRECTIONAL PROBING</w:t>
      </w:r>
    </w:p>
    <w:p>
      <w:pPr>
        <w:pStyle w:val="Heading2"/>
      </w:pPr>
      <w:r>
        <w:t>5.1 Kanonische Body Bank</w:t>
      </w:r>
    </w:p>
    <w:p>
      <w:pPr>
        <w:spacing w:after="60"/>
      </w:pPr>
      <w:r>
        <w:t xml:space="preserve">Der kanonische </w:t>
      </w:r>
      <w:r>
        <w:rPr>
          <w:rFonts w:ascii="Consolas" w:hAnsi="Consolas"/>
          <w:sz w:val="16"/>
        </w:rPr>
        <w:t>body-bank-index-v1.json</w:t>
      </w:r>
      <w:r>
        <w:t xml:space="preserve"> bleibt inhaltlich bei </w:t>
      </w:r>
      <w:r>
        <w:rPr>
          <w:b/>
        </w:rPr>
        <w:t>397 eindeutigen Nodes</w:t>
      </w:r>
      <w:r>
        <w:t xml:space="preserve"> aus Phase 2 plus abgeschlossenem 32er ACTIVE-Audit:</w:t>
      </w:r>
    </w:p>
    <w:p>
      <w:pPr>
        <w:pStyle w:val="ListBullet"/>
        <w:spacing w:after="20"/>
      </w:pPr>
      <w:r>
        <w:t xml:space="preserve">269 </w:t>
      </w:r>
      <w:r>
        <w:rPr>
          <w:rFonts w:ascii="Consolas" w:hAnsi="Consolas"/>
          <w:sz w:val="16"/>
        </w:rPr>
        <w:t>trusted</w:t>
      </w:r>
      <w:r>
        <w:t>,</w:t>
      </w:r>
    </w:p>
    <w:p>
      <w:pPr>
        <w:pStyle w:val="ListBullet"/>
        <w:spacing w:after="20"/>
      </w:pPr>
      <w:r>
        <w:t xml:space="preserve">91 </w:t>
      </w:r>
      <w:r>
        <w:rPr>
          <w:rFonts w:ascii="Consolas" w:hAnsi="Consolas"/>
          <w:sz w:val="16"/>
        </w:rPr>
        <w:t>frontier</w:t>
      </w:r>
      <w:r>
        <w:t>,</w:t>
      </w:r>
    </w:p>
    <w:p>
      <w:pPr>
        <w:pStyle w:val="ListBullet"/>
        <w:spacing w:after="20"/>
      </w:pPr>
      <w:r>
        <w:t xml:space="preserve">37 </w:t>
      </w:r>
      <w:r>
        <w:rPr>
          <w:rFonts w:ascii="Consolas" w:hAnsi="Consolas"/>
          <w:sz w:val="16"/>
        </w:rPr>
        <w:t>negative</w:t>
      </w:r>
      <w:r>
        <w:t>,</w:t>
      </w:r>
    </w:p>
    <w:p>
      <w:pPr>
        <w:pStyle w:val="ListBullet"/>
        <w:spacing w:after="20"/>
      </w:pPr>
      <w:r>
        <w:t xml:space="preserve">0 </w:t>
      </w:r>
      <w:r>
        <w:rPr>
          <w:rFonts w:ascii="Consolas" w:hAnsi="Consolas"/>
          <w:sz w:val="16"/>
        </w:rPr>
        <w:t>unchecked</w:t>
      </w:r>
      <w:r>
        <w:t>.</w:t>
      </w:r>
    </w:p>
    <w:p>
      <w:pPr>
        <w:spacing w:after="60"/>
      </w:pPr>
      <w:r>
        <w:rPr>
          <w:rFonts w:ascii="Consolas" w:hAnsi="Consolas"/>
          <w:sz w:val="16"/>
        </w:rPr>
        <w:t>negative</w:t>
      </w:r>
      <w:r>
        <w:t xml:space="preserve"> bleibt lokales Negativwissen. Kein Audit-Vote wird in eine globale Slidergrenze übersetzt. Der bekannte fehlerhafte </w:t>
      </w:r>
      <w:r>
        <w:rPr>
          <w:rFonts w:ascii="Consolas" w:hAnsi="Consolas"/>
          <w:sz w:val="16"/>
        </w:rPr>
        <w:t>shoulderJointBreadth</w:t>
      </w:r>
      <w:r>
        <w:t>-Proxy bleibt aus Retrieval und Auto-Gates ausgeschlossen.</w:t>
      </w:r>
    </w:p>
    <w:p>
      <w:pPr>
        <w:spacing w:after="60"/>
      </w:pPr>
      <w:r>
        <w:t xml:space="preserve">Die erfolgreichen v0.8.29.3 Proof-/Manuallauf-JSONs werden als Solver-Evidenz im vollständigen Projektstand mitgeführt. Neue, durch Proof oder manuellen Solver erzeugte und noch nicht bewertete Kandidaten bleiben auf demselben GitHub-Origin über den bestehenden Pending-/ACTIVE-LocalStorage erhalten und werden nicht stillschweigend als </w:t>
      </w:r>
      <w:r>
        <w:rPr>
          <w:rFonts w:ascii="Consolas" w:hAnsi="Consolas"/>
          <w:sz w:val="16"/>
        </w:rPr>
        <w:t>trusted</w:t>
      </w:r>
      <w:r>
        <w:t xml:space="preserve"> übernommen.</w:t>
      </w:r>
    </w:p>
    <w:p>
      <w:pPr>
        <w:pStyle w:val="Heading2"/>
      </w:pPr>
      <w:r>
        <w:t>5.2 Belastbare Solver-Evidenz aus v0.8.29.3</w:t>
      </w:r>
    </w:p>
    <w:p>
      <w:pPr>
        <w:spacing w:after="60"/>
      </w:pPr>
      <w:r>
        <w:t>Der Family-/Near-Neighbor-Holdout v1.2 entfernte pro Ziel:</w:t>
      </w:r>
    </w:p>
    <w:p>
      <w:pPr>
        <w:spacing w:after="20"/>
        <w:ind w:left="198" w:hanging="198"/>
      </w:pPr>
      <w:r>
        <w:t xml:space="preserve">1. </w:t>
      </w:r>
      <w:r>
        <w:t>den exakten Zielkörper,</w:t>
      </w:r>
    </w:p>
    <w:p>
      <w:pPr>
        <w:spacing w:after="20"/>
        <w:ind w:left="198" w:hanging="198"/>
      </w:pPr>
      <w:r>
        <w:t xml:space="preserve">2. </w:t>
      </w:r>
      <w:r>
        <w:t xml:space="preserve">die komplette </w:t>
      </w:r>
      <w:r>
        <w:rPr>
          <w:rFonts w:ascii="Consolas" w:hAnsi="Consolas"/>
          <w:sz w:val="16"/>
        </w:rPr>
        <w:t>familyId</w:t>
      </w:r>
      <w:r>
        <w:t>,</w:t>
      </w:r>
    </w:p>
    <w:p>
      <w:pPr>
        <w:spacing w:after="20"/>
        <w:ind w:left="198" w:hanging="198"/>
      </w:pPr>
      <w:r>
        <w:t xml:space="preserve">3. </w:t>
      </w:r>
      <w:r>
        <w:t xml:space="preserve">Core-Rezeptnachbarn mit Distanz </w:t>
      </w:r>
      <w:r>
        <w:rPr>
          <w:rFonts w:ascii="Consolas" w:hAnsi="Consolas"/>
          <w:sz w:val="16"/>
        </w:rPr>
        <w:t>&lt;= 0.16</w:t>
      </w:r>
      <w:r>
        <w:t>.</w:t>
      </w:r>
    </w:p>
    <w:p>
      <w:pPr>
        <w:spacing w:after="60"/>
      </w:pPr>
      <w:r>
        <w:t>Trotz dieses deutlich härteren Gates blieb die Architektur auf GO:</w:t>
      </w:r>
    </w:p>
    <w:p>
      <w:pPr>
        <w:pStyle w:val="ListBullet"/>
        <w:spacing w:after="20"/>
      </w:pPr>
      <w:r>
        <w:t xml:space="preserve">Neutral-Median: </w:t>
      </w:r>
      <w:r>
        <w:rPr>
          <w:rFonts w:ascii="Consolas" w:hAnsi="Consolas"/>
          <w:sz w:val="16"/>
        </w:rPr>
        <w:t>0.514685</w:t>
      </w:r>
      <w:r>
        <w:t>,</w:t>
      </w:r>
    </w:p>
    <w:p>
      <w:pPr>
        <w:pStyle w:val="ListBullet"/>
        <w:spacing w:after="20"/>
      </w:pPr>
      <w:r>
        <w:t xml:space="preserve">Retrieval-Median: </w:t>
      </w:r>
      <w:r>
        <w:rPr>
          <w:rFonts w:ascii="Consolas" w:hAnsi="Consolas"/>
          <w:sz w:val="16"/>
        </w:rPr>
        <w:t>0.435545</w:t>
      </w:r>
      <w:r>
        <w:t>,</w:t>
      </w:r>
    </w:p>
    <w:p>
      <w:pPr>
        <w:pStyle w:val="ListBullet"/>
        <w:spacing w:after="20"/>
      </w:pPr>
      <w:r>
        <w:t xml:space="preserve">Single-Seed Local-Fit-Median: </w:t>
      </w:r>
      <w:r>
        <w:rPr>
          <w:rFonts w:ascii="Consolas" w:hAnsi="Consolas"/>
          <w:sz w:val="16"/>
        </w:rPr>
        <w:t>0.303705</w:t>
      </w:r>
      <w:r>
        <w:t>,</w:t>
      </w:r>
    </w:p>
    <w:p>
      <w:pPr>
        <w:pStyle w:val="ListBullet"/>
        <w:spacing w:after="20"/>
      </w:pPr>
      <w:r>
        <w:t xml:space="preserve">Retrieval besser als neutral: </w:t>
      </w:r>
      <w:r>
        <w:rPr>
          <w:rFonts w:ascii="Consolas" w:hAnsi="Consolas"/>
          <w:sz w:val="16"/>
        </w:rPr>
        <w:t>11/16</w:t>
      </w:r>
      <w:r>
        <w:t>,</w:t>
      </w:r>
    </w:p>
    <w:p>
      <w:pPr>
        <w:pStyle w:val="ListBullet"/>
        <w:spacing w:after="20"/>
      </w:pPr>
      <w:r>
        <w:t xml:space="preserve">Local Fit verbessert Retrieval: </w:t>
      </w:r>
      <w:r>
        <w:rPr>
          <w:rFonts w:ascii="Consolas" w:hAnsi="Consolas"/>
          <w:sz w:val="16"/>
        </w:rPr>
        <w:t>11/16</w:t>
      </w:r>
      <w:r>
        <w:t>,</w:t>
      </w:r>
    </w:p>
    <w:p>
      <w:pPr>
        <w:pStyle w:val="ListBullet"/>
        <w:spacing w:after="20"/>
      </w:pPr>
      <w:r>
        <w:t xml:space="preserve">finaler Local Fit besser als neutral: </w:t>
      </w:r>
      <w:r>
        <w:rPr>
          <w:rFonts w:ascii="Consolas" w:hAnsi="Consolas"/>
          <w:sz w:val="16"/>
        </w:rPr>
        <w:t>14/16</w:t>
      </w:r>
      <w:r>
        <w:t>.</w:t>
      </w:r>
    </w:p>
    <w:p>
      <w:pPr>
        <w:spacing w:after="60"/>
      </w:pPr>
      <w:r>
        <w:t xml:space="preserve">Damit gilt die Kernhypothese </w:t>
      </w:r>
      <w:r>
        <w:rPr>
          <w:rFonts w:ascii="Consolas" w:hAnsi="Consolas"/>
          <w:sz w:val="16"/>
        </w:rPr>
        <w:t>auditiertes Retrieval -&gt; kleiner lokaler Fit</w:t>
      </w:r>
      <w:r>
        <w:t xml:space="preserve"> als ausreichend gestützt, um den Solver gezielt weiterzuentwickeln. Dies ist weiterhin </w:t>
      </w:r>
      <w:r>
        <w:rPr>
          <w:b/>
        </w:rPr>
        <w:t>kein Beweis realanthropometrischer Rekonstruktion</w:t>
      </w:r>
      <w:r>
        <w:t>, weil Zielkörper und Zielmaße aus dem eigenen Anny-Raum stammen.</w:t>
      </w:r>
    </w:p>
    <w:p>
      <w:pPr>
        <w:pStyle w:val="Heading2"/>
      </w:pPr>
      <w:r>
        <w:t>5.3 Kritischer Fund: Morphname bestimmt keine Wirkrichtung</w:t>
      </w:r>
    </w:p>
    <w:p>
      <w:pPr>
        <w:spacing w:after="60"/>
      </w:pPr>
      <w:r>
        <w:t xml:space="preserve">Der vollständige v0.8.29.3-Trace zeigte, dass derselbe direkte Brust-Controller </w:t>
      </w:r>
      <w:r>
        <w:rPr>
          <w:rFonts w:ascii="Consolas" w:hAnsi="Consolas"/>
          <w:sz w:val="16"/>
        </w:rPr>
        <w:t>measure-bust-circ-incr</w:t>
      </w:r>
      <w:r>
        <w:t xml:space="preserve"> abhängig vom konkreten Körperkontext gegensätzliche lokale Messableitungen besitzen kann. Im manuellen Kontrollkörper war die lokale Ableitung negativ; andere Proof-Körper zeigten positive oder erneut stark negative Ableitungen.</w:t>
      </w:r>
    </w:p>
    <w:p>
      <w:pPr>
        <w:spacing w:after="60"/>
      </w:pPr>
      <w:r>
        <w:t>Daraus folgt verbindlich:</w:t>
      </w:r>
    </w:p>
    <w:p>
      <w:pPr>
        <w:spacing w:after="60"/>
      </w:pPr>
      <w:r>
        <w:rPr>
          <w:b/>
        </w:rPr>
        <w:t>Der Solver darf niemals aus `incr` / `decr` oder aus einem semantischen Morphnamen auf die aktuelle Messrichtung schließen.</w:t>
      </w:r>
    </w:p>
    <w:p>
      <w:pPr>
        <w:spacing w:after="60"/>
      </w:pPr>
      <w:r>
        <w:t>Jeder zugelassene Controller muss am konkreten Seed und im aktuellen bereits veränderten Körperzustand lokal vermessen werden.</w:t>
      </w:r>
    </w:p>
    <w:p>
      <w:pPr>
        <w:pStyle w:val="Heading2"/>
      </w:pPr>
      <w:r>
        <w:t>5.4 Bidirektionales Controller-Probing</w:t>
      </w:r>
    </w:p>
    <w:p>
      <w:pPr>
        <w:spacing w:after="60"/>
      </w:pPr>
      <w:r>
        <w:t>Ab v0.8.29.4 werden die vier erlaubten Local-Fit-Controller am konkreten Seed bidirektional geprobt:</w:t>
      </w:r>
    </w:p>
    <w:p>
      <w:pPr>
        <w:pStyle w:val="ListBullet"/>
        <w:spacing w:after="20"/>
      </w:pPr>
      <w:r>
        <w:rPr>
          <w:rFonts w:ascii="Consolas" w:hAnsi="Consolas"/>
          <w:sz w:val="16"/>
        </w:rPr>
        <w:t>core:height</w:t>
      </w:r>
      <w:r>
        <w:t>,</w:t>
      </w:r>
    </w:p>
    <w:p>
      <w:pPr>
        <w:pStyle w:val="ListBullet"/>
        <w:spacing w:after="20"/>
      </w:pPr>
      <w:r>
        <w:rPr>
          <w:rFonts w:ascii="Consolas" w:hAnsi="Consolas"/>
          <w:sz w:val="16"/>
        </w:rPr>
        <w:t>measure-bust-circ-incr</w:t>
      </w:r>
      <w:r>
        <w:t>,</w:t>
      </w:r>
    </w:p>
    <w:p>
      <w:pPr>
        <w:pStyle w:val="ListBullet"/>
        <w:spacing w:after="20"/>
      </w:pPr>
      <w:r>
        <w:rPr>
          <w:rFonts w:ascii="Consolas" w:hAnsi="Consolas"/>
          <w:sz w:val="16"/>
        </w:rPr>
        <w:t>measure-waist-circ-incr</w:t>
      </w:r>
      <w:r>
        <w:t>,</w:t>
      </w:r>
    </w:p>
    <w:p>
      <w:pPr>
        <w:pStyle w:val="ListBullet"/>
        <w:spacing w:after="20"/>
      </w:pPr>
      <w:r>
        <w:rPr>
          <w:rFonts w:ascii="Consolas" w:hAnsi="Consolas"/>
          <w:sz w:val="16"/>
        </w:rPr>
        <w:t>measure-hips-circ-incr</w:t>
      </w:r>
      <w:r>
        <w:t>.</w:t>
      </w:r>
    </w:p>
    <w:p>
      <w:pPr>
        <w:spacing w:after="60"/>
      </w:pPr>
      <w:r>
        <w:t xml:space="preserve">Für jeden aktiven Controller werden, soweit die lokalen Bounds es erlauben, </w:t>
      </w:r>
      <w:r>
        <w:rPr>
          <w:rFonts w:ascii="Consolas" w:hAnsi="Consolas"/>
          <w:sz w:val="16"/>
        </w:rPr>
        <w:t>+epsilon</w:t>
      </w:r>
      <w:r>
        <w:t xml:space="preserve"> und </w:t>
      </w:r>
      <w:r>
        <w:rPr>
          <w:rFonts w:ascii="Consolas" w:hAnsi="Consolas"/>
          <w:sz w:val="16"/>
        </w:rPr>
        <w:t>-epsilon</w:t>
      </w:r>
      <w:r>
        <w:t xml:space="preserve"> getestet. Der Solver misst daraus die tatsächlichen lokalen Ableitungen und erzeugt mögliche Korrekturschritte aus der gemessenen Wirkung, nicht aus dem Morphnamen.</w:t>
      </w:r>
    </w:p>
    <w:p>
      <w:pPr>
        <w:spacing w:after="60"/>
      </w:pPr>
      <w:r>
        <w:t xml:space="preserve">Der Trace speichert Probe-Ausgaben, Ableitungen, gewählte Richtung/Quelle, mögliche lokale Vorzeichenwechsel sowie Rollback-Gründe. Die kleinen bisherigen Local-Bounds bleiben unverändert. Es werden </w:t>
      </w:r>
      <w:r>
        <w:rPr>
          <w:b/>
        </w:rPr>
        <w:t>keine neuen DOFs</w:t>
      </w:r>
      <w:r>
        <w:t xml:space="preserve"> freigeschaltet.</w:t>
      </w:r>
    </w:p>
    <w:p>
      <w:pPr>
        <w:pStyle w:val="Heading2"/>
      </w:pPr>
      <w:r>
        <w:t>5.5 Top-3 Local Fit</w:t>
      </w:r>
    </w:p>
    <w:p>
      <w:pPr>
        <w:spacing w:after="60"/>
      </w:pPr>
      <w:r>
        <w:t>Der Runtime-Solver verwendet weiterhin Trusted Retrieval. Neu ist die lokale Seedstrategie:</w:t>
      </w:r>
    </w:p>
    <w:p>
      <w:pPr>
        <w:spacing w:after="20"/>
        <w:ind w:left="198" w:hanging="198"/>
      </w:pPr>
      <w:r>
        <w:t xml:space="preserve">1. </w:t>
      </w:r>
      <w:r>
        <w:t>Retrieval erzeugt die Top-5-Vorschau.</w:t>
      </w:r>
    </w:p>
    <w:p>
      <w:pPr>
        <w:spacing w:after="20"/>
        <w:ind w:left="198" w:hanging="198"/>
      </w:pPr>
      <w:r>
        <w:t xml:space="preserve">2. </w:t>
      </w:r>
      <w:r>
        <w:t xml:space="preserve">Die Retrieval-Ränge </w:t>
      </w:r>
      <w:r>
        <w:rPr>
          <w:rFonts w:ascii="Consolas" w:hAnsi="Consolas"/>
          <w:sz w:val="16"/>
        </w:rPr>
        <w:t>#1</w:t>
      </w:r>
      <w:r>
        <w:t xml:space="preserve">, </w:t>
      </w:r>
      <w:r>
        <w:rPr>
          <w:rFonts w:ascii="Consolas" w:hAnsi="Consolas"/>
          <w:sz w:val="16"/>
        </w:rPr>
        <w:t>#2</w:t>
      </w:r>
      <w:r>
        <w:t xml:space="preserve"> und </w:t>
      </w:r>
      <w:r>
        <w:rPr>
          <w:rFonts w:ascii="Consolas" w:hAnsi="Consolas"/>
          <w:sz w:val="16"/>
        </w:rPr>
        <w:t>#3</w:t>
      </w:r>
      <w:r>
        <w:t xml:space="preserve"> werden unabhängig voneinander lokal gefittet.</w:t>
      </w:r>
    </w:p>
    <w:p>
      <w:pPr>
        <w:spacing w:after="20"/>
        <w:ind w:left="198" w:hanging="198"/>
      </w:pPr>
      <w:r>
        <w:t xml:space="preserve">3. </w:t>
      </w:r>
      <w:r>
        <w:t>Jeder Fit startet exakt vom jeweiligen auditierten Seed und bleibt in dessen lokalen Bounds.</w:t>
      </w:r>
    </w:p>
    <w:p>
      <w:pPr>
        <w:spacing w:after="20"/>
        <w:ind w:left="198" w:hanging="198"/>
      </w:pPr>
      <w:r>
        <w:t xml:space="preserve">4. </w:t>
      </w:r>
      <w:r>
        <w:t xml:space="preserve">Der kleinste zulässige finale </w:t>
      </w:r>
      <w:r>
        <w:rPr>
          <w:rFonts w:ascii="Consolas" w:hAnsi="Consolas"/>
          <w:sz w:val="16"/>
        </w:rPr>
        <w:t>geometryScore</w:t>
      </w:r>
      <w:r>
        <w:t xml:space="preserve"> gewinnt; bei Gleichstand wird der kleinere lokale Abstand bevorzugt.</w:t>
      </w:r>
    </w:p>
    <w:p>
      <w:pPr>
        <w:spacing w:after="20"/>
        <w:ind w:left="198" w:hanging="198"/>
      </w:pPr>
      <w:r>
        <w:t xml:space="preserve">5. </w:t>
      </w:r>
      <w:r>
        <w:t xml:space="preserve">Nur der Gewinner wird dargestellt und - falls verändert - als </w:t>
      </w:r>
      <w:r>
        <w:rPr>
          <w:rFonts w:ascii="Consolas" w:hAnsi="Consolas"/>
          <w:sz w:val="16"/>
        </w:rPr>
        <w:t>local-unaudited</w:t>
      </w:r>
      <w:r>
        <w:t xml:space="preserve"> an </w:t>
      </w:r>
      <w:r>
        <w:rPr>
          <w:rFonts w:ascii="Consolas" w:hAnsi="Consolas"/>
          <w:sz w:val="16"/>
        </w:rPr>
        <w:t>BANK -&gt; ACTIVE</w:t>
      </w:r>
      <w:r>
        <w:t xml:space="preserve"> übergeben.</w:t>
      </w:r>
    </w:p>
    <w:p>
      <w:pPr>
        <w:spacing w:after="60"/>
      </w:pPr>
      <w:r>
        <w:t>Damit kann ein Seed, der vor Local Fit knapp schlechter gerankt war, gewinnen, wenn seine lokale Geometrie besser kontrollierbar ist. Der Solver darf dafür weder Cross-Region-Morphs noch größere Bounds benutzen.</w:t>
      </w:r>
    </w:p>
    <w:p>
      <w:pPr>
        <w:pStyle w:val="Heading2"/>
      </w:pPr>
      <w:r>
        <w:t>5.6 Human-Audit-Status und Solver-Eignung sind getrennt</w:t>
      </w:r>
    </w:p>
    <w:p>
      <w:pPr>
        <w:spacing w:after="60"/>
      </w:pPr>
      <w:r>
        <w:t xml:space="preserve">Ein </w:t>
      </w:r>
      <w:r>
        <w:rPr>
          <w:rFonts w:ascii="Consolas" w:hAnsi="Consolas"/>
          <w:sz w:val="16"/>
        </w:rPr>
        <w:t>HUMAN_ACCEPTED</w:t>
      </w:r>
      <w:r>
        <w:t xml:space="preserve"> / </w:t>
      </w:r>
      <w:r>
        <w:rPr>
          <w:rFonts w:ascii="Consolas" w:hAnsi="Consolas"/>
          <w:sz w:val="16"/>
        </w:rPr>
        <w:t>trusted</w:t>
      </w:r>
      <w:r>
        <w:t xml:space="preserve"> Körper bleibt wertvolles visuelles Plausibilitätswissen. Eine technisch kaputte Brust-/Taillen-/Hüftmessung darf diesen Human-Vote nicht nachträglich löschen.</w:t>
      </w:r>
    </w:p>
    <w:p>
      <w:pPr>
        <w:spacing w:after="60"/>
      </w:pPr>
      <w:r>
        <w:t>Ab v0.8.29.4 wird deshalb explizit getrennt:</w:t>
      </w:r>
    </w:p>
    <w:p>
      <w:pPr>
        <w:pStyle w:val="ListBullet"/>
        <w:spacing w:after="20"/>
      </w:pPr>
      <w:r>
        <w:rPr>
          <w:rFonts w:ascii="Consolas" w:hAnsi="Consolas"/>
          <w:sz w:val="16"/>
        </w:rPr>
        <w:t>trusted</w:t>
      </w:r>
      <w:r>
        <w:t>: visuell akzeptierter Körper im auditierten Körperraum,</w:t>
      </w:r>
    </w:p>
    <w:p>
      <w:pPr>
        <w:pStyle w:val="ListBullet"/>
        <w:spacing w:after="20"/>
      </w:pPr>
      <w:r>
        <w:rPr>
          <w:rFonts w:ascii="Consolas" w:hAnsi="Consolas"/>
          <w:sz w:val="16"/>
        </w:rPr>
        <w:t>solverEligible</w:t>
      </w:r>
      <w:r>
        <w:t>: die für den aktuellen Solver benötigten technischen Messungen bestehen den breiten Measurement-Sanity-Gate.</w:t>
      </w:r>
    </w:p>
    <w:p>
      <w:pPr>
        <w:spacing w:after="60"/>
      </w:pPr>
      <w:r>
        <w:t xml:space="preserve">Ein </w:t>
      </w:r>
      <w:r>
        <w:rPr>
          <w:rFonts w:ascii="Consolas" w:hAnsi="Consolas"/>
          <w:sz w:val="16"/>
        </w:rPr>
        <w:t>trusted</w:t>
      </w:r>
      <w:r>
        <w:t>, aber aktuell solver-ineligible Körper wird aus der betreffenden Retrieval-Shortlist ausgeschlossen. Sein Auditstatus bleibt erhalten. Der gleiche Gate wird auch auf den finalen Local-Fit-Zustand angewandt; ein technischer Ausfall führt zum Rollback auf den auditierten Seed.</w:t>
      </w:r>
    </w:p>
    <w:p>
      <w:pPr>
        <w:pStyle w:val="Heading2"/>
      </w:pPr>
      <w:r>
        <w:t>5.7 Kanonische Statur und Scoretrennung bleiben verbindlich</w:t>
      </w:r>
    </w:p>
    <w:p>
      <w:pPr>
        <w:spacing w:after="60"/>
      </w:pPr>
      <w:r>
        <w:t xml:space="preserve">Der Body-Bank-Solver verwendet weiterhin ausschließlich die </w:t>
      </w:r>
      <w:r>
        <w:rPr>
          <w:b/>
        </w:rPr>
        <w:t>exakte Anny-Rest-Mesh-Bounding-Box-Höhe</w:t>
      </w:r>
      <w:r>
        <w:t xml:space="preserve"> als kanonische Statur. Die ältere Measurement-Stack-Statur bleibt Diagnosewert.</w:t>
      </w:r>
    </w:p>
    <w:p>
      <w:pPr>
        <w:spacing w:after="60"/>
      </w:pPr>
      <w:r>
        <w:t>Scoretrennung:</w:t>
      </w:r>
    </w:p>
    <w:p>
      <w:pPr>
        <w:pStyle w:val="ListBullet"/>
        <w:spacing w:after="20"/>
      </w:pPr>
      <w:r>
        <w:rPr>
          <w:rFonts w:ascii="Consolas" w:hAnsi="Consolas"/>
          <w:sz w:val="16"/>
        </w:rPr>
        <w:t>geometryScore</w:t>
      </w:r>
      <w:r>
        <w:t>: Statur + Brust + Taille + Hüfte/Gesäß,</w:t>
      </w:r>
    </w:p>
    <w:p>
      <w:pPr>
        <w:pStyle w:val="ListBullet"/>
        <w:spacing w:after="20"/>
      </w:pPr>
      <w:r>
        <w:rPr>
          <w:rFonts w:ascii="Consolas" w:hAnsi="Consolas"/>
          <w:sz w:val="16"/>
        </w:rPr>
        <w:t>weightPriorScore</w:t>
      </w:r>
      <w:r>
        <w:t>: separater Retrieval-/Diagnosewert,</w:t>
      </w:r>
    </w:p>
    <w:p>
      <w:pPr>
        <w:pStyle w:val="ListBullet"/>
        <w:spacing w:after="20"/>
      </w:pPr>
      <w:r>
        <w:rPr>
          <w:rFonts w:ascii="Consolas" w:hAnsi="Consolas"/>
          <w:sz w:val="16"/>
        </w:rPr>
        <w:t>Local-Fit global gate</w:t>
      </w:r>
      <w:r>
        <w:t>: ausschließlich steuerbare Geometrie.</w:t>
      </w:r>
    </w:p>
    <w:p>
      <w:pPr>
        <w:spacing w:after="60"/>
      </w:pPr>
      <w:r>
        <w:t>Weight/Muscle werden weiterhin nicht frei nachoptimiert.</w:t>
      </w:r>
    </w:p>
    <w:p>
      <w:pPr>
        <w:pStyle w:val="Heading2"/>
      </w:pPr>
      <w:r>
        <w:t>5.8 Neuer Proof v1.3 · 24er Family-Holdout mit Single-vs-Top-3</w:t>
      </w:r>
    </w:p>
    <w:p>
      <w:pPr>
        <w:spacing w:after="60"/>
      </w:pPr>
      <w:r>
        <w:t xml:space="preserve">Der nächste Architekturtest umfasst </w:t>
      </w:r>
      <w:r>
        <w:rPr>
          <w:b/>
        </w:rPr>
        <w:t>24 geschlechtsbalancierte Family-Holdouts</w:t>
      </w:r>
      <w:r>
        <w:t xml:space="preserve"> im Produktbereich 140–205 cm. Die bisherigen Ausschlüsse bleiben identisch: Zielkörper, komplette Familie und Core-Nachbarn </w:t>
      </w:r>
      <w:r>
        <w:rPr>
          <w:rFonts w:ascii="Consolas" w:hAnsi="Consolas"/>
          <w:sz w:val="16"/>
        </w:rPr>
        <w:t>&lt;= 0.16</w:t>
      </w:r>
      <w:r>
        <w:t xml:space="preserve"> werden verborgen.</w:t>
      </w:r>
    </w:p>
    <w:p>
      <w:pPr>
        <w:spacing w:after="60"/>
      </w:pPr>
      <w:r>
        <w:t>Für exakt dieselbe Retrieval-Shortlist werden vier Stufen verglichen:</w:t>
      </w:r>
    </w:p>
    <w:p>
      <w:pPr>
        <w:spacing w:after="60"/>
      </w:pPr>
      <w:r>
        <w:rPr>
          <w:rFonts w:ascii="Consolas" w:hAnsi="Consolas"/>
          <w:sz w:val="16"/>
        </w:rPr>
        <w:t>Neutral -&gt; Retrieval -&gt; Single-Seed Local Fit (#1) -&gt; Top-3 Local Fit (#1-#3)</w:t>
      </w:r>
      <w:r>
        <w:t>.</w:t>
      </w:r>
    </w:p>
    <w:p>
      <w:pPr>
        <w:spacing w:after="60"/>
      </w:pPr>
      <w:r>
        <w:t>Damit wird der Zusatznutzen von Top-3 isoliert, ohne gleichzeitig Bank, Holdout-Regel oder Morphraum zu verändern.</w:t>
      </w:r>
    </w:p>
    <w:p>
      <w:pPr>
        <w:spacing w:after="60"/>
      </w:pPr>
      <w:r>
        <w:t>GO-Gate:</w:t>
      </w:r>
    </w:p>
    <w:p>
      <w:pPr>
        <w:pStyle w:val="ListBullet"/>
        <w:spacing w:after="20"/>
      </w:pPr>
      <w:r>
        <w:t>Retrieval-Median &lt; Neutral-Median,</w:t>
      </w:r>
    </w:p>
    <w:p>
      <w:pPr>
        <w:pStyle w:val="ListBullet"/>
        <w:spacing w:after="20"/>
      </w:pPr>
      <w:r>
        <w:t>Top-3-Median &lt;= Single-Seed-Median,</w:t>
      </w:r>
    </w:p>
    <w:p>
      <w:pPr>
        <w:pStyle w:val="ListBullet"/>
        <w:spacing w:after="20"/>
      </w:pPr>
      <w:r>
        <w:t>Top-3-Median &lt;= Retrieval-Median.</w:t>
      </w:r>
    </w:p>
    <w:p>
      <w:pPr>
        <w:spacing w:after="60"/>
      </w:pPr>
      <w:r>
        <w:t>Zusätzlich werden Top-3-Zusatzgewinne pro Fall, Gewinner-Rang und alle drei lokalen Controller-Traces exportiert.</w:t>
      </w:r>
    </w:p>
    <w:p>
      <w:pPr>
        <w:pStyle w:val="Heading2"/>
      </w:pPr>
      <w:r>
        <w:t>5.9 Deployment-/BANK-Regeln bleiben gültig</w:t>
      </w:r>
    </w:p>
    <w:p>
      <w:pPr>
        <w:spacing w:after="60"/>
      </w:pPr>
      <w:r>
        <w:t xml:space="preserve">Splash, Hauptlabel, HTML-Titel, </w:t>
      </w:r>
      <w:r>
        <w:rPr>
          <w:rFonts w:ascii="Consolas" w:hAnsi="Consolas"/>
          <w:sz w:val="16"/>
        </w:rPr>
        <w:t>SAMMY_APP_VERSION</w:t>
      </w:r>
      <w:r>
        <w:t xml:space="preserve"> sowie JS-/CSS-Cache-Tags müssen dieselbe Version tragen. Der statische Release-Gate prüft diese Marker gemeinsam.</w:t>
      </w:r>
    </w:p>
    <w:p>
      <w:pPr>
        <w:spacing w:after="60"/>
      </w:pPr>
      <w:r>
        <w:t>Der menu-safe Dual Viewport, unabhängige Kameras, Last-Interaction-Auswahl, optionales AutoFit pro Viewport, blinde Präsentation, 205-cm-Audit-Cap und das vertagte Kopf-/Head-Fat-Thema bleiben unverändert erhalten.</w:t>
      </w:r>
    </w:p>
    <w:p>
      <w:pPr>
        <w:pStyle w:val="Heading1"/>
      </w:pPr>
      <w:r>
        <w:t>6. Rolle des bisherigen Wissens</w:t>
      </w:r>
    </w:p>
    <w:p>
      <w:pPr>
        <w:spacing w:after="60"/>
      </w:pPr>
      <w:r>
        <w:t xml:space="preserve">Die bisherige Arbeit wird </w:t>
      </w:r>
      <w:r>
        <w:rPr>
          <w:b/>
        </w:rPr>
        <w:t>nicht verworfen</w:t>
      </w:r>
      <w:r>
        <w:t>. Sie ändert ihre Rolle.</w:t>
      </w:r>
    </w:p>
    <w:p>
      <w:pPr>
        <w:spacing w:after="60"/>
      </w:pPr>
      <w:r>
        <w:t>Weiterzuverwenden sind insbesondere:</w:t>
      </w:r>
    </w:p>
    <w:p>
      <w:pPr>
        <w:pStyle w:val="ListBullet"/>
        <w:spacing w:after="20"/>
      </w:pPr>
      <w:r>
        <w:t>Landmark- und Messdefinitionen,</w:t>
      </w:r>
    </w:p>
    <w:p>
      <w:pPr>
        <w:pStyle w:val="ListBullet"/>
        <w:spacing w:after="20"/>
      </w:pPr>
      <w:r>
        <w:t>geometrische Messoperatoren und Region-Masks,</w:t>
      </w:r>
    </w:p>
    <w:p>
      <w:pPr>
        <w:pStyle w:val="ListBullet"/>
        <w:spacing w:after="20"/>
      </w:pPr>
      <w:r>
        <w:t>Symmetrie-Regeln,</w:t>
      </w:r>
    </w:p>
    <w:p>
      <w:pPr>
        <w:pStyle w:val="ListBullet"/>
        <w:spacing w:after="20"/>
      </w:pPr>
      <w:r>
        <w:t>Morph Influence Atlas,</w:t>
      </w:r>
    </w:p>
    <w:p>
      <w:pPr>
        <w:pStyle w:val="ListBullet"/>
        <w:spacing w:after="20"/>
      </w:pPr>
      <w:r>
        <w:t>Morph Observatory / Skelettreaktionen,</w:t>
      </w:r>
    </w:p>
    <w:p>
      <w:pPr>
        <w:pStyle w:val="ListBullet"/>
        <w:spacing w:after="20"/>
      </w:pPr>
      <w:r>
        <w:t>gekoppelte Morph-/Slidergruppen,</w:t>
      </w:r>
    </w:p>
    <w:p>
      <w:pPr>
        <w:pStyle w:val="ListBullet"/>
        <w:spacing w:after="20"/>
      </w:pPr>
      <w:r>
        <w:t>Stabilitäts- und Regressions-Gates,</w:t>
      </w:r>
    </w:p>
    <w:p>
      <w:pPr>
        <w:pStyle w:val="ListBullet"/>
        <w:spacing w:after="20"/>
      </w:pPr>
      <w:r>
        <w:t>ANSUR-/Studienwissen als Mess- und Plausibilitätsreferenz,</w:t>
      </w:r>
    </w:p>
    <w:p>
      <w:pPr>
        <w:pStyle w:val="ListBullet"/>
        <w:spacing w:after="20"/>
      </w:pPr>
      <w:r>
        <w:t>Solver-Fehlschläge als Information über ungeeignete Freiheitsgrade und Cross-Region-Risiken.</w:t>
      </w:r>
    </w:p>
    <w:p>
      <w:pPr>
        <w:spacing w:after="60"/>
      </w:pPr>
      <w:r>
        <w:t>Diese Informationen sollen den Body-Bank-Generator, automatische Plausibilitätschecks und spätere lokale Fitter begrenzen, nicht erneut einen freien globalen Solver rechtfertigen.</w:t>
      </w:r>
    </w:p>
    <w:p>
      <w:pPr>
        <w:pStyle w:val="Heading1"/>
      </w:pPr>
      <w:r>
        <w:t>7. ANSUR / externe Studien</w:t>
      </w:r>
    </w:p>
    <w:p>
      <w:pPr>
        <w:spacing w:after="6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pPr>
      <w:r>
        <w:t>8. Produktionspfad vs. Forschungsarchiv</w:t>
      </w:r>
    </w:p>
    <w:p>
      <w:pPr>
        <w:pStyle w:val="Heading2"/>
      </w:pPr>
      <w:r>
        <w:t>Aktueller Produktions-/Produktpfad</w:t>
      </w:r>
    </w:p>
    <w:p>
      <w:pPr>
        <w:pStyle w:val="ListBullet"/>
        <w:spacing w:after="20"/>
      </w:pPr>
      <w:r>
        <w:rPr>
          <w:b/>
        </w:rPr>
        <w:t>Body Bank Solver 1.0</w:t>
      </w:r>
      <w:r>
        <w:t xml:space="preserve"> ist ab v0.8.29.0 der aktuelle Architektur-POC für den zukünftigen Produktpfad: </w:t>
      </w:r>
      <w:r>
        <w:rPr>
          <w:rFonts w:ascii="Consolas" w:hAnsi="Consolas"/>
          <w:sz w:val="16"/>
        </w:rPr>
        <w:t>trusted</w:t>
      </w:r>
      <w:r>
        <w:t xml:space="preserve"> Retrieval -&gt; Top-K -&gt; kleiner anatomisch begrenzter Local Fit -&gt; Active Audit.</w:t>
      </w:r>
    </w:p>
    <w:p>
      <w:pPr>
        <w:pStyle w:val="ListBullet"/>
        <w:spacing w:after="20"/>
      </w:pPr>
      <w:r>
        <w:rPr>
          <w:rFonts w:ascii="Consolas" w:hAnsi="Consolas"/>
          <w:sz w:val="16"/>
        </w:rPr>
        <w:t>BANK -&gt; ACTIVE</w:t>
      </w:r>
      <w:r>
        <w:t xml:space="preserve"> ist der Human-in-the-loop-Lernpfad für neue Solverzustände; Accepted-Votes können sofort lokal als neue Seeds verwendet werden.</w:t>
      </w:r>
    </w:p>
    <w:p>
      <w:pPr>
        <w:pStyle w:val="ListBullet"/>
        <w:spacing w:after="20"/>
      </w:pPr>
      <w:r>
        <w:t>Body Fit v1.2 aus v0.8.27.2 bleibt unverändert als Vergleich/Fallback-Prototyp verfügbar, ist aber nicht mehr der bevorzugte Körperaufbaupfad.</w:t>
      </w:r>
    </w:p>
    <w:p>
      <w:pPr>
        <w:pStyle w:val="ListBullet"/>
        <w:spacing w:after="20"/>
      </w:pPr>
      <w:r>
        <w:t>Der menu-safe Dual Viewport und die bisherigen Phase-2-Auditdaten bleiben erhalten.</w:t>
      </w:r>
    </w:p>
    <w:p>
      <w:pPr>
        <w:pStyle w:val="Heading2"/>
      </w:pPr>
      <w:r>
        <w:t>Forschungsarchiv</w:t>
      </w:r>
    </w:p>
    <w:p>
      <w:pPr>
        <w:spacing w:after="60"/>
      </w:pPr>
      <w:r>
        <w:t>Weiter verfügbar, aber nicht automatisch Produktionsarchitektur:</w:t>
      </w:r>
    </w:p>
    <w:p>
      <w:pPr>
        <w:pStyle w:val="ListBullet"/>
        <w:spacing w:after="20"/>
      </w:pPr>
      <w:r>
        <w:t>Solver24,</w:t>
      </w:r>
    </w:p>
    <w:p>
      <w:pPr>
        <w:pStyle w:val="ListBullet"/>
        <w:spacing w:after="20"/>
      </w:pPr>
      <w:r>
        <w:t>Solver V2 Proof,</w:t>
      </w:r>
    </w:p>
    <w:p>
      <w:pPr>
        <w:pStyle w:val="ListBullet"/>
        <w:spacing w:after="20"/>
      </w:pPr>
      <w:r>
        <w:t>Real-ANSUR-Stress,</w:t>
      </w:r>
    </w:p>
    <w:p>
      <w:pPr>
        <w:pStyle w:val="ListBullet"/>
        <w:spacing w:after="20"/>
      </w:pPr>
      <w:r>
        <w:t>Pragmatic Repair / Residual Convergence,</w:t>
      </w:r>
    </w:p>
    <w:p>
      <w:pPr>
        <w:pStyle w:val="ListBullet"/>
        <w:spacing w:after="20"/>
      </w:pPr>
      <w:r>
        <w:t>Morph &lt;-&gt; Messebene Alignment,</w:t>
      </w:r>
    </w:p>
    <w:p>
      <w:pPr>
        <w:pStyle w:val="ListBullet"/>
        <w:spacing w:after="20"/>
      </w:pPr>
      <w:r>
        <w:t>Solver Shape Layer,</w:t>
      </w:r>
    </w:p>
    <w:p>
      <w:pPr>
        <w:pStyle w:val="ListBullet"/>
        <w:spacing w:after="20"/>
      </w:pPr>
      <w:r>
        <w:t>Legacy Blind Audit (</w:t>
      </w:r>
      <w:r>
        <w:rPr>
          <w:rFonts w:ascii="Consolas" w:hAnsi="Consolas"/>
          <w:sz w:val="16"/>
        </w:rPr>
        <w:t>AUDT</w:t>
      </w:r>
      <w:r>
        <w:t>).</w:t>
      </w:r>
    </w:p>
    <w:p>
      <w:pPr>
        <w:spacing w:after="60"/>
      </w:pPr>
      <w:r>
        <w:t>Diese Pfade dürfen als Diagnose, Vergleich oder Datenquelle genutzt werden. Ein fehlgeschlagener Body-Bank-Test ist kein automatischer Auftrag, zu einem alten globalen Solver zurückzukehren.</w:t>
      </w:r>
    </w:p>
    <w:p>
      <w:pPr>
        <w:pStyle w:val="Heading1"/>
      </w:pPr>
      <w:r>
        <w:t>9. Nicht verhandelbare technische Regeln</w:t>
      </w:r>
    </w:p>
    <w:p>
      <w:pPr>
        <w:pStyle w:val="ListBullet"/>
        <w:spacing w:after="20"/>
      </w:pPr>
      <w:r>
        <w:t>Anatomische Regionen bleiben strikt getrennt; Torsomaße dürfen keine Arme fangen.</w:t>
      </w:r>
    </w:p>
    <w:p>
      <w:pPr>
        <w:pStyle w:val="ListBullet"/>
        <w:spacing w:after="20"/>
      </w:pPr>
      <w:r>
        <w:t>Symmetrische Parameter müssen bilateral konsistent wirken, sofern kein expliziter asymmetrischer Modus vorliegt.</w:t>
      </w:r>
    </w:p>
    <w:p>
      <w:pPr>
        <w:pStyle w:val="ListBullet"/>
        <w:spacing w:after="20"/>
      </w:pPr>
      <w:r>
        <w:t>Morphs dürfen nur für fachlich passende Körperregionen geroutet werden.</w:t>
      </w:r>
    </w:p>
    <w:p>
      <w:pPr>
        <w:pStyle w:val="ListBullet"/>
        <w:spacing w:after="20"/>
      </w:pPr>
      <w:r>
        <w:t>Gekoppelte Formänderungen (z. B. Width + Depth für einen Umfang) dürfen als semantischer Controller behandelt werden, wenn dies geometrisch sinnvoll ist.</w:t>
      </w:r>
    </w:p>
    <w:p>
      <w:pPr>
        <w:pStyle w:val="ListBullet"/>
        <w:spacing w:after="20"/>
      </w:pPr>
      <w:r>
        <w:t>Messfehler, Mesh-Limit, Lookup-Abdeckung und Fitterfehler müssen separat diagnostizierbar bleiben.</w:t>
      </w:r>
    </w:p>
    <w:p>
      <w:pPr>
        <w:pStyle w:val="ListBullet"/>
        <w:spacing w:after="20"/>
      </w:pPr>
      <w:r>
        <w:t>iPhone/Safari-Tauglichkeit und Resume/Persistenz sind Pflicht.</w:t>
      </w:r>
    </w:p>
    <w:p>
      <w:pPr>
        <w:pStyle w:val="Heading1"/>
      </w:pPr>
      <w:r>
        <w:t>10. Nächster Gate nach v0.8.29.4</w:t>
      </w:r>
    </w:p>
    <w:p>
      <w:pPr>
        <w:spacing w:after="60"/>
      </w:pPr>
      <w:r>
        <w:t xml:space="preserve">Der nächste Entscheidungs-Gate ist der </w:t>
      </w:r>
      <w:r>
        <w:rPr>
          <w:b/>
        </w:rPr>
        <w:t>24er Top-3 Family-Holdout Proof v1.3</w:t>
      </w:r>
      <w:r>
        <w:t>.</w:t>
      </w:r>
    </w:p>
    <w:p>
      <w:pPr>
        <w:pStyle w:val="Heading2"/>
      </w:pPr>
      <w:r>
        <w:t>Gate A · Architektur unter Top-3</w:t>
      </w:r>
    </w:p>
    <w:p>
      <w:pPr>
        <w:spacing w:after="60"/>
      </w:pPr>
      <w:r>
        <w:t>Der Proof muss zeigen:</w:t>
      </w:r>
    </w:p>
    <w:p>
      <w:pPr>
        <w:spacing w:after="20"/>
        <w:ind w:left="198" w:hanging="198"/>
      </w:pPr>
      <w:r>
        <w:t xml:space="preserve">1. </w:t>
      </w:r>
      <w:r>
        <w:t>Family-/Near-Neighbor-bereinigtes Retrieval schlägt den kanonisch höhenangepassten Neutralstart im Median.</w:t>
      </w:r>
    </w:p>
    <w:p>
      <w:pPr>
        <w:spacing w:after="20"/>
        <w:ind w:left="198" w:hanging="198"/>
      </w:pPr>
      <w:r>
        <w:t xml:space="preserve">2. </w:t>
      </w:r>
      <w:r>
        <w:t>Top-3 Local Fit ist im Median nicht schlechter als der Single-Seed-Fit von Retrieval-Rang #1.</w:t>
      </w:r>
    </w:p>
    <w:p>
      <w:pPr>
        <w:spacing w:after="20"/>
        <w:ind w:left="198" w:hanging="198"/>
      </w:pPr>
      <w:r>
        <w:t xml:space="preserve">3. </w:t>
      </w:r>
      <w:r>
        <w:t>Top-3 ist nicht schlechter als das unveränderte Retrieval.</w:t>
      </w:r>
    </w:p>
    <w:p>
      <w:pPr>
        <w:spacing w:after="20"/>
        <w:ind w:left="198" w:hanging="198"/>
      </w:pPr>
      <w:r>
        <w:t xml:space="preserve">4. </w:t>
      </w:r>
      <w:r>
        <w:t>Die Gewinner entstehen ausschließlich aus den erlaubten anatomischen Controllern und unveränderten kleinen Local-Bounds.</w:t>
      </w:r>
    </w:p>
    <w:p>
      <w:pPr>
        <w:spacing w:after="20"/>
        <w:ind w:left="198" w:hanging="198"/>
      </w:pPr>
      <w:r>
        <w:t xml:space="preserve">5. </w:t>
      </w:r>
      <w:r>
        <w:t xml:space="preserve">Technisch kaputte Messungen werden als </w:t>
      </w:r>
      <w:r>
        <w:rPr>
          <w:rFonts w:ascii="Consolas" w:hAnsi="Consolas"/>
          <w:sz w:val="16"/>
        </w:rPr>
        <w:t>solver-ineligible</w:t>
      </w:r>
      <w:r>
        <w:t xml:space="preserve"> verworfen, ohne Human-Auditwissen zu löschen.</w:t>
      </w:r>
    </w:p>
    <w:p>
      <w:pPr>
        <w:spacing w:after="20"/>
        <w:ind w:left="198" w:hanging="198"/>
      </w:pPr>
      <w:r>
        <w:t xml:space="preserve">6. </w:t>
      </w:r>
      <w:r>
        <w:t>Controller-Richtung wird aus bidirektional gemessener lokaler Wirkung bestimmt, nicht aus dem Morphnamen.</w:t>
      </w:r>
    </w:p>
    <w:p>
      <w:pPr>
        <w:spacing w:after="60"/>
      </w:pPr>
      <w:r>
        <w:t xml:space="preserve">Ein GO bedeutet: Die Kernarchitektur </w:t>
      </w:r>
      <w:r>
        <w:rPr>
          <w:rFonts w:ascii="Consolas" w:hAnsi="Consolas"/>
          <w:sz w:val="16"/>
        </w:rPr>
        <w:t>Trusted Retrieval -&gt; Top-3 Local Fit -&gt; Active Audit</w:t>
      </w:r>
      <w:r>
        <w:t xml:space="preserve"> ist für den nächsten Ausbau stabil genug. Danach soll </w:t>
      </w:r>
      <w:r>
        <w:rPr>
          <w:b/>
        </w:rPr>
        <w:t>kein weiterer nahezu identischer Architekturproof</w:t>
      </w:r>
      <w:r>
        <w:t xml:space="preserve"> gebaut werden.</w:t>
      </w:r>
    </w:p>
    <w:p>
      <w:pPr>
        <w:pStyle w:val="Heading2"/>
      </w:pPr>
      <w:r>
        <w:t>Gate B · ACTIVE Audit der neuen Gewinner</w:t>
      </w:r>
    </w:p>
    <w:p>
      <w:pPr>
        <w:spacing w:after="60"/>
      </w:pPr>
      <w:r>
        <w:t xml:space="preserve">Nur tatsächlich veränderte Top-3-Gewinner werden als </w:t>
      </w:r>
      <w:r>
        <w:rPr>
          <w:rFonts w:ascii="Consolas" w:hAnsi="Consolas"/>
          <w:sz w:val="16"/>
        </w:rPr>
        <w:t>local-unaudited</w:t>
      </w:r>
      <w:r>
        <w:t xml:space="preserve"> in </w:t>
      </w:r>
      <w:r>
        <w:rPr>
          <w:rFonts w:ascii="Consolas" w:hAnsi="Consolas"/>
          <w:sz w:val="16"/>
        </w:rPr>
        <w:t>BANK -&gt; ACTIVE</w:t>
      </w:r>
      <w:r>
        <w:t xml:space="preserve"> gestellt. Zu prüfen ist:</w:t>
      </w:r>
    </w:p>
    <w:p>
      <w:pPr>
        <w:pStyle w:val="ListBullet"/>
        <w:spacing w:after="20"/>
      </w:pPr>
      <w:r>
        <w:t>Akzeptanzrate der neuen Solverzustände,</w:t>
      </w:r>
    </w:p>
    <w:p>
      <w:pPr>
        <w:pStyle w:val="ListBullet"/>
        <w:spacing w:after="20"/>
      </w:pPr>
      <w:r>
        <w:t>wiederkehrende Frontier-/Negativkorridore,</w:t>
      </w:r>
    </w:p>
    <w:p>
      <w:pPr>
        <w:pStyle w:val="ListBullet"/>
        <w:spacing w:after="20"/>
      </w:pPr>
      <w:r>
        <w:t>ob einzelne Retrieval-Ränge überproportional unplausible lokale Gewinner erzeugen,</w:t>
      </w:r>
    </w:p>
    <w:p>
      <w:pPr>
        <w:pStyle w:val="ListBullet"/>
        <w:spacing w:after="20"/>
      </w:pPr>
      <w:r>
        <w:t>ob neue Accepted-Körper die Bankabdeckung sinnvoll erweitern.</w:t>
      </w:r>
    </w:p>
    <w:p>
      <w:pPr>
        <w:pStyle w:val="Heading2"/>
      </w:pPr>
      <w:r>
        <w:t>Gate C · danach Maßabdeckung / reale Validierung</w:t>
      </w:r>
    </w:p>
    <w:p>
      <w:pPr>
        <w:spacing w:after="60"/>
      </w:pPr>
      <w:r>
        <w:t>Nach erfolgreichem Gate A/B beginnt der nächste echte Ausbau:</w:t>
      </w:r>
    </w:p>
    <w:p>
      <w:pPr>
        <w:pStyle w:val="ListBullet"/>
        <w:spacing w:after="20"/>
      </w:pPr>
      <w:r>
        <w:t>Body-Bank-Abdeckung gezielt verbreitern,</w:t>
      </w:r>
    </w:p>
    <w:p>
      <w:pPr>
        <w:pStyle w:val="ListBullet"/>
        <w:spacing w:after="20"/>
      </w:pPr>
      <w:r>
        <w:t>nur geometrisch stabile und lokal kontrollierbare weitere Maße ergänzen,</w:t>
      </w:r>
    </w:p>
    <w:p>
      <w:pPr>
        <w:pStyle w:val="ListBullet"/>
        <w:spacing w:after="20"/>
      </w:pPr>
      <w:r>
        <w:t>externe/realistische Daten für Missing-Measure-Priors und Validierung nutzen,</w:t>
      </w:r>
    </w:p>
    <w:p>
      <w:pPr>
        <w:pStyle w:val="ListBullet"/>
        <w:spacing w:after="20"/>
      </w:pPr>
      <w:r>
        <w:t>Solver-Erfolg außerhalb des rein eigenen Anny-Holdout-Raums prüfen.</w:t>
      </w:r>
    </w:p>
    <w:p>
      <w:pPr>
        <w:spacing w:after="60"/>
      </w:pPr>
      <w:r>
        <w:t>Das vertagte Kopfgrößen-/Head-Fat-Thema bleibt außerhalb dieses Gates und wird später mit absolutem Größenbezug separat untersucht.</w:t>
      </w:r>
    </w:p>
    <w:p>
      <w:pPr>
        <w:pStyle w:val="Heading1"/>
      </w:pPr>
      <w:r>
        <w:t>11. Abbruch-/Entscheidungsregel</w:t>
      </w:r>
    </w:p>
    <w:p>
      <w:pPr>
        <w:spacing w:after="6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pPr>
      <w:r>
        <w:t>12. Änderungsprotokoll</w:t>
      </w:r>
    </w:p>
    <w:tbl>
      <w:tblPr>
        <w:tblStyle w:val="TableGrid"/>
        <w:tblW w:type="auto" w:w="0"/>
        <w:jc w:val="center"/>
        <w:tblLook w:firstColumn="1" w:firstRow="1" w:lastColumn="0" w:lastRow="0" w:noHBand="0" w:noVBand="1" w:val="04A0"/>
      </w:tblPr>
      <w:tblGrid>
        <w:gridCol w:w="3494"/>
        <w:gridCol w:w="3494"/>
        <w:gridCol w:w="3494"/>
      </w:tblGrid>
      <w:tr>
        <w:trPr>
          <w:tblHeader w:val="true"/>
        </w:trPr>
        <w:tc>
          <w:tcPr>
            <w:tcW w:type="dxa" w:w="3494"/>
            <w:vAlign w:val="top"/>
          </w:tcPr>
          <w:p>
            <w:r>
              <w:rPr>
                <w:rFonts w:ascii="Arial" w:hAnsi="Arial"/>
                <w:b/>
                <w:sz w:val="15"/>
              </w:rPr>
            </w:r>
            <w:r>
              <w:rPr>
                <w:rFonts w:ascii="Arial" w:hAnsi="Arial"/>
                <w:b/>
                <w:sz w:val="15"/>
              </w:rPr>
              <w:t>Version</w:t>
            </w:r>
          </w:p>
        </w:tc>
        <w:tc>
          <w:tcPr>
            <w:tcW w:type="dxa" w:w="3494"/>
            <w:vAlign w:val="top"/>
          </w:tcPr>
          <w:p>
            <w:r>
              <w:rPr>
                <w:rFonts w:ascii="Arial" w:hAnsi="Arial"/>
                <w:b/>
                <w:sz w:val="15"/>
              </w:rPr>
            </w:r>
            <w:r>
              <w:rPr>
                <w:rFonts w:ascii="Arial" w:hAnsi="Arial"/>
                <w:b/>
                <w:sz w:val="15"/>
              </w:rPr>
              <w:t>Datum</w:t>
            </w:r>
          </w:p>
        </w:tc>
        <w:tc>
          <w:tcPr>
            <w:tcW w:type="dxa" w:w="3494"/>
            <w:vAlign w:val="top"/>
          </w:tcPr>
          <w:p>
            <w:r>
              <w:rPr>
                <w:rFonts w:ascii="Arial" w:hAnsi="Arial"/>
                <w:b/>
                <w:sz w:val="15"/>
              </w:rPr>
            </w:r>
            <w:r>
              <w:rPr>
                <w:rFonts w:ascii="Arial" w:hAnsi="Arial"/>
                <w:b/>
                <w:sz w:val="15"/>
              </w:rPr>
              <w:t>Änderung</w:t>
            </w:r>
          </w:p>
        </w:tc>
      </w:tr>
      <w:tr>
        <w:tc>
          <w:tcPr>
            <w:tcW w:type="dxa" w:w="3494"/>
            <w:vAlign w:val="top"/>
          </w:tcPr>
          <w:p>
            <w:r>
              <w:rPr>
                <w:rFonts w:ascii="Arial" w:hAnsi="Arial"/>
                <w:b w:val="0"/>
                <w:sz w:val="15"/>
              </w:rPr>
            </w:r>
            <w:r>
              <w:rPr>
                <w:rFonts w:ascii="Arial" w:hAnsi="Arial"/>
                <w:b w:val="0"/>
                <w:sz w:val="15"/>
              </w:rPr>
              <w:t>0.1</w:t>
            </w:r>
          </w:p>
        </w:tc>
        <w:tc>
          <w:tcPr>
            <w:tcW w:type="dxa" w:w="3494"/>
            <w:vAlign w:val="top"/>
          </w:tcPr>
          <w:p>
            <w:r>
              <w:rPr>
                <w:rFonts w:ascii="Arial" w:hAnsi="Arial"/>
                <w:b w:val="0"/>
                <w:sz w:val="15"/>
              </w:rPr>
            </w:r>
            <w:r>
              <w:rPr>
                <w:rFonts w:ascii="Arial" w:hAnsi="Arial"/>
                <w:b w:val="0"/>
                <w:sz w:val="15"/>
              </w:rPr>
              <w:t>22.08.2026</w:t>
            </w:r>
          </w:p>
        </w:tc>
        <w:tc>
          <w:tcPr>
            <w:tcW w:type="dxa" w:w="3494"/>
            <w:vAlign w:val="top"/>
          </w:tcPr>
          <w:p>
            <w:r>
              <w:rPr>
                <w:rFonts w:ascii="Arial" w:hAnsi="Arial"/>
                <w:b w:val="0"/>
                <w:sz w:val="15"/>
              </w:rPr>
            </w:r>
            <w:r>
              <w:rPr>
                <w:rFonts w:ascii="Arial" w:hAnsi="Arial"/>
                <w:b w:val="0"/>
                <w:sz w:val="15"/>
              </w:rPr>
              <w:t>Master State eingeführt; Landmark-/Messpipeline als damaliger Schwerpunkt dokumentiert.</w:t>
            </w:r>
          </w:p>
        </w:tc>
      </w:tr>
      <w:tr>
        <w:tc>
          <w:tcPr>
            <w:tcW w:type="dxa" w:w="3494"/>
            <w:vAlign w:val="top"/>
          </w:tcPr>
          <w:p>
            <w:r>
              <w:rPr>
                <w:rFonts w:ascii="Arial" w:hAnsi="Arial"/>
                <w:b w:val="0"/>
                <w:sz w:val="15"/>
              </w:rPr>
            </w:r>
            <w:r>
              <w:rPr>
                <w:rFonts w:ascii="Arial" w:hAnsi="Arial"/>
                <w:b w:val="0"/>
                <w:sz w:val="15"/>
              </w:rPr>
              <w:t>0.2</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Projektstand konsolidiert; Audited Body Bank / lokale Körperfamilien als neue Hauptarchitektur; synchrone Master-State-/SAMMY_CURRENT-Exports festgelegt.</w:t>
            </w:r>
          </w:p>
        </w:tc>
      </w:tr>
      <w:tr>
        <w:tc>
          <w:tcPr>
            <w:tcW w:type="dxa" w:w="3494"/>
            <w:vAlign w:val="top"/>
          </w:tcPr>
          <w:p>
            <w:r>
              <w:rPr>
                <w:rFonts w:ascii="Arial" w:hAnsi="Arial"/>
                <w:b w:val="0"/>
                <w:sz w:val="15"/>
              </w:rPr>
            </w:r>
            <w:r>
              <w:rPr>
                <w:rFonts w:ascii="Arial" w:hAnsi="Arial"/>
                <w:b w:val="0"/>
                <w:sz w:val="15"/>
              </w:rPr>
              <w:t>0.3</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 xml:space="preserve">GitHub-Pages-Hotfix: Cache-/Versionsdrift korrigiert; synchroner HTML/JS/CSS-Deployment-Gate und </w:t>
            </w:r>
            <w:r>
              <w:rPr>
                <w:rFonts w:ascii="Arial" w:hAnsi="Arial"/>
                <w:b w:val="0"/>
                <w:sz w:val="15"/>
              </w:rPr>
              <w:t>.nojekyll</w:t>
            </w:r>
            <w:r>
              <w:rPr>
                <w:rFonts w:ascii="Arial" w:hAnsi="Arial"/>
                <w:b w:val="0"/>
                <w:sz w:val="15"/>
              </w:rPr>
              <w:t>.</w:t>
            </w:r>
          </w:p>
        </w:tc>
      </w:tr>
      <w:tr>
        <w:tc>
          <w:tcPr>
            <w:tcW w:type="dxa" w:w="3494"/>
            <w:vAlign w:val="top"/>
          </w:tcPr>
          <w:p>
            <w:r>
              <w:rPr>
                <w:rFonts w:ascii="Arial" w:hAnsi="Arial"/>
                <w:b w:val="0"/>
                <w:sz w:val="15"/>
              </w:rPr>
            </w:r>
            <w:r>
              <w:rPr>
                <w:rFonts w:ascii="Arial" w:hAnsi="Arial"/>
                <w:b w:val="0"/>
                <w:sz w:val="15"/>
              </w:rPr>
              <w:t>0.4</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v0.8.28.2: Kamera bleibt über Personenwechsel erhalten; Posen/Animationen im Audit; Review-Kontext getrennt gespeichert.</w:t>
            </w:r>
          </w:p>
        </w:tc>
      </w:tr>
      <w:tr>
        <w:tc>
          <w:tcPr>
            <w:tcW w:type="dxa" w:w="3494"/>
            <w:vAlign w:val="top"/>
          </w:tcPr>
          <w:p>
            <w:r>
              <w:rPr>
                <w:rFonts w:ascii="Arial" w:hAnsi="Arial"/>
                <w:b w:val="0"/>
                <w:sz w:val="15"/>
              </w:rPr>
            </w:r>
            <w:r>
              <w:rPr>
                <w:rFonts w:ascii="Arial" w:hAnsi="Arial"/>
                <w:b w:val="0"/>
                <w:sz w:val="15"/>
              </w:rPr>
              <w:t>0.5</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 xml:space="preserve">BANK v0.8.28.3: 400er Grenz-/Extremraum; Phase-1 </w:t>
            </w:r>
            <w:r>
              <w:rPr>
                <w:rFonts w:ascii="Arial" w:hAnsi="Arial"/>
                <w:b w:val="0"/>
                <w:sz w:val="15"/>
              </w:rPr>
              <w:t>legs-too-long</w:t>
            </w:r>
            <w:r>
              <w:rPr>
                <w:rFonts w:ascii="Arial" w:hAnsi="Arial"/>
                <w:b w:val="0"/>
                <w:sz w:val="15"/>
              </w:rPr>
              <w:t xml:space="preserve"> dokumentiert; exakte Rest-Rig-Bein/Torso-Diagnosen statt fehlerhafter Umfangssnapshots.</w:t>
            </w:r>
          </w:p>
        </w:tc>
      </w:tr>
      <w:tr>
        <w:tc>
          <w:tcPr>
            <w:tcW w:type="dxa" w:w="3494"/>
            <w:vAlign w:val="top"/>
          </w:tcPr>
          <w:p>
            <w:r>
              <w:rPr>
                <w:rFonts w:ascii="Arial" w:hAnsi="Arial"/>
                <w:b w:val="0"/>
                <w:sz w:val="15"/>
              </w:rPr>
            </w:r>
            <w:r>
              <w:rPr>
                <w:rFonts w:ascii="Arial" w:hAnsi="Arial"/>
                <w:b w:val="0"/>
                <w:sz w:val="15"/>
              </w:rPr>
              <w:t>0.6</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v0.8.28.4: reviewer-blinde Mischung, BANK-only Dual Viewport, unabhängiges AutoFit, &lt;=205-cm-Gate; Kopf/Head-Fat bewusst vertagt.</w:t>
            </w:r>
          </w:p>
        </w:tc>
      </w:tr>
      <w:tr>
        <w:tc>
          <w:tcPr>
            <w:tcW w:type="dxa" w:w="3494"/>
            <w:vAlign w:val="top"/>
          </w:tcPr>
          <w:p>
            <w:r>
              <w:rPr>
                <w:rFonts w:ascii="Arial" w:hAnsi="Arial"/>
                <w:b w:val="0"/>
                <w:sz w:val="15"/>
              </w:rPr>
            </w:r>
            <w:r>
              <w:rPr>
                <w:rFonts w:ascii="Arial" w:hAnsi="Arial"/>
                <w:b w:val="0"/>
                <w:sz w:val="15"/>
              </w:rPr>
              <w:t>0.7</w:t>
            </w:r>
          </w:p>
        </w:tc>
        <w:tc>
          <w:tcPr>
            <w:tcW w:type="dxa" w:w="3494"/>
            <w:vAlign w:val="top"/>
          </w:tcPr>
          <w:p>
            <w:r>
              <w:rPr>
                <w:rFonts w:ascii="Arial" w:hAnsi="Arial"/>
                <w:b w:val="0"/>
                <w:sz w:val="15"/>
              </w:rPr>
            </w:r>
            <w:r>
              <w:rPr>
                <w:rFonts w:ascii="Arial" w:hAnsi="Arial"/>
                <w:b w:val="0"/>
                <w:sz w:val="15"/>
              </w:rPr>
              <w:t>28.08.2026</w:t>
            </w:r>
          </w:p>
        </w:tc>
        <w:tc>
          <w:tcPr>
            <w:tcW w:type="dxa" w:w="3494"/>
            <w:vAlign w:val="top"/>
          </w:tcPr>
          <w:p>
            <w:r>
              <w:rPr>
                <w:rFonts w:ascii="Arial" w:hAnsi="Arial"/>
                <w:b w:val="0"/>
                <w:sz w:val="15"/>
              </w:rPr>
            </w:r>
            <w:r>
              <w:rPr>
                <w:rFonts w:ascii="Arial" w:hAnsi="Arial"/>
                <w:b w:val="0"/>
                <w:sz w:val="15"/>
              </w:rPr>
              <w:t>BANK v0.8.28.5: iPhone-menüsicheres A/B-Layout; Dual Viewport nutzt nur die freie Viewer-Fläche.</w:t>
            </w:r>
          </w:p>
        </w:tc>
      </w:tr>
      <w:tr>
        <w:tc>
          <w:tcPr>
            <w:tcW w:type="dxa" w:w="3494"/>
            <w:vAlign w:val="top"/>
          </w:tcPr>
          <w:p>
            <w:r>
              <w:rPr>
                <w:rFonts w:ascii="Arial" w:hAnsi="Arial"/>
                <w:b w:val="0"/>
                <w:sz w:val="15"/>
              </w:rPr>
            </w:r>
            <w:r>
              <w:rPr>
                <w:rFonts w:ascii="Arial" w:hAnsi="Arial"/>
                <w:b w:val="0"/>
                <w:sz w:val="15"/>
              </w:rPr>
              <w:t>0.8</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v0.8.29.0: Audit zu Body-Bank-Index kompiliert; Trusted-Top-K-Solver + kleiner Local Fit + 8er Blind-Proof + ACTIVE-Lernmodus. Shoulder-Proxy ausgeschlossen; Proof ohne kg-Vorauswahl; Non-Worsening-Rollback; Resume-Fix.</w:t>
            </w:r>
          </w:p>
        </w:tc>
      </w:tr>
      <w:tr>
        <w:tc>
          <w:tcPr>
            <w:tcW w:type="dxa" w:w="3494"/>
            <w:vAlign w:val="top"/>
          </w:tcPr>
          <w:p>
            <w:r>
              <w:rPr>
                <w:rFonts w:ascii="Arial" w:hAnsi="Arial"/>
                <w:b w:val="0"/>
                <w:sz w:val="15"/>
              </w:rPr>
            </w:r>
            <w:r>
              <w:rPr>
                <w:rFonts w:ascii="Arial" w:hAnsi="Arial"/>
                <w:b w:val="0"/>
                <w:sz w:val="15"/>
              </w:rPr>
              <w:t>0.9</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v0.8.29.1: fehlenden manuellen Retrieval-Handler repariert; fail-fast UI-/Release-Handler-Gate; 32er ACTIVE-Audit kanonisch gemergt (269 trusted / 91 frontier / 37 negative / 0 unchecked); technische Mess-Sanity und Proof v1.1 wegen sichtbar falschem Brust-Snapshot.</w:t>
            </w:r>
          </w:p>
        </w:tc>
      </w:tr>
      <w:tr>
        <w:tc>
          <w:tcPr>
            <w:tcW w:type="dxa" w:w="3494"/>
            <w:vAlign w:val="top"/>
          </w:tcPr>
          <w:p>
            <w:r>
              <w:rPr>
                <w:rFonts w:ascii="Arial" w:hAnsi="Arial"/>
                <w:b w:val="0"/>
                <w:sz w:val="15"/>
              </w:rPr>
            </w:r>
            <w:r>
              <w:rPr>
                <w:rFonts w:ascii="Arial" w:hAnsi="Arial"/>
                <w:b w:val="0"/>
                <w:sz w:val="15"/>
              </w:rPr>
              <w:t>0.10</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v0.8.29.2: stale Splash-Version v0.8.28.4 entfernt; Runtime-/Titel-/Hauptlabel-/Splash-/JS-/CSS-Versionen synchronisiert; Deployment-Gate erweitert; Solver-/Body-Bank-Daten unverändert.</w:t>
            </w:r>
          </w:p>
        </w:tc>
      </w:tr>
      <w:tr>
        <w:tc>
          <w:tcPr>
            <w:tcW w:type="dxa" w:w="3494"/>
            <w:vAlign w:val="top"/>
          </w:tcPr>
          <w:p>
            <w:r>
              <w:rPr>
                <w:rFonts w:ascii="Arial" w:hAnsi="Arial"/>
                <w:b w:val="0"/>
                <w:sz w:val="15"/>
              </w:rPr>
            </w:r>
            <w:r>
              <w:rPr>
                <w:rFonts w:ascii="Arial" w:hAnsi="Arial"/>
                <w:b w:val="0"/>
                <w:sz w:val="15"/>
              </w:rPr>
              <w:t>0.11</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v0.8.29.3: kanonische Rest-Mesh-Statur im Body-Bank-Solver; Geometrie-Score von Weight-Prior getrennt; vollständiger Local-Fit-Trace; 16er Family-/Near-Neighbor-Holdout Proof v1.2; manuellen Solver-Kandidaten AA-S-2f9708e4 im ACTIVE-Seed erhalten.</w:t>
            </w:r>
          </w:p>
        </w:tc>
      </w:tr>
      <w:tr>
        <w:tc>
          <w:tcPr>
            <w:tcW w:type="dxa" w:w="3494"/>
            <w:vAlign w:val="top"/>
          </w:tcPr>
          <w:p>
            <w:r>
              <w:rPr>
                <w:rFonts w:ascii="Arial" w:hAnsi="Arial"/>
                <w:b w:val="0"/>
                <w:sz w:val="15"/>
              </w:rPr>
            </w:r>
            <w:r>
              <w:rPr>
                <w:rFonts w:ascii="Arial" w:hAnsi="Arial"/>
                <w:b w:val="0"/>
                <w:sz w:val="15"/>
              </w:rPr>
              <w:t>0.12</w:t>
            </w:r>
          </w:p>
        </w:tc>
        <w:tc>
          <w:tcPr>
            <w:tcW w:type="dxa" w:w="3494"/>
            <w:vAlign w:val="top"/>
          </w:tcPr>
          <w:p>
            <w:r>
              <w:rPr>
                <w:rFonts w:ascii="Arial" w:hAnsi="Arial"/>
                <w:b w:val="0"/>
                <w:sz w:val="15"/>
              </w:rPr>
            </w:r>
            <w:r>
              <w:rPr>
                <w:rFonts w:ascii="Arial" w:hAnsi="Arial"/>
                <w:b w:val="0"/>
                <w:sz w:val="15"/>
              </w:rPr>
              <w:t>29.08.2026</w:t>
            </w:r>
          </w:p>
        </w:tc>
        <w:tc>
          <w:tcPr>
            <w:tcW w:type="dxa" w:w="3494"/>
            <w:vAlign w:val="top"/>
          </w:tcPr>
          <w:p>
            <w:r>
              <w:rPr>
                <w:rFonts w:ascii="Arial" w:hAnsi="Arial"/>
                <w:b w:val="0"/>
                <w:sz w:val="15"/>
              </w:rPr>
            </w:r>
            <w:r>
              <w:rPr>
                <w:rFonts w:ascii="Arial" w:hAnsi="Arial"/>
                <w:b w:val="0"/>
                <w:sz w:val="15"/>
              </w:rPr>
              <w:t>v0.8.29.4: 16er Family-Proof als GO dokumentiert; bidirektionales Controller-Probing; unabhängiger Top-3 Local Fit; Human-Audit von solverEligible getrennt; 24er Single-vs-Top-3 Family-Proof v1.3 als nächster Gate.</w:t>
            </w:r>
          </w:p>
        </w:tc>
      </w:tr>
    </w:tbl>
    <w:sectPr w:rsidR="00FC693F" w:rsidRPr="0006063C" w:rsidSect="00034616">
      <w:footerReference w:type="default" r:id="rId9"/>
      <w:pgSz w:w="12240" w:h="15840"/>
      <w:pgMar w:top="765"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5"/>
      </w:rPr>
      <w:t>SAMMY / BODY LAB · Master State 0.12 · App v0.8.29.4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0"/>
      <w:contextualSpacing/>
    </w:pPr>
    <w:rPr>
      <w:rFonts w:asciiTheme="majorHAnsi" w:eastAsiaTheme="majorEastAsia" w:hAnsiTheme="majorHAnsi" w:cstheme="majorBidi" w:ascii="Arial" w:hAnsi="Arial"/>
      <w:b/>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