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Gerência de Requisitos (CGR)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5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0"/>
        <w:gridCol w:w="795"/>
        <w:gridCol w:w="780"/>
        <w:tblGridChange w:id="0">
          <w:tblGrid>
            <w:gridCol w:w="7950"/>
            <w:gridCol w:w="795"/>
            <w:gridCol w:w="78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Avaliado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requisitos levantados estão sendo avaliados pelo cliente?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diagramas de classe estão sendo gerados na elicitação de requisitos?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casos de uso estão sendo documentados na elicitação de requisitos?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Todos os documentos gerados foram aprovados pelo Gerente de Processo?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mudanças dos requisitos são todas registradas?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 registros de mudança nos requisitos incluem uma justificativa?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mudanças dos requisitos são todas validadas pelo cliente?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mudanças dos requisitos são todas validadas pelo Gerente do projeto?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impacto das mudanças propostas está sendo avaliado?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rastreabilidade bidimensional entre requisitos e produtos de trabalho está sendo mantida?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O indicador IRR (Índice de Requisito Rastreáveis) foi aplicado no processo?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indicador IMR (Indicador de Mudanças de Requisitos) foi aplicado no processo?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As métricas do processo estão sendo coletadas?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comunicações estão sendo feitas conforme pré-definidas(reunião e e-mail)?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avaliações detalhadas das especificações do cliente, estão sendo feitas?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t xml:space="preserve">Assinatura do Gerente de Requisitos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Goiânia, GO, 04/05/2019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