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CR-2026-817115</w:t>
      </w:r>
    </w:p>
    <w:p>
      <w:r>
        <w:t>Conste por el presente documento el contrato que celebran, de una parte, Caja Rural Valle Verde DEMO S.A., con RUC 20996964281, en adelante la Entidad; y de la otra, Jorge Nunez Chavez, con DNI 99529747, domiciliado en Av. Primavera 760, Jesus Maria, en adelante el Cliente.</w:t>
      </w:r>
    </w:p>
    <w:p>
      <w:pPr>
        <w:pStyle w:val="Heading2"/>
      </w:pPr>
      <w:r>
        <w:t>CLAUSULA 01.- OBJETO DEL CONTRATO</w:t>
      </w:r>
    </w:p>
    <w:p>
      <w:r>
        <w:t>Caja Rural Valle Verde DEMO S.A. otorga a Jorge Nunez Chavez (DNI 99529747) un credito de consumo, en adelante el Credito, bajo las condiciones de este contrato.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02.- MONTO DEL CREDITO Y DESEMBOLSO</w:t>
      </w:r>
    </w:p>
    <w:p>
      <w:r>
        <w:t>El monto del Credito es de S/ 109,000.00 (ciento nueve mil soles), que se desembolsara en la cuenta 999-1499924717.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10,709.50 cada una, segun el cronograma del Anexo 1.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36.54% efectiva anual (TEA).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0.61% diario sobre la cuota vencida.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06.- FORMA DE PAGO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999-1499924717 (CCI 99928084842137680677).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08.- COMISIONES Y GASTOS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09.- SEGURO DE DESGRAVAMEN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10.- PREPAGO Y PAGOS ADELANTADOS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11.- DECLARACIONES DEL CLIENTE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12.- OBLIGACIONES DEL CLIENTE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13.- VERACIDAD DE LA INFORMACION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14.- PREVENCION DEL LAVADO DE ACTIVOS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15.- CONFIDENCIALIDAD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16.- NOTIFICACIONES Y DOMICILIO</w:t>
      </w:r>
    </w:p>
    <w:p>
      <w:r>
        <w:t>El domicilio del cliente es Av. Primavera 760, Jesus Maria. Correo: jorge.nunez49@ejemplo.pe.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17.- COBRANZA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18.- ANEXOS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19.- ORDEN DE IMPUTACION DE PAGOS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20.- DISPOSICIONES FINALES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21.- CANALES DE ATENCION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2026-07-16</w:t>
            </w:r>
          </w:p>
        </w:tc>
        <w:tc>
          <w:tcPr>
            <w:tcW w:type="dxa" w:w="1728"/>
          </w:tcPr>
          <w:p>
            <w:r>
              <w:t>7,843.49</w:t>
            </w:r>
          </w:p>
        </w:tc>
        <w:tc>
          <w:tcPr>
            <w:tcW w:type="dxa" w:w="1728"/>
          </w:tcPr>
          <w:p>
            <w:r>
              <w:t>2,866.01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8,049.72</w:t>
            </w:r>
          </w:p>
        </w:tc>
        <w:tc>
          <w:tcPr>
            <w:tcW w:type="dxa" w:w="1728"/>
          </w:tcPr>
          <w:p>
            <w:r>
              <w:t>2,659.78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2026-09-16</w:t>
            </w:r>
          </w:p>
        </w:tc>
        <w:tc>
          <w:tcPr>
            <w:tcW w:type="dxa" w:w="1728"/>
          </w:tcPr>
          <w:p>
            <w:r>
              <w:t>8,261.38</w:t>
            </w:r>
          </w:p>
        </w:tc>
        <w:tc>
          <w:tcPr>
            <w:tcW w:type="dxa" w:w="1728"/>
          </w:tcPr>
          <w:p>
            <w:r>
              <w:t>2,448.12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2026-10-16</w:t>
            </w:r>
          </w:p>
        </w:tc>
        <w:tc>
          <w:tcPr>
            <w:tcW w:type="dxa" w:w="1728"/>
          </w:tcPr>
          <w:p>
            <w:r>
              <w:t>8,478.60</w:t>
            </w:r>
          </w:p>
        </w:tc>
        <w:tc>
          <w:tcPr>
            <w:tcW w:type="dxa" w:w="1728"/>
          </w:tcPr>
          <w:p>
            <w:r>
              <w:t>2,230.90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2026-11-16</w:t>
            </w:r>
          </w:p>
        </w:tc>
        <w:tc>
          <w:tcPr>
            <w:tcW w:type="dxa" w:w="1728"/>
          </w:tcPr>
          <w:p>
            <w:r>
              <w:t>8,701.53</w:t>
            </w:r>
          </w:p>
        </w:tc>
        <w:tc>
          <w:tcPr>
            <w:tcW w:type="dxa" w:w="1728"/>
          </w:tcPr>
          <w:p>
            <w:r>
              <w:t>2,007.97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2026-12-16</w:t>
            </w:r>
          </w:p>
        </w:tc>
        <w:tc>
          <w:tcPr>
            <w:tcW w:type="dxa" w:w="1728"/>
          </w:tcPr>
          <w:p>
            <w:r>
              <w:t>8,930.33</w:t>
            </w:r>
          </w:p>
        </w:tc>
        <w:tc>
          <w:tcPr>
            <w:tcW w:type="dxa" w:w="1728"/>
          </w:tcPr>
          <w:p>
            <w:r>
              <w:t>1,779.17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2027-01-16</w:t>
            </w:r>
          </w:p>
        </w:tc>
        <w:tc>
          <w:tcPr>
            <w:tcW w:type="dxa" w:w="1728"/>
          </w:tcPr>
          <w:p>
            <w:r>
              <w:t>9,165.14</w:t>
            </w:r>
          </w:p>
        </w:tc>
        <w:tc>
          <w:tcPr>
            <w:tcW w:type="dxa" w:w="1728"/>
          </w:tcPr>
          <w:p>
            <w:r>
              <w:t>1,544.36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2027-02-16</w:t>
            </w:r>
          </w:p>
        </w:tc>
        <w:tc>
          <w:tcPr>
            <w:tcW w:type="dxa" w:w="1728"/>
          </w:tcPr>
          <w:p>
            <w:r>
              <w:t>9,406.13</w:t>
            </w:r>
          </w:p>
        </w:tc>
        <w:tc>
          <w:tcPr>
            <w:tcW w:type="dxa" w:w="1728"/>
          </w:tcPr>
          <w:p>
            <w:r>
              <w:t>1,303.37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2027-03-16</w:t>
            </w:r>
          </w:p>
        </w:tc>
        <w:tc>
          <w:tcPr>
            <w:tcW w:type="dxa" w:w="1728"/>
          </w:tcPr>
          <w:p>
            <w:r>
              <w:t>9,653.45</w:t>
            </w:r>
          </w:p>
        </w:tc>
        <w:tc>
          <w:tcPr>
            <w:tcW w:type="dxa" w:w="1728"/>
          </w:tcPr>
          <w:p>
            <w:r>
              <w:t>1,056.05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2027-04-16</w:t>
            </w:r>
          </w:p>
        </w:tc>
        <w:tc>
          <w:tcPr>
            <w:tcW w:type="dxa" w:w="1728"/>
          </w:tcPr>
          <w:p>
            <w:r>
              <w:t>9,907.27</w:t>
            </w:r>
          </w:p>
        </w:tc>
        <w:tc>
          <w:tcPr>
            <w:tcW w:type="dxa" w:w="1728"/>
          </w:tcPr>
          <w:p>
            <w:r>
              <w:t>802.23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2027-05-16</w:t>
            </w:r>
          </w:p>
        </w:tc>
        <w:tc>
          <w:tcPr>
            <w:tcW w:type="dxa" w:w="1728"/>
          </w:tcPr>
          <w:p>
            <w:r>
              <w:t>10,167.77</w:t>
            </w:r>
          </w:p>
        </w:tc>
        <w:tc>
          <w:tcPr>
            <w:tcW w:type="dxa" w:w="1728"/>
          </w:tcPr>
          <w:p>
            <w:r>
              <w:t>541.73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2027-06-16</w:t>
            </w:r>
          </w:p>
        </w:tc>
        <w:tc>
          <w:tcPr>
            <w:tcW w:type="dxa" w:w="1728"/>
          </w:tcPr>
          <w:p>
            <w:r>
              <w:t>10,435.12</w:t>
            </w:r>
          </w:p>
        </w:tc>
        <w:tc>
          <w:tcPr>
            <w:tcW w:type="dxa" w:w="1728"/>
          </w:tcPr>
          <w:p>
            <w:r>
              <w:t>274.38</w:t>
            </w:r>
          </w:p>
        </w:tc>
        <w:tc>
          <w:tcPr>
            <w:tcW w:type="dxa" w:w="1728"/>
          </w:tcPr>
          <w:p>
            <w:r>
              <w:t>10,709.50</w:t>
            </w:r>
          </w:p>
        </w:tc>
      </w:tr>
    </w:tbl>
    <w:p>
      <w:r>
        <w:t>Hoja resumen: TCEA 42.09% (incluye comisiones y seguros). Cuota referencial S/ 10,709.50.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CON-0003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