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CR-2026-228432</w:t>
      </w:r>
    </w:p>
    <w:p>
      <w:r>
        <w:t>Conste por el presente documento el contrato que celebran, de una parte, Banco del Sur Austral DEMO S.A., con RUC 20993132544, en adelante la Entidad; y de la otra, Alvaro Ibarra Chavez, con DNI 99826142, domiciliado en Av. del Sol 1020, Lince, en adelante el Cliente.</w:t>
      </w:r>
    </w:p>
    <w:p>
      <w:pPr>
        <w:pStyle w:val="Heading2"/>
      </w:pPr>
      <w:r>
        <w:t>CLAUSULA 01.- OBJETO DEL CONTRATO</w:t>
      </w:r>
    </w:p>
    <w:p>
      <w:r>
        <w:t>Banco del Sur Austral DEMO S.A. otorga a Alvaro Ibarra Chavez (DNI 99826142) un credito de consumo, en adelante el Credito, bajo las condiciones de este contrato.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02.- MONTO DEL CREDITO Y DESEMBOLSO</w:t>
      </w:r>
    </w:p>
    <w:p>
      <w:r>
        <w:t>El monto del Credito es de S/ 143,000.00 (ciento cuarenta y tres mil soles), que se desembolsara en la cuenta 999-6838299458.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03.- PLAZO Y CRONOGRAMA DE PAGOS</w:t>
      </w:r>
    </w:p>
    <w:p>
      <w:r>
        <w:t>El Credito se pagara en 18 cuotas mensuales de S/ 8,714.33 cada una, segun el cronograma del Anexo 1.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12.58% efectiva anual (TEA).</w:t>
      </w:r>
    </w:p>
    <w:p>
      <w:r>
        <w:t>Las partes declaran que han leido el presente documento y que comprenden sus alcances.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0.40% diario sobre la cuota vencida.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06.- FORMA DE PAGO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999-6838299458 (CCI 99911643790111516095).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08.- COMISIONES Y GASTOS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09.- SEGURO DE DESGRAVAMEN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10.- PREPAGO Y PAGOS ADELANTADOS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Las comunicaciones se entenderan validas cuando se realicen al domicilio o correo electronico indicado.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11.- DECLARACIONES DEL CLIENTE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12.- OBLIGACIONES DEL CLIENTE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13.- IDIOMA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14.- NOTIFICACIONES Y DOMICILIO</w:t>
      </w:r>
    </w:p>
    <w:p>
      <w:r>
        <w:t>El domicilio del cliente es Av. del Sol 1020, Lince. Correo: alvaro.ibarra43@ejemplo.pe.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15.- VIGENCIA</w:t>
      </w:r>
    </w:p>
    <w:p>
      <w:r>
        <w:t>El contrato rige desde el 19 de marzo de 2026 hasta la cancelacion total de las obligaciones.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16.- COBRANZA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17.- CONFIDENCIALIDAD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18.- OBLIGACIONES DE LA ENTIDAD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19.- MODIFICACIONES CONTRACTUALES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20.- FUERZA MAYOR</w:t>
      </w:r>
    </w:p>
    <w:p>
      <w:r>
        <w:t>El cliente se obliga a mantener actualizados sus datos de contacto durante la vigencia del contrato.</w:t>
      </w:r>
    </w:p>
    <w:p>
      <w:r>
        <w:t>El incumplimiento de cualquiera de las obligaciones facultara a la entidad a ejercer los derechos que le corresponden.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21.- INFORMACION AL CLIENTE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22.- CESION DE DERECHOS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23.- GASTOS NOTARIALES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24.- RESOLUCION DEL CONTRATO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2026-04-19</w:t>
            </w:r>
          </w:p>
        </w:tc>
        <w:tc>
          <w:tcPr>
            <w:tcW w:type="dxa" w:w="1728"/>
          </w:tcPr>
          <w:p>
            <w:r>
              <w:t>7,295.28</w:t>
            </w:r>
          </w:p>
        </w:tc>
        <w:tc>
          <w:tcPr>
            <w:tcW w:type="dxa" w:w="1728"/>
          </w:tcPr>
          <w:p>
            <w:r>
              <w:t>1,419.05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2026-05-19</w:t>
            </w:r>
          </w:p>
        </w:tc>
        <w:tc>
          <w:tcPr>
            <w:tcW w:type="dxa" w:w="1728"/>
          </w:tcPr>
          <w:p>
            <w:r>
              <w:t>7,367.68</w:t>
            </w:r>
          </w:p>
        </w:tc>
        <w:tc>
          <w:tcPr>
            <w:tcW w:type="dxa" w:w="1728"/>
          </w:tcPr>
          <w:p>
            <w:r>
              <w:t>1,346.65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2026-06-19</w:t>
            </w:r>
          </w:p>
        </w:tc>
        <w:tc>
          <w:tcPr>
            <w:tcW w:type="dxa" w:w="1728"/>
          </w:tcPr>
          <w:p>
            <w:r>
              <w:t>7,440.79</w:t>
            </w:r>
          </w:p>
        </w:tc>
        <w:tc>
          <w:tcPr>
            <w:tcW w:type="dxa" w:w="1728"/>
          </w:tcPr>
          <w:p>
            <w:r>
              <w:t>1,273.54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2026-07-19</w:t>
            </w:r>
          </w:p>
        </w:tc>
        <w:tc>
          <w:tcPr>
            <w:tcW w:type="dxa" w:w="1728"/>
          </w:tcPr>
          <w:p>
            <w:r>
              <w:t>7,514.63</w:t>
            </w:r>
          </w:p>
        </w:tc>
        <w:tc>
          <w:tcPr>
            <w:tcW w:type="dxa" w:w="1728"/>
          </w:tcPr>
          <w:p>
            <w:r>
              <w:t>1,199.70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7,589.20</w:t>
            </w:r>
          </w:p>
        </w:tc>
        <w:tc>
          <w:tcPr>
            <w:tcW w:type="dxa" w:w="1728"/>
          </w:tcPr>
          <w:p>
            <w:r>
              <w:t>1,125.13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2026-09-19</w:t>
            </w:r>
          </w:p>
        </w:tc>
        <w:tc>
          <w:tcPr>
            <w:tcW w:type="dxa" w:w="1728"/>
          </w:tcPr>
          <w:p>
            <w:r>
              <w:t>7,664.51</w:t>
            </w:r>
          </w:p>
        </w:tc>
        <w:tc>
          <w:tcPr>
            <w:tcW w:type="dxa" w:w="1728"/>
          </w:tcPr>
          <w:p>
            <w:r>
              <w:t>1,049.82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2026-10-19</w:t>
            </w:r>
          </w:p>
        </w:tc>
        <w:tc>
          <w:tcPr>
            <w:tcW w:type="dxa" w:w="1728"/>
          </w:tcPr>
          <w:p>
            <w:r>
              <w:t>7,740.57</w:t>
            </w:r>
          </w:p>
        </w:tc>
        <w:tc>
          <w:tcPr>
            <w:tcW w:type="dxa" w:w="1728"/>
          </w:tcPr>
          <w:p>
            <w:r>
              <w:t>973.76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2026-11-19</w:t>
            </w:r>
          </w:p>
        </w:tc>
        <w:tc>
          <w:tcPr>
            <w:tcW w:type="dxa" w:w="1728"/>
          </w:tcPr>
          <w:p>
            <w:r>
              <w:t>7,817.38</w:t>
            </w:r>
          </w:p>
        </w:tc>
        <w:tc>
          <w:tcPr>
            <w:tcW w:type="dxa" w:w="1728"/>
          </w:tcPr>
          <w:p>
            <w:r>
              <w:t>896.95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2026-12-19</w:t>
            </w:r>
          </w:p>
        </w:tc>
        <w:tc>
          <w:tcPr>
            <w:tcW w:type="dxa" w:w="1728"/>
          </w:tcPr>
          <w:p>
            <w:r>
              <w:t>7,894.95</w:t>
            </w:r>
          </w:p>
        </w:tc>
        <w:tc>
          <w:tcPr>
            <w:tcW w:type="dxa" w:w="1728"/>
          </w:tcPr>
          <w:p>
            <w:r>
              <w:t>819.38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2027-01-19</w:t>
            </w:r>
          </w:p>
        </w:tc>
        <w:tc>
          <w:tcPr>
            <w:tcW w:type="dxa" w:w="1728"/>
          </w:tcPr>
          <w:p>
            <w:r>
              <w:t>7,973.30</w:t>
            </w:r>
          </w:p>
        </w:tc>
        <w:tc>
          <w:tcPr>
            <w:tcW w:type="dxa" w:w="1728"/>
          </w:tcPr>
          <w:p>
            <w:r>
              <w:t>741.03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2027-02-19</w:t>
            </w:r>
          </w:p>
        </w:tc>
        <w:tc>
          <w:tcPr>
            <w:tcW w:type="dxa" w:w="1728"/>
          </w:tcPr>
          <w:p>
            <w:r>
              <w:t>8,052.42</w:t>
            </w:r>
          </w:p>
        </w:tc>
        <w:tc>
          <w:tcPr>
            <w:tcW w:type="dxa" w:w="1728"/>
          </w:tcPr>
          <w:p>
            <w:r>
              <w:t>661.91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2027-03-19</w:t>
            </w:r>
          </w:p>
        </w:tc>
        <w:tc>
          <w:tcPr>
            <w:tcW w:type="dxa" w:w="1728"/>
          </w:tcPr>
          <w:p>
            <w:r>
              <w:t>8,132.33</w:t>
            </w:r>
          </w:p>
        </w:tc>
        <w:tc>
          <w:tcPr>
            <w:tcW w:type="dxa" w:w="1728"/>
          </w:tcPr>
          <w:p>
            <w:r>
              <w:t>582.00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2027-04-19</w:t>
            </w:r>
          </w:p>
        </w:tc>
        <w:tc>
          <w:tcPr>
            <w:tcW w:type="dxa" w:w="1728"/>
          </w:tcPr>
          <w:p>
            <w:r>
              <w:t>8,213.03</w:t>
            </w:r>
          </w:p>
        </w:tc>
        <w:tc>
          <w:tcPr>
            <w:tcW w:type="dxa" w:w="1728"/>
          </w:tcPr>
          <w:p>
            <w:r>
              <w:t>501.30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2027-05-19</w:t>
            </w:r>
          </w:p>
        </w:tc>
        <w:tc>
          <w:tcPr>
            <w:tcW w:type="dxa" w:w="1728"/>
          </w:tcPr>
          <w:p>
            <w:r>
              <w:t>8,294.53</w:t>
            </w:r>
          </w:p>
        </w:tc>
        <w:tc>
          <w:tcPr>
            <w:tcW w:type="dxa" w:w="1728"/>
          </w:tcPr>
          <w:p>
            <w:r>
              <w:t>419.80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2027-06-19</w:t>
            </w:r>
          </w:p>
        </w:tc>
        <w:tc>
          <w:tcPr>
            <w:tcW w:type="dxa" w:w="1728"/>
          </w:tcPr>
          <w:p>
            <w:r>
              <w:t>8,376.84</w:t>
            </w:r>
          </w:p>
        </w:tc>
        <w:tc>
          <w:tcPr>
            <w:tcW w:type="dxa" w:w="1728"/>
          </w:tcPr>
          <w:p>
            <w:r>
              <w:t>337.49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2027-07-19</w:t>
            </w:r>
          </w:p>
        </w:tc>
        <w:tc>
          <w:tcPr>
            <w:tcW w:type="dxa" w:w="1728"/>
          </w:tcPr>
          <w:p>
            <w:r>
              <w:t>8,459.97</w:t>
            </w:r>
          </w:p>
        </w:tc>
        <w:tc>
          <w:tcPr>
            <w:tcW w:type="dxa" w:w="1728"/>
          </w:tcPr>
          <w:p>
            <w:r>
              <w:t>254.36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2027-08-19</w:t>
            </w:r>
          </w:p>
        </w:tc>
        <w:tc>
          <w:tcPr>
            <w:tcW w:type="dxa" w:w="1728"/>
          </w:tcPr>
          <w:p>
            <w:r>
              <w:t>8,543.92</w:t>
            </w:r>
          </w:p>
        </w:tc>
        <w:tc>
          <w:tcPr>
            <w:tcW w:type="dxa" w:w="1728"/>
          </w:tcPr>
          <w:p>
            <w:r>
              <w:t>170.41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2027-09-19</w:t>
            </w:r>
          </w:p>
        </w:tc>
        <w:tc>
          <w:tcPr>
            <w:tcW w:type="dxa" w:w="1728"/>
          </w:tcPr>
          <w:p>
            <w:r>
              <w:t>8,628.70</w:t>
            </w:r>
          </w:p>
        </w:tc>
        <w:tc>
          <w:tcPr>
            <w:tcW w:type="dxa" w:w="1728"/>
          </w:tcPr>
          <w:p>
            <w:r>
              <w:t>85.63</w:t>
            </w:r>
          </w:p>
        </w:tc>
        <w:tc>
          <w:tcPr>
            <w:tcW w:type="dxa" w:w="1728"/>
          </w:tcPr>
          <w:p>
            <w:r>
              <w:t>8,714.33</w:t>
            </w:r>
          </w:p>
        </w:tc>
      </w:tr>
    </w:tbl>
    <w:p>
      <w:r>
        <w:t>Hoja resumen: TCEA 14.24% (incluye comisiones y seguros). Cuota referencial S/ 8,714.33.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CON-0005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