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CR-2026-314022</w:t>
      </w:r>
    </w:p>
    <w:p>
      <w:r>
        <w:t>Conste por el presente documento el contrato que celebran, de una parte, Financiera Altiplano DEMO S.A., con RUC 20990944050, en adelante la Entidad; y de la otra, Hugo Sandoval Nunez, con DNI 99994177, domiciliado en Psje. Las Gaviotas 35, Cercado de Lima, en adelante el Cliente.</w:t>
      </w:r>
    </w:p>
    <w:p>
      <w:pPr>
        <w:pStyle w:val="Heading2"/>
      </w:pPr>
      <w:r>
        <w:t>CLAUSULA 01.- OBJETO DEL CONTRATO</w:t>
      </w:r>
    </w:p>
    <w:p>
      <w:r>
        <w:t>Financiera Altiplano DEMO S.A. otorga a Hugo Sandoval Nunez (DNI 99994177) un credito de consumo, en adelante el Credito, bajo las condiciones de este contrato.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02.- MONTO DEL CREDITO Y DESEMBOLSO</w:t>
      </w:r>
    </w:p>
    <w:p>
      <w:r>
        <w:t>El monto del Credito es de S/ 86,000.00 (ochenta y seis mil soles), que se desembolsara en la cuenta 999-9130991548.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8,489.18 cada una, segun el cronograma del Anexo 1.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37.78% efectiva anual (TEA), sujeta a la tasa vigente al momento del desembolso, que podra variar entre 36.28% y 39.28% segun evaluacion crediticia.</w:t>
      </w:r>
    </w:p>
    <w:p>
      <w:r>
        <w:t>Las partes declaran que han leido el presente documento y que comprenden sus alcances.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1.07% diario sobre la cuota vencida o, de resultar menor, la tasa maxima permitida por la normativa vigente, a criterio de la entidad.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06.- FORMA DE PAGO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999-9130991548 (CCI 99926293036822692367).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08.- COMISIONES Y GASTOS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conservara el expediente del cliente por el plazo que disponga la normativa.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09.- SEGURO DE DESGRAVAMEN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10.- PREPAGO Y PAGOS ADELANTADOS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11.- DECLARACIONES DEL CLIENTE</w:t>
      </w:r>
    </w:p>
    <w:p>
      <w:r>
        <w:t>En caso de discrepancia entre el cuerpo del contrato y sus anexos, prevalecera lo dispuesto en la hoja resumen, salvo mejor derecho del cliente.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12.- OBLIGACIONES DEL CLIENTE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13.- AUTORIZACION DE CARGO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14.- CONSTANCIA DE ENTREGA</w:t>
      </w:r>
    </w:p>
    <w:p>
      <w:r>
        <w:t>La entidad pondra a disposicion del cliente la informacion pertinente en sus oficinas y canales digitales.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15.- MODIFICACIONES CONTRACTUALES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16.- IDIOMA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17.- DIVISIBILIDAD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18.- NOTIFICACIONES Y DOMICILIO</w:t>
      </w:r>
    </w:p>
    <w:p>
      <w:r>
        <w:t>El domicilio del cliente es Psje. Las Gaviotas 35, Cercado de Lima. Correo: hugo.sandoval44@ejemplo.pe.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19.- INFORMACION AL CLIENTE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20.- RESOLUCION DEL CONTRATO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21.- ORDEN DE IMPUTACION DE PAGOS</w:t>
      </w:r>
    </w:p>
    <w:p>
      <w:r>
        <w:t>El cliente declara que los fondos provienen de actividades licitas y verificables.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22.- VIGENCIA</w:t>
      </w:r>
    </w:p>
    <w:p>
      <w:r>
        <w:t>El contrato rige desde el 21 de mayo de 2026 hasta la cancelacion total de las obligaciones.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23.- REPORTE A CENTRALES DE RIESGO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24.- ANEXOS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25.- GASTOS NOTARIALES</w:t>
      </w:r>
    </w:p>
    <w:p>
      <w:r>
        <w:t>Cualquier modificacion sera comunicada con la anticipacion que establezca la normativa aplicable.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26.- OBLIGACIONES DE LA ENTIDAD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Cualquier modificacion sera comunicada con la anticipacion que establezca la normativa aplicable.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27.- PROTECCION DE DATOS PERSONALES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28.- COBRANZA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29.- CESION DE DERECHOS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2026-06-21</w:t>
            </w:r>
          </w:p>
        </w:tc>
        <w:tc>
          <w:tcPr>
            <w:tcW w:type="dxa" w:w="1728"/>
          </w:tcPr>
          <w:p>
            <w:r>
              <w:t>6,161.40</w:t>
            </w:r>
          </w:p>
        </w:tc>
        <w:tc>
          <w:tcPr>
            <w:tcW w:type="dxa" w:w="1728"/>
          </w:tcPr>
          <w:p>
            <w:r>
              <w:t>2,327.78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2026-07-21</w:t>
            </w:r>
          </w:p>
        </w:tc>
        <w:tc>
          <w:tcPr>
            <w:tcW w:type="dxa" w:w="1728"/>
          </w:tcPr>
          <w:p>
            <w:r>
              <w:t>6,328.17</w:t>
            </w:r>
          </w:p>
        </w:tc>
        <w:tc>
          <w:tcPr>
            <w:tcW w:type="dxa" w:w="1728"/>
          </w:tcPr>
          <w:p>
            <w:r>
              <w:t>2,161.01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  <w:tc>
          <w:tcPr>
            <w:tcW w:type="dxa" w:w="1728"/>
          </w:tcPr>
          <w:p>
            <w:r>
              <w:t>6,499.46</w:t>
            </w:r>
          </w:p>
        </w:tc>
        <w:tc>
          <w:tcPr>
            <w:tcW w:type="dxa" w:w="1728"/>
          </w:tcPr>
          <w:p>
            <w:r>
              <w:t>1,989.72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2026-09-21</w:t>
            </w:r>
          </w:p>
        </w:tc>
        <w:tc>
          <w:tcPr>
            <w:tcW w:type="dxa" w:w="1728"/>
          </w:tcPr>
          <w:p>
            <w:r>
              <w:t>6,675.38</w:t>
            </w:r>
          </w:p>
        </w:tc>
        <w:tc>
          <w:tcPr>
            <w:tcW w:type="dxa" w:w="1728"/>
          </w:tcPr>
          <w:p>
            <w:r>
              <w:t>1,813.80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2026-10-21</w:t>
            </w:r>
          </w:p>
        </w:tc>
        <w:tc>
          <w:tcPr>
            <w:tcW w:type="dxa" w:w="1728"/>
          </w:tcPr>
          <w:p>
            <w:r>
              <w:t>6,856.07</w:t>
            </w:r>
          </w:p>
        </w:tc>
        <w:tc>
          <w:tcPr>
            <w:tcW w:type="dxa" w:w="1728"/>
          </w:tcPr>
          <w:p>
            <w:r>
              <w:t>1,633.11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2026-11-21</w:t>
            </w:r>
          </w:p>
        </w:tc>
        <w:tc>
          <w:tcPr>
            <w:tcW w:type="dxa" w:w="1728"/>
          </w:tcPr>
          <w:p>
            <w:r>
              <w:t>7,041.64</w:t>
            </w:r>
          </w:p>
        </w:tc>
        <w:tc>
          <w:tcPr>
            <w:tcW w:type="dxa" w:w="1728"/>
          </w:tcPr>
          <w:p>
            <w:r>
              <w:t>1,447.54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2026-12-21</w:t>
            </w:r>
          </w:p>
        </w:tc>
        <w:tc>
          <w:tcPr>
            <w:tcW w:type="dxa" w:w="1728"/>
          </w:tcPr>
          <w:p>
            <w:r>
              <w:t>7,232.24</w:t>
            </w:r>
          </w:p>
        </w:tc>
        <w:tc>
          <w:tcPr>
            <w:tcW w:type="dxa" w:w="1728"/>
          </w:tcPr>
          <w:p>
            <w:r>
              <w:t>1,256.94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2027-01-21</w:t>
            </w:r>
          </w:p>
        </w:tc>
        <w:tc>
          <w:tcPr>
            <w:tcW w:type="dxa" w:w="1728"/>
          </w:tcPr>
          <w:p>
            <w:r>
              <w:t>7,427.99</w:t>
            </w:r>
          </w:p>
        </w:tc>
        <w:tc>
          <w:tcPr>
            <w:tcW w:type="dxa" w:w="1728"/>
          </w:tcPr>
          <w:p>
            <w:r>
              <w:t>1,061.19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2027-02-21</w:t>
            </w:r>
          </w:p>
        </w:tc>
        <w:tc>
          <w:tcPr>
            <w:tcW w:type="dxa" w:w="1728"/>
          </w:tcPr>
          <w:p>
            <w:r>
              <w:t>7,629.05</w:t>
            </w:r>
          </w:p>
        </w:tc>
        <w:tc>
          <w:tcPr>
            <w:tcW w:type="dxa" w:w="1728"/>
          </w:tcPr>
          <w:p>
            <w:r>
              <w:t>860.13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2027-03-21</w:t>
            </w:r>
          </w:p>
        </w:tc>
        <w:tc>
          <w:tcPr>
            <w:tcW w:type="dxa" w:w="1728"/>
          </w:tcPr>
          <w:p>
            <w:r>
              <w:t>7,835.55</w:t>
            </w:r>
          </w:p>
        </w:tc>
        <w:tc>
          <w:tcPr>
            <w:tcW w:type="dxa" w:w="1728"/>
          </w:tcPr>
          <w:p>
            <w:r>
              <w:t>653.63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2027-04-21</w:t>
            </w:r>
          </w:p>
        </w:tc>
        <w:tc>
          <w:tcPr>
            <w:tcW w:type="dxa" w:w="1728"/>
          </w:tcPr>
          <w:p>
            <w:r>
              <w:t>8,047.63</w:t>
            </w:r>
          </w:p>
        </w:tc>
        <w:tc>
          <w:tcPr>
            <w:tcW w:type="dxa" w:w="1728"/>
          </w:tcPr>
          <w:p>
            <w:r>
              <w:t>441.55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2027-05-21</w:t>
            </w:r>
          </w:p>
        </w:tc>
        <w:tc>
          <w:tcPr>
            <w:tcW w:type="dxa" w:w="1728"/>
          </w:tcPr>
          <w:p>
            <w:r>
              <w:t>8,265.46</w:t>
            </w:r>
          </w:p>
        </w:tc>
        <w:tc>
          <w:tcPr>
            <w:tcW w:type="dxa" w:w="1728"/>
          </w:tcPr>
          <w:p>
            <w:r>
              <w:t>223.72</w:t>
            </w:r>
          </w:p>
        </w:tc>
        <w:tc>
          <w:tcPr>
            <w:tcW w:type="dxa" w:w="1728"/>
          </w:tcPr>
          <w:p>
            <w:r>
              <w:t>8,489.18</w:t>
            </w:r>
          </w:p>
        </w:tc>
      </w:tr>
    </w:tbl>
    <w:p>
      <w:r>
        <w:t>Hoja resumen: TCEA 39.45% (incluye comisiones y seguros). Cuota referencial S/ 8,489.18.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CON-0007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