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CR-2026-350503</w:t>
      </w:r>
    </w:p>
    <w:p>
      <w:r>
        <w:t>Conste por el presente documento el contrato que celebran, de una parte, Banco Cordillera DEMO S.A., con RUC 20997531206, en adelante la Entidad; y de la otra, Andres Benavides Flores, con DNI 99641643, domiciliado en Av. del Sol 1020, Surco, en adelante el Cliente.</w:t>
      </w:r>
    </w:p>
    <w:p>
      <w:pPr>
        <w:pStyle w:val="Heading2"/>
      </w:pPr>
      <w:r>
        <w:t>CLAUSULA 01.- OBJETO DEL CONTRATO</w:t>
      </w:r>
    </w:p>
    <w:p>
      <w:r>
        <w:t>Banco Cordillera DEMO S.A. otorga a Andres Benavides Flores (DNI 99641643) un credito de consumo, en adelante el Credito, bajo las condiciones de este contrato.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02.- MONTO DEL CREDITO Y DESEMBOLSO</w:t>
      </w:r>
    </w:p>
    <w:p>
      <w:r>
        <w:t>El monto del Credito es de S/ 119,000.00 (ciento diecinueve mil soles), que se desembolsara en la cuenta 999-6331816560.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10,855.82 cada una, segun el cronograma del Anexo 1.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18.44% efectiva anual (TEA).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0.75% diario sobre la cuota vencida.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06.- FORMA DE PAGO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999-6331816560 (CCI 99978821710164663839).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08.- COMISIONES Y GASTOS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09.- SEGURO DE DESGRAVAMEN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10.- PREPAGO Y PAGOS ADELANTADOS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11.- DECLARACIONES DEL CLIENTE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12.- OBLIGACIONES DEL CLIENTE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13.- MODIFICACIONES CONTRACTUALES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14.- CANALES DE ATENCION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15.- CONSTANCIA DE ENTREGA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16.- IDIOMA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17.- VENCIMIENTO ANTICIPADO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18.- PROTECCION DE DATOS PERSONALES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19.- ANEXOS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20.- NOTIFICACIONES Y DOMICILIO</w:t>
      </w:r>
    </w:p>
    <w:p>
      <w:r>
        <w:t>El domicilio del cliente es Av. del Sol 1020, Surco. Correo: andres.benavides40@ejemplo.pe.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21.- AUTORIZACION DE CARGO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22.- GARANTIAS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  <w:tc>
          <w:tcPr>
            <w:tcW w:type="dxa" w:w="1728"/>
          </w:tcPr>
          <w:p>
            <w:r>
              <w:t>9,165.67</w:t>
            </w:r>
          </w:p>
        </w:tc>
        <w:tc>
          <w:tcPr>
            <w:tcW w:type="dxa" w:w="1728"/>
          </w:tcPr>
          <w:p>
            <w:r>
              <w:t>1,690.15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2026-10-12</w:t>
            </w:r>
          </w:p>
        </w:tc>
        <w:tc>
          <w:tcPr>
            <w:tcW w:type="dxa" w:w="1728"/>
          </w:tcPr>
          <w:p>
            <w:r>
              <w:t>9,295.85</w:t>
            </w:r>
          </w:p>
        </w:tc>
        <w:tc>
          <w:tcPr>
            <w:tcW w:type="dxa" w:w="1728"/>
          </w:tcPr>
          <w:p>
            <w:r>
              <w:t>1,559.97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2026-11-12</w:t>
            </w:r>
          </w:p>
        </w:tc>
        <w:tc>
          <w:tcPr>
            <w:tcW w:type="dxa" w:w="1728"/>
          </w:tcPr>
          <w:p>
            <w:r>
              <w:t>9,427.88</w:t>
            </w:r>
          </w:p>
        </w:tc>
        <w:tc>
          <w:tcPr>
            <w:tcW w:type="dxa" w:w="1728"/>
          </w:tcPr>
          <w:p>
            <w:r>
              <w:t>1,427.94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2026-12-12</w:t>
            </w:r>
          </w:p>
        </w:tc>
        <w:tc>
          <w:tcPr>
            <w:tcW w:type="dxa" w:w="1728"/>
          </w:tcPr>
          <w:p>
            <w:r>
              <w:t>9,561.78</w:t>
            </w:r>
          </w:p>
        </w:tc>
        <w:tc>
          <w:tcPr>
            <w:tcW w:type="dxa" w:w="1728"/>
          </w:tcPr>
          <w:p>
            <w:r>
              <w:t>1,294.04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2027-01-12</w:t>
            </w:r>
          </w:p>
        </w:tc>
        <w:tc>
          <w:tcPr>
            <w:tcW w:type="dxa" w:w="1728"/>
          </w:tcPr>
          <w:p>
            <w:r>
              <w:t>9,697.59</w:t>
            </w:r>
          </w:p>
        </w:tc>
        <w:tc>
          <w:tcPr>
            <w:tcW w:type="dxa" w:w="1728"/>
          </w:tcPr>
          <w:p>
            <w:r>
              <w:t>1,158.23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2027-02-12</w:t>
            </w:r>
          </w:p>
        </w:tc>
        <w:tc>
          <w:tcPr>
            <w:tcW w:type="dxa" w:w="1728"/>
          </w:tcPr>
          <w:p>
            <w:r>
              <w:t>9,835.32</w:t>
            </w:r>
          </w:p>
        </w:tc>
        <w:tc>
          <w:tcPr>
            <w:tcW w:type="dxa" w:w="1728"/>
          </w:tcPr>
          <w:p>
            <w:r>
              <w:t>1,020.50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2027-03-12</w:t>
            </w:r>
          </w:p>
        </w:tc>
        <w:tc>
          <w:tcPr>
            <w:tcW w:type="dxa" w:w="1728"/>
          </w:tcPr>
          <w:p>
            <w:r>
              <w:t>9,975.01</w:t>
            </w:r>
          </w:p>
        </w:tc>
        <w:tc>
          <w:tcPr>
            <w:tcW w:type="dxa" w:w="1728"/>
          </w:tcPr>
          <w:p>
            <w:r>
              <w:t>880.81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2027-04-12</w:t>
            </w:r>
          </w:p>
        </w:tc>
        <w:tc>
          <w:tcPr>
            <w:tcW w:type="dxa" w:w="1728"/>
          </w:tcPr>
          <w:p>
            <w:r>
              <w:t>10,116.69</w:t>
            </w:r>
          </w:p>
        </w:tc>
        <w:tc>
          <w:tcPr>
            <w:tcW w:type="dxa" w:w="1728"/>
          </w:tcPr>
          <w:p>
            <w:r>
              <w:t>739.13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2027-05-12</w:t>
            </w:r>
          </w:p>
        </w:tc>
        <w:tc>
          <w:tcPr>
            <w:tcW w:type="dxa" w:w="1728"/>
          </w:tcPr>
          <w:p>
            <w:r>
              <w:t>10,260.37</w:t>
            </w:r>
          </w:p>
        </w:tc>
        <w:tc>
          <w:tcPr>
            <w:tcW w:type="dxa" w:w="1728"/>
          </w:tcPr>
          <w:p>
            <w:r>
              <w:t>595.45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2027-06-12</w:t>
            </w:r>
          </w:p>
        </w:tc>
        <w:tc>
          <w:tcPr>
            <w:tcW w:type="dxa" w:w="1728"/>
          </w:tcPr>
          <w:p>
            <w:r>
              <w:t>10,406.10</w:t>
            </w:r>
          </w:p>
        </w:tc>
        <w:tc>
          <w:tcPr>
            <w:tcW w:type="dxa" w:w="1728"/>
          </w:tcPr>
          <w:p>
            <w:r>
              <w:t>449.72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2027-07-12</w:t>
            </w:r>
          </w:p>
        </w:tc>
        <w:tc>
          <w:tcPr>
            <w:tcW w:type="dxa" w:w="1728"/>
          </w:tcPr>
          <w:p>
            <w:r>
              <w:t>10,553.90</w:t>
            </w:r>
          </w:p>
        </w:tc>
        <w:tc>
          <w:tcPr>
            <w:tcW w:type="dxa" w:w="1728"/>
          </w:tcPr>
          <w:p>
            <w:r>
              <w:t>301.92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2027-08-12</w:t>
            </w:r>
          </w:p>
        </w:tc>
        <w:tc>
          <w:tcPr>
            <w:tcW w:type="dxa" w:w="1728"/>
          </w:tcPr>
          <w:p>
            <w:r>
              <w:t>10,703.79</w:t>
            </w:r>
          </w:p>
        </w:tc>
        <w:tc>
          <w:tcPr>
            <w:tcW w:type="dxa" w:w="1728"/>
          </w:tcPr>
          <w:p>
            <w:r>
              <w:t>152.03</w:t>
            </w:r>
          </w:p>
        </w:tc>
        <w:tc>
          <w:tcPr>
            <w:tcW w:type="dxa" w:w="1728"/>
          </w:tcPr>
          <w:p>
            <w:r>
              <w:t>10,855.82</w:t>
            </w:r>
          </w:p>
        </w:tc>
      </w:tr>
    </w:tbl>
    <w:p>
      <w:r>
        <w:t>Hoja resumen: TCEA 24.18% (incluye comisiones y seguros). Cuota referencial S/ 10,855.82.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CON-0008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