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CR-2026-102296</w:t>
      </w:r>
    </w:p>
    <w:p>
      <w:r>
        <w:t>Conste por el presente documento el contrato que celebran, de una parte, Financiera Pampa Azul DEMO S.A., con RUC 20997462352, en adelante la Entidad; y de la otra, Fernando Paredes Caceres, con DNI 99056368, domiciliado en Av. del Sol 1020, Miraflores, en adelante el Cliente.</w:t>
      </w:r>
    </w:p>
    <w:p>
      <w:pPr>
        <w:pStyle w:val="Heading2"/>
      </w:pPr>
      <w:r>
        <w:t>CLAUSULA 01.- OBJETO DEL CONTRATO</w:t>
      </w:r>
    </w:p>
    <w:p>
      <w:r>
        <w:t>Financiera Pampa Azul DEMO S.A. otorga a Fernando Paredes Caceres (DNI 99056368) un credito de consumo, en adelante el Credito, bajo las condiciones de este contrato.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02.- MONTO DEL CREDITO Y DESEMBOLSO</w:t>
      </w:r>
    </w:p>
    <w:p>
      <w:r>
        <w:t>El monto del Credito es de S/ 9,000.00 (nueve mil soles), que se desembolsara en la cuenta 999-6204540025.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845.39 cada una, segun el cronograma del Anexo 1.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25.22% efectiva anual (TEA).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0.65% diario sobre la cuota vencida.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06.- FORMA DE PAGO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999-6204540025 (CCI 99939613088929582464).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08.- COMISIONES Y GASTOS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09.- SEGURO DE DESGRAVAMEN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11.- DECLARACIONES DEL CLIENTE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12.- OBLIGACIONES DEL CLIENTE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13.- GARANTIAS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14.- LEY APLICABLE Y JURISDICCION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15.- PROTECCION DE DATOS PERSONALES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16.- VERACIDAD DE LA INFORMACION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17.- NOTIFICACIONES Y DOMICILIO</w:t>
      </w:r>
    </w:p>
    <w:p>
      <w:r>
        <w:t>El domicilio del cliente es Av. del Sol 1020, Miraflores. Correo: fernando.paredes16@ejemplo.pe.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18.- CONFIDENCIALIDAD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19.- AUTORIZACION DE CARGO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20.- REPORTE A CENTRALES DE RIESGO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21.- CONSTANCIA DE ENTREGA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22.- INFORMACION AL CLIENTE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23.- ORDEN DE IMPUTACION DE PAGOS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24.- RESOLUCION DEL CONTRATO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25.- GASTOS NOTARIALES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26.- VIGENCIA</w:t>
      </w:r>
    </w:p>
    <w:p>
      <w:r>
        <w:t>El contrato rige desde el 17 de junio de 2026 hasta la cancelacion total de las obligaciones.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2026-07-17</w:t>
            </w:r>
          </w:p>
        </w:tc>
        <w:tc>
          <w:tcPr>
            <w:tcW w:type="dxa" w:w="1728"/>
          </w:tcPr>
          <w:p>
            <w:r>
              <w:t>675.12</w:t>
            </w:r>
          </w:p>
        </w:tc>
        <w:tc>
          <w:tcPr>
            <w:tcW w:type="dxa" w:w="1728"/>
          </w:tcPr>
          <w:p>
            <w:r>
              <w:t>170.27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687.90</w:t>
            </w:r>
          </w:p>
        </w:tc>
        <w:tc>
          <w:tcPr>
            <w:tcW w:type="dxa" w:w="1728"/>
          </w:tcPr>
          <w:p>
            <w:r>
              <w:t>157.49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2026-09-17</w:t>
            </w:r>
          </w:p>
        </w:tc>
        <w:tc>
          <w:tcPr>
            <w:tcW w:type="dxa" w:w="1728"/>
          </w:tcPr>
          <w:p>
            <w:r>
              <w:t>700.91</w:t>
            </w:r>
          </w:p>
        </w:tc>
        <w:tc>
          <w:tcPr>
            <w:tcW w:type="dxa" w:w="1728"/>
          </w:tcPr>
          <w:p>
            <w:r>
              <w:t>144.48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2026-10-17</w:t>
            </w:r>
          </w:p>
        </w:tc>
        <w:tc>
          <w:tcPr>
            <w:tcW w:type="dxa" w:w="1728"/>
          </w:tcPr>
          <w:p>
            <w:r>
              <w:t>714.17</w:t>
            </w:r>
          </w:p>
        </w:tc>
        <w:tc>
          <w:tcPr>
            <w:tcW w:type="dxa" w:w="1728"/>
          </w:tcPr>
          <w:p>
            <w:r>
              <w:t>131.22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2026-11-17</w:t>
            </w:r>
          </w:p>
        </w:tc>
        <w:tc>
          <w:tcPr>
            <w:tcW w:type="dxa" w:w="1728"/>
          </w:tcPr>
          <w:p>
            <w:r>
              <w:t>727.68</w:t>
            </w:r>
          </w:p>
        </w:tc>
        <w:tc>
          <w:tcPr>
            <w:tcW w:type="dxa" w:w="1728"/>
          </w:tcPr>
          <w:p>
            <w:r>
              <w:t>117.71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2026-12-17</w:t>
            </w:r>
          </w:p>
        </w:tc>
        <w:tc>
          <w:tcPr>
            <w:tcW w:type="dxa" w:w="1728"/>
          </w:tcPr>
          <w:p>
            <w:r>
              <w:t>741.45</w:t>
            </w:r>
          </w:p>
        </w:tc>
        <w:tc>
          <w:tcPr>
            <w:tcW w:type="dxa" w:w="1728"/>
          </w:tcPr>
          <w:p>
            <w:r>
              <w:t>103.94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2027-01-17</w:t>
            </w:r>
          </w:p>
        </w:tc>
        <w:tc>
          <w:tcPr>
            <w:tcW w:type="dxa" w:w="1728"/>
          </w:tcPr>
          <w:p>
            <w:r>
              <w:t>755.47</w:t>
            </w:r>
          </w:p>
        </w:tc>
        <w:tc>
          <w:tcPr>
            <w:tcW w:type="dxa" w:w="1728"/>
          </w:tcPr>
          <w:p>
            <w:r>
              <w:t>89.92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2027-02-17</w:t>
            </w:r>
          </w:p>
        </w:tc>
        <w:tc>
          <w:tcPr>
            <w:tcW w:type="dxa" w:w="1728"/>
          </w:tcPr>
          <w:p>
            <w:r>
              <w:t>769.77</w:t>
            </w:r>
          </w:p>
        </w:tc>
        <w:tc>
          <w:tcPr>
            <w:tcW w:type="dxa" w:w="1728"/>
          </w:tcPr>
          <w:p>
            <w:r>
              <w:t>75.62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2027-03-17</w:t>
            </w:r>
          </w:p>
        </w:tc>
        <w:tc>
          <w:tcPr>
            <w:tcW w:type="dxa" w:w="1728"/>
          </w:tcPr>
          <w:p>
            <w:r>
              <w:t>784.33</w:t>
            </w:r>
          </w:p>
        </w:tc>
        <w:tc>
          <w:tcPr>
            <w:tcW w:type="dxa" w:w="1728"/>
          </w:tcPr>
          <w:p>
            <w:r>
              <w:t>61.06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2027-04-17</w:t>
            </w:r>
          </w:p>
        </w:tc>
        <w:tc>
          <w:tcPr>
            <w:tcW w:type="dxa" w:w="1728"/>
          </w:tcPr>
          <w:p>
            <w:r>
              <w:t>799.17</w:t>
            </w:r>
          </w:p>
        </w:tc>
        <w:tc>
          <w:tcPr>
            <w:tcW w:type="dxa" w:w="1728"/>
          </w:tcPr>
          <w:p>
            <w:r>
              <w:t>46.22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2027-05-17</w:t>
            </w:r>
          </w:p>
        </w:tc>
        <w:tc>
          <w:tcPr>
            <w:tcW w:type="dxa" w:w="1728"/>
          </w:tcPr>
          <w:p>
            <w:r>
              <w:t>814.29</w:t>
            </w:r>
          </w:p>
        </w:tc>
        <w:tc>
          <w:tcPr>
            <w:tcW w:type="dxa" w:w="1728"/>
          </w:tcPr>
          <w:p>
            <w:r>
              <w:t>31.10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2027-06-17</w:t>
            </w:r>
          </w:p>
        </w:tc>
        <w:tc>
          <w:tcPr>
            <w:tcW w:type="dxa" w:w="1728"/>
          </w:tcPr>
          <w:p>
            <w:r>
              <w:t>829.69</w:t>
            </w:r>
          </w:p>
        </w:tc>
        <w:tc>
          <w:tcPr>
            <w:tcW w:type="dxa" w:w="1728"/>
          </w:tcPr>
          <w:p>
            <w:r>
              <w:t>15.70</w:t>
            </w:r>
          </w:p>
        </w:tc>
        <w:tc>
          <w:tcPr>
            <w:tcW w:type="dxa" w:w="1728"/>
          </w:tcPr>
          <w:p>
            <w:r>
              <w:t>845.39</w:t>
            </w:r>
          </w:p>
        </w:tc>
      </w:tr>
    </w:tbl>
    <w:p>
      <w:r>
        <w:t>Hoja resumen: TCEA 29.53% (incluye comisiones y seguros). Cuota referencial S/ 845.39.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CON-0016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