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7A1526"/>
          <w:spacing w:val="40"/>
          <w:sz w:val="15"/>
          <w:szCs w:val="15"/>
        </w:rPr>
        <w:t xml:space="preserve">UPC · FACULTAD DE NEGOCIOS · PROGRAMA ADMINISTRACIÓN Y CIENCIA DE DATOS PARA NEGOCIOS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2D2D2D"/>
          <w:sz w:val="36"/>
          <w:szCs w:val="36"/>
        </w:rPr>
        <w:t xml:space="preserve">Guía de laboratorio — Sesión S01</w:t>
      </w:r>
    </w:p>
    <w:p>
      <w:pPr>
        <w:pBdr>
          <w:bottom w:val="single" w:color="E4002B" w:sz="18" w:space="10"/>
        </w:pBdr>
        <w:spacing w:after="160"/>
      </w:pPr>
      <w:r>
        <w:rPr>
          <w:rFonts w:ascii="Cambria" w:cs="Cambria" w:eastAsia="Cambria" w:hAnsi="Cambria"/>
          <w:color w:val="7A1526"/>
          <w:sz w:val="28"/>
          <w:szCs w:val="28"/>
        </w:rPr>
        <w:t xml:space="preserve">Introducción al curso + roadmap KDD / CRISP-DM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CURSO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Herramientas para la Ciencia de Datos · Material del estudiante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MODALIDAD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Práctica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en parejas ejecutada íntegramente en aula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·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entregable individual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(cada estudiante presenta su propia ficha)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DURACIÓN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~40 min de trabajo (7 pasos) ·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viernes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capítulo 1.8 (bloque B, min 65–105 del reloj de la sesión) · ~30 min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en clase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(min 53–82) + finalización autónoma antes de la S02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CUADERNO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notebook/S01_roadmap.ipynb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(sección 9: mapear el problema sobre CRISP-DM) · esta guía tiene dos partes: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PARTE 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— protocolo de réplica del curso (~5 min, presentación guiada; rige desde la S02)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PARTE B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— laboratorio propio en 7 pasos (~40 min)</w:t>
            </w:r>
          </w:p>
        </w:tc>
      </w:tr>
    </w:tbl>
    <w:p>
      <w:pPr>
        <w:spacing w:after="150"/>
      </w:pPr>
    </w:p>
    <w:p>
      <w:pPr>
        <w:spacing w:after="180" w:line="265"/>
      </w:pPr>
      <w:r>
        <w:rPr>
          <w:rFonts w:ascii="Cambria" w:cs="Cambria" w:eastAsia="Cambria" w:hAnsi="Cambria"/>
          <w:color w:val="3A3A3A"/>
          <w:sz w:val="18"/>
          <w:szCs w:val="18"/>
        </w:rPr>
        <w:t xml:space="preserve">El jueves se preparó el terreno con la pregunta analítica (capítulo 1.3) y la clasificación (capítulo 1.4); este laboratorio, en el capítulo 1.8, aplica ambas al caso propio del estudiante. En casa no queda laboratorio: queda el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entregable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. La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PARTE A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de esta guía presenta el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protocolo de replicación de papers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que regirá el laboratorio de todas las sesiones desde la S02 (su detalle A.1–A.4 queda como referencia y lectura previa a la S02); la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PARTE B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es el laboratorio propio de esta sesión. La S01 es la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excepción declarada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del curso: una sesión conceptual sin paper de técnica a replicar; por eso esta guía enseña el protocolo </w:t>
      </w:r>
      <w:r>
        <w:rPr>
          <w:rFonts w:ascii="Cambria" w:cs="Cambria" w:eastAsia="Cambria" w:hAnsi="Cambria"/>
          <w:i/>
          <w:iCs/>
          <w:color w:val="3A3A3A"/>
          <w:sz w:val="18"/>
          <w:szCs w:val="18"/>
        </w:rPr>
        <w:t xml:space="preserve">en abstracto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y el laboratorio práctico se dedica a mapear el problema de negocio sobre CRISP-DM. Desde la S02, el laboratorio ES la replicación.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1526" w:color="auto" w:val="clear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5"/>
                <w:szCs w:val="15"/>
              </w:rPr>
              <w:t xml:space="preserve">OBJETIVO DEL LABORATORIO</w:t>
            </w:r>
          </w:p>
          <w:p>
            <w:pPr>
              <w:spacing w:line="280"/>
            </w:pP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elegir un problema de negocio del catálogo del curso (o proponer uno propio) y mapearlo sobre las 6 fases de CRISP-DM, con la decisión que el análisis habilita, el KPI, la unidad de análisis, la variable objetivo y los dos perfiles del equipo de datos críticos para el proyecto ya definidos. El resultado del laboratorio es el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borrador del entregable de la sesión</w:t>
            </w: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 y el punto de partida del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proyecto integrador</w:t>
            </w: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 del curso.</w:t>
            </w:r>
          </w:p>
        </w:tc>
      </w:tr>
    </w:tbl>
    <w:p>
      <w:pPr>
        <w:spacing w:after="200"/>
      </w:pPr>
    </w:p>
    <w:p>
      <w:pPr>
        <w:keepNext/>
        <w:spacing w:after="110" w:before="240"/>
      </w:pPr>
      <w:r>
        <w:rPr>
          <w:rFonts w:ascii="Calibri" w:cs="Calibri" w:eastAsia="Calibri" w:hAnsi="Calibri"/>
          <w:b/>
          <w:bCs/>
          <w:color w:val="7A1526"/>
          <w:sz w:val="21"/>
          <w:szCs w:val="21"/>
        </w:rPr>
        <w:t xml:space="preserve">Contenido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180"/>
        <w:gridCol w:w="2400"/>
      </w:tblGrid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0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Antes de empezar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1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 protocolo de replicación del curso (PARTE A)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~5 min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2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Mapear un problema de negocio sobre CRISP-DM (PARTE B)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~40 min de trabajo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3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Cierre: entregable y proyecto integrador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4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Checklist final de autoevaluación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11 criterios</w:t>
            </w:r>
          </w:p>
        </w:tc>
      </w:tr>
    </w:tbl>
    <w:p>
      <w:pPr>
        <w:spacing w:after="220"/>
      </w:pPr>
    </w:p>
    <w:p>
      <w:pPr>
        <w:keepNext/>
        <w:spacing w:after="110" w:before="240"/>
      </w:pPr>
      <w:r>
        <w:rPr>
          <w:rFonts w:ascii="Calibri" w:cs="Calibri" w:eastAsia="Calibri" w:hAnsi="Calibri"/>
          <w:b/>
          <w:bCs/>
          <w:color w:val="7A1526"/>
          <w:sz w:val="21"/>
          <w:szCs w:val="21"/>
        </w:rPr>
        <w:t xml:space="preserve">0. Antes de empezar</w:t>
      </w:r>
    </w:p>
    <w:p>
      <w:pPr>
        <w:spacing w:after="110" w:line="265"/>
      </w:pPr>
      <w:r>
        <w:rPr>
          <w:rFonts w:ascii="Calibri" w:cs="Calibri" w:eastAsia="Calibri" w:hAnsi="Calibri"/>
          <w:b/>
          <w:bCs/>
          <w:color w:val="7A1526"/>
          <w:sz w:val="18"/>
          <w:szCs w:val="18"/>
        </w:rPr>
        <w:t xml:space="preserve">0.1   </w:t>
      </w:r>
      <w:r>
        <w:rPr>
          <w:rFonts w:ascii="Cambria" w:cs="Cambria" w:eastAsia="Cambria" w:hAnsi="Cambria"/>
          <w:b/>
          <w:bCs/>
          <w:color w:val="2D2D2D"/>
          <w:sz w:val="19"/>
          <w:szCs w:val="19"/>
        </w:rPr>
        <w:t xml:space="preserve">Prerequisitos:</w:t>
      </w:r>
      <w:r>
        <w:rPr>
          <w:rFonts w:ascii="Cambria" w:cs="Cambria" w:eastAsia="Cambria" w:hAnsi="Cambria"/>
          <w:color w:val="2D2D2D"/>
          <w:sz w:val="19"/>
          <w:szCs w:val="19"/>
        </w:rPr>
        <w:t xml:space="preserve"> haber recorrido las secciones 1–8 del cuaderno de la sesión (mapa del curso, perfiles del equipo, KDD, CRISP-DM, taxonomías, cadena pregunta de negocio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→</w:t>
      </w:r>
      <w:r>
        <w:rPr>
          <w:rFonts w:ascii="Cambria" w:cs="Cambria" w:eastAsia="Cambria" w:hAnsi="Cambria"/>
          <w:color w:val="2D2D2D"/>
          <w:sz w:val="19"/>
          <w:szCs w:val="19"/>
        </w:rPr>
        <w:t xml:space="preserve"> pregunta analítica). No se requiere programar: el laboratorio se resuelve sobre las plantillas.</w:t>
      </w:r>
    </w:p>
    <w:p>
      <w:pPr>
        <w:spacing w:after="110" w:line="265"/>
      </w:pPr>
      <w:r>
        <w:rPr>
          <w:rFonts w:ascii="Calibri" w:cs="Calibri" w:eastAsia="Calibri" w:hAnsi="Calibri"/>
          <w:b/>
          <w:bCs/>
          <w:color w:val="7A1526"/>
          <w:sz w:val="18"/>
          <w:szCs w:val="18"/>
        </w:rPr>
        <w:t xml:space="preserve">0.2   </w:t>
      </w:r>
      <w:r>
        <w:rPr>
          <w:rFonts w:ascii="Cambria" w:cs="Cambria" w:eastAsia="Cambria" w:hAnsi="Cambria"/>
          <w:color w:val="2D2D2D"/>
          <w:sz w:val="19"/>
          <w:szCs w:val="19"/>
        </w:rPr>
        <w:t xml:space="preserve">Cuaderno de la sesión: </w:t>
      </w:r>
      <w:r>
        <w:rPr>
          <w:rFonts w:ascii="Consolas" w:cs="Consolas" w:eastAsia="Consolas" w:hAnsi="Consolas"/>
          <w:color w:val="7A1526"/>
          <w:sz w:val="17"/>
          <w:szCs w:val="17"/>
        </w:rPr>
        <w:t xml:space="preserve">notebook/S01_roadmap.ipynb</w:t>
      </w:r>
      <w:r>
        <w:rPr>
          <w:rFonts w:ascii="Cambria" w:cs="Cambria" w:eastAsia="Cambria" w:hAnsi="Cambria"/>
          <w:color w:val="2D2D2D"/>
          <w:sz w:val="19"/>
          <w:szCs w:val="19"/>
        </w:rPr>
        <w:t xml:space="preserve"> — referencia de teoría: mapa del curso (sección 1), perfiles del equipo (sección 2), ciclo CRISP-DM (sección 4) y catálogo embebido (sección 8).</w:t>
      </w:r>
    </w:p>
    <w:p>
      <w:pPr>
        <w:spacing w:after="110" w:line="265"/>
      </w:pPr>
      <w:r>
        <w:rPr>
          <w:rFonts w:ascii="Calibri" w:cs="Calibri" w:eastAsia="Calibri" w:hAnsi="Calibri"/>
          <w:b/>
          <w:bCs/>
          <w:color w:val="7A1526"/>
          <w:sz w:val="18"/>
          <w:szCs w:val="18"/>
        </w:rPr>
        <w:t xml:space="preserve">0.3   </w:t>
      </w:r>
      <w:r>
        <w:rPr>
          <w:rFonts w:ascii="Cambria" w:cs="Cambria" w:eastAsia="Cambria" w:hAnsi="Cambria"/>
          <w:color w:val="2D2D2D"/>
          <w:sz w:val="19"/>
          <w:szCs w:val="19"/>
        </w:rPr>
        <w:t xml:space="preserve">Catálogo de problemas de negocio: plantillas/Catalogo Problemas Negocio.docx — diez problemas sugeridos con contexto, decisión, dataset con enlace, sesión del curso asociada y paper de referencia de la técnica.</w:t>
      </w:r>
    </w:p>
    <w:p>
      <w:pPr>
        <w:spacing w:after="110" w:line="265"/>
      </w:pPr>
      <w:r>
        <w:rPr>
          <w:rFonts w:ascii="Calibri" w:cs="Calibri" w:eastAsia="Calibri" w:hAnsi="Calibri"/>
          <w:b/>
          <w:bCs/>
          <w:color w:val="7A1526"/>
          <w:sz w:val="18"/>
          <w:szCs w:val="18"/>
        </w:rPr>
        <w:t xml:space="preserve">0.4   </w:t>
      </w:r>
      <w:r>
        <w:rPr>
          <w:rFonts w:ascii="Cambria" w:cs="Cambria" w:eastAsia="Cambria" w:hAnsi="Cambria"/>
          <w:color w:val="2D2D2D"/>
          <w:sz w:val="19"/>
          <w:szCs w:val="19"/>
        </w:rPr>
        <w:t xml:space="preserve">Canvas de proyecto de datos: plantillas/Canvas Proyecto Datos.docx — lienzo de una página para destilar el proyecto en frases cortas.</w:t>
      </w:r>
    </w:p>
    <w:p>
      <w:pPr>
        <w:spacing w:after="110" w:line="265"/>
      </w:pPr>
      <w:r>
        <w:rPr>
          <w:rFonts w:ascii="Calibri" w:cs="Calibri" w:eastAsia="Calibri" w:hAnsi="Calibri"/>
          <w:b/>
          <w:bCs/>
          <w:color w:val="7A1526"/>
          <w:sz w:val="18"/>
          <w:szCs w:val="18"/>
        </w:rPr>
        <w:t xml:space="preserve">0.5   </w:t>
      </w:r>
      <w:r>
        <w:rPr>
          <w:rFonts w:ascii="Cambria" w:cs="Cambria" w:eastAsia="Cambria" w:hAnsi="Cambria"/>
          <w:color w:val="2D2D2D"/>
          <w:sz w:val="19"/>
          <w:szCs w:val="19"/>
        </w:rPr>
        <w:t xml:space="preserve">Ficha de proyecto CRISP-DM: plantillas/Ficha Proyecto CRISP-DM.docx — plantilla del entregable evaluable de la sesión.</w:t>
      </w:r>
    </w:p>
    <w:p>
      <w:pPr>
        <w:spacing w:after="110" w:line="265"/>
      </w:pPr>
      <w:r>
        <w:rPr>
          <w:rFonts w:ascii="Calibri" w:cs="Calibri" w:eastAsia="Calibri" w:hAnsi="Calibri"/>
          <w:b/>
          <w:bCs/>
          <w:color w:val="7A1526"/>
          <w:sz w:val="18"/>
          <w:szCs w:val="18"/>
        </w:rPr>
        <w:t xml:space="preserve">0.6   </w:t>
      </w:r>
      <w:r>
        <w:rPr>
          <w:rFonts w:ascii="Cambria" w:cs="Cambria" w:eastAsia="Cambria" w:hAnsi="Cambria"/>
          <w:color w:val="2D2D2D"/>
          <w:sz w:val="19"/>
          <w:szCs w:val="19"/>
        </w:rPr>
        <w:t xml:space="preserve">Enunciado y rúbrica del entregable: </w:t>
      </w:r>
      <w:r>
        <w:rPr>
          <w:rFonts w:ascii="Consolas" w:cs="Consolas" w:eastAsia="Consolas" w:hAnsi="Consolas"/>
          <w:color w:val="7A1526"/>
          <w:sz w:val="17"/>
          <w:szCs w:val="17"/>
        </w:rPr>
        <w:t xml:space="preserve">evaluacion/Entregable.docx</w:t>
      </w:r>
      <w:r>
        <w:rPr>
          <w:rFonts w:ascii="Cambria" w:cs="Cambria" w:eastAsia="Cambria" w:hAnsi="Cambria"/>
          <w:color w:val="2D2D2D"/>
          <w:sz w:val="19"/>
          <w:szCs w:val="19"/>
        </w:rPr>
        <w:t xml:space="preserve"> — criterios con los que se calificará la ficha de la sesión (escala vigesimal, total 20).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1.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EL PROTOCOLO DE REPLICACIÓN DEL CURSO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PARTE A · presentación guiada por el docente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>   |   ~5 min</w:t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Cada técnica que se aprende en este curso nació en un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artículo científico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que la presentó al mundo con datos reales. En lugar de aceptar la técnica «porque lo dice la librería», el laboratorio de cada sesión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reproduce el resultado original del paper con sus propios datos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: el mismo número, la misma tabla o la misma figura que publicaron los autores. Este enfoque aporta dos beneficios: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Rigor.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Replicar obliga a leer evidencia primaria, verificar afirmaciones contra datos reales, trabajar con tolerancias numéricas y entender por qué dos implementaciones pueden diferir. Es la disciplina de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ciencia reproducible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la misma que distingue un análisis confiable de una opinión con gráficos.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Empleabilidad.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Al terminar el curso se cuenta con un portafolio de réplicas de papers reconocidos (Student, Galton, Fisher, Tibshirani, entre otros) — una credencial poco común en pregrado que demuestra capacidad de leer literatura técnica y convertirla en código que funciona. Los equipos de datos valoran exactamente esa habilidad: tomar un método publicado y hacerlo funcionar sobre los datos de la organización.</w:t>
            </w:r>
          </w:p>
        </w:tc>
      </w:tr>
    </w:tbl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El laboratorio de cada sesión (S02–S14) sigue SIEMPRE la misma secuencia. Cada paso llega con tiempo estimado, producto esperado y referencia a la sección del cuaderno que lo acompaña: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Paso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Qué se hace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Producto esperado</w:t>
            </w:r>
          </w:p>
        </w:tc>
      </w:tr>
      <w:tr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0 — Contexto del paper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Conocer qué publicaron los autores, en qué año y dónde; identificar </w:t>
            </w: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LA</w:t>
            </w: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 tabla, figura o número que se va a reproducir y por qué ese resultado fue importante para la disciplina.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El «target» de la réplica declarado por escrito (resultado + fuente exacta).</w:t>
            </w:r>
          </w:p>
        </w:tc>
      </w:tr>
      <w:tr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1 — Obtener los datos originales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Descargar el dataset </w:t>
            </w: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del paper</w:t>
            </w: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 (no un sustituto de Kaggle) desde el enlace verificado del catálogo o con el script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526"/>
                <w:sz w:val="16"/>
                <w:szCs w:val="16"/>
              </w:rPr>
              <w:t xml:space="preserve">data/descargar_datos.py</w:t>
            </w: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 de la sesión; cargarlo en Colab y confirmar filas × columnas esperadas.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Dataset original cargado y verificado, con fecha DD/MM/YYYY.</w:t>
            </w:r>
          </w:p>
        </w:tc>
      </w:tr>
      <w:tr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2 — Explorar como los autores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Entender las variables con el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526"/>
                <w:sz w:val="16"/>
                <w:szCs w:val="16"/>
              </w:rPr>
              <w:t xml:space="preserve">diccionario_datos.md</w:t>
            </w: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 de la sesión: qué midió cada columna, en qué unidades, con qué limitaciones.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Lectura correcta de las variables clave del estudio.</w:t>
            </w:r>
          </w:p>
        </w:tc>
      </w:tr>
      <w:tr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3–4 — Reproducir el resultado clave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Aplicar la técnica paso a paso hasta obtener el número o la figura del paper; </w:t>
            </w: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comparar contra el valor publicado dentro de la tolerancia</w:t>
            </w: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 definida en la ficha de la sesión de la sesión y discutir por qué puede diferir (implementación, versión del dataset, redondeos de época).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El resultado replicado, la comparación con el original y la explicación de las diferencias.</w:t>
            </w:r>
          </w:p>
        </w:tc>
      </w:tr>
      <w:tr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5 — Del paper al negocio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Repetir la técnica sobre el </w:t>
            </w: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dataset de negocio</w:t>
            </w: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 de la sesión y traducir el resultado a una </w:t>
            </w: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decisión</w:t>
            </w: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 concreta (a quién dirigir la campaña, cuánto presupuesto reasignar, qué versión lanzar).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Un resultado de negocio con su recomendación de decisión.</w:t>
            </w:r>
          </w:p>
        </w:tc>
      </w:tr>
    </w:tbl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Al final de cada laboratorio: checklist de autoevaluación, conexión con el entregable de la sesión y con el proyecto integrador. Modalidad estable: trabajo en parejas, entrega individual.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1.1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Ejemplo narrado: cómo se verá en la Sesión 02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En 1908, un químico de la cervecería Guinness llamado William Sealy Gosset publicó en la revista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Biometrika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 bajo el seudónimo «Student», porque su empleador no permitía publicar — un método para sacar conclusiones confiables con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muestras pequeñas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un problema cotidiano en el control de calidad de la cerveza. Para ilustrarlo usó datos reales de un ensayo clínico: cuántas horas adicionales de sueño ganaron diez pacientes con cada uno de dos somníferos.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En el laboratorio de la S02 se vivirá el protocolo completo: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Paso 0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conocer esa historia e identificar el resultado del artículo que se va a reproducir;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Paso 1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descargar el dataset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Sleep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 los mismos diez pacientes de 1908 — desde el enlace verificado del catálogo;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Paso 2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entender qué registró cada columna;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Pasos 3–4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obtener con Python el número que Student publicó hace más de un siglo y comprobar que coincide dentro de la tolerancia;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Paso 5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aplicar la misma idea a un experimento A/B real de un juego móvil (Cookie Cats) para decidir qué versión lanzar. La técnica en sí — cómo funciona y cuándo usarla — se enseña recién en la S02; aquí solo se anticipa la experiencia.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1.2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De dónde provienen los papers que se replicarán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Los papers de réplica del curso ya están identificados: el plantillas/Catalogo Problemas Negocio.docx indica, para cada problema,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paper de referencia de la técnica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 con autores, año y publicación — y el dataset original con el que la sesión correspondiente lo replica (ver la columna «Paper de la técnica» de su tabla resumen). Regla del curso: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la réplica se ancla en el paper, no en el repositorio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 Kaggle y fuentes similares aportan solo el caso de negocio del Paso 5; nunca son la fuente primaria de la réplica.</w:t>
            </w:r>
          </w:p>
        </w:tc>
      </w:tr>
    </w:tbl>
    <w:p>
      <w:r>
        <w:br w:type="page"/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2.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LABORATORIO DE LA S01: MAPEAR UN PROBLEMA DE NEGOCIO SOBRE CRISP-DM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PARTE B · sección 9 del cuaderno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>   |   ~40 min de trabajo (~30 min en clase + finalización autónoma)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2.0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Reparto del tiempo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Los siete pasos suman ~40 min de trabajo. En clase se dispone de ~30 min (Min 53–82 del reloj de la sesión): alcanzan para elegir el problema, destilar el Canvas, dejar la ficha de la sesión en borrador, identificar los perfiles y hacer la puesta en común.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Completar y pulir la ficha de la sesión y el mapeo de sesiones (paso 6) se terminan como trabajo autónomo antes de la S02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dado que el entregable es individual y se entrega antes de la Sesión 02.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0"/>
        <w:gridCol w:w="6080"/>
        <w:gridCol w:w="3000"/>
      </w:tblGrid>
      <w:tr>
        <w:trPr>
          <w:tblHeader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TIEMPO</w:t>
            </w:r>
          </w:p>
        </w:tc>
        <w:tc>
          <w:tcPr>
            <w:tcW w:type="dxa" w:w="6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QUÉ HACER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PRODUCTO (lo que queda escrito)</w:t>
            </w:r>
          </w:p>
        </w:tc>
      </w:tr>
      <w:tr>
        <w:tc>
          <w:tcPr>
            <w:tcW w:type="dxa" w:w="10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5 min</w:t>
            </w:r>
          </w:p>
        </w:tc>
        <w:tc>
          <w:tcPr>
            <w:tcW w:type="dxa" w:w="60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22"/>
                <w:szCs w:val="22"/>
              </w:rPr>
              <w:t xml:space="preserve">P1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Explorar el catálogo</w:t>
            </w:r>
          </w:p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En parejas, revisar los 10 problemas de plantillas/Catalogo Problemas Negocio.docx (o la tabla de la sección 8 del cuaderno). Para cada problema que llame la atención, leer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contexto de negocio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decisión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que habilita — no la técnica: las técnicas se aprenden en sus sesiones, donde además se replica el paper que las originó (PARTE A de esta guía).</w:t>
            </w:r>
          </w:p>
        </w:tc>
        <w:tc>
          <w:tcPr>
            <w:tcW w:type="dxa" w:w="3000"/>
            <w:tcBorders>
              <w:top w:val="single" w:color="DFE2E6" w:sz="4"/>
              <w:left w:val="single" w:color="E4002B" w:sz="12"/>
              <w:bottom w:val="single" w:color="DFE2E6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line="265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▸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una lista corta (2–3 candidatos por estudiante) de problemas de interés, con una línea sobre por qué interesa cada uno.</w:t>
            </w:r>
          </w:p>
        </w:tc>
      </w:tr>
      <w:tr>
        <w:tc>
          <w:tcPr>
            <w:tcW w:type="dxa" w:w="10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3 min</w:t>
            </w:r>
          </w:p>
        </w:tc>
        <w:tc>
          <w:tcPr>
            <w:tcW w:type="dxa" w:w="60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22"/>
                <w:szCs w:val="22"/>
              </w:rPr>
              <w:t xml:space="preserve">P2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Elegir el problema</w:t>
            </w:r>
          </w:p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Cada estudiante elige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un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problema: uno del catálogo o uno propio (de su trabajo o interés) con datos accesibles — la propuesta propia requiere aprobación del docente, según la guía del proyecto integrador. Criterio de elección: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decisión de negocio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que motiva, no el algoritmo. Los integrantes de la pareja pueden elegir problemas distintos.</w:t>
            </w:r>
          </w:p>
        </w:tc>
        <w:tc>
          <w:tcPr>
            <w:tcW w:type="dxa" w:w="3000"/>
            <w:tcBorders>
              <w:top w:val="single" w:color="DFE2E6" w:sz="4"/>
              <w:left w:val="single" w:color="E4002B" w:sz="12"/>
              <w:bottom w:val="single" w:color="DFE2E6" w:sz="4"/>
              <w:right w:val="none" w:color="FFFFFF" w:sz="0"/>
            </w:tcBorders>
            <w:shd w:fill="F7F0F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line="265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▸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un problema elegido por estudiante, con su dataset identificado (número del catálogo o fuente propia).</w:t>
            </w:r>
          </w:p>
        </w:tc>
      </w:tr>
      <w:tr>
        <w:tc>
          <w:tcPr>
            <w:tcW w:type="dxa" w:w="10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7 min</w:t>
            </w:r>
          </w:p>
        </w:tc>
        <w:tc>
          <w:tcPr>
            <w:tcW w:type="dxa" w:w="60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22"/>
                <w:szCs w:val="22"/>
              </w:rPr>
              <w:t xml:space="preserve">P3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Primer borrador en el Canvas</w:t>
            </w:r>
          </w:p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Completar los bloques 1–4 del plantillas/Canvas Proyecto Datos.docx en el orden sugerido: problema y decisión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→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stakeholders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→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pregunta analítica (unidad de análisis + variable objetivo)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→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KPI. Frases cortas: si un bloque no cabe en su casilla, la idea aún no está destilada. La sección 6 del cuaderno muestra la cadena completa aplicada a tres casos.</w:t>
            </w:r>
          </w:p>
        </w:tc>
        <w:tc>
          <w:tcPr>
            <w:tcW w:type="dxa" w:w="3000"/>
            <w:tcBorders>
              <w:top w:val="single" w:color="DFE2E6" w:sz="4"/>
              <w:left w:val="single" w:color="E4002B" w:sz="12"/>
              <w:bottom w:val="single" w:color="DFE2E6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line="265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▸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canvas con los bloques 1–4 completos y legibles para un tercero.</w:t>
            </w:r>
          </w:p>
        </w:tc>
      </w:tr>
      <w:tr>
        <w:tc>
          <w:tcPr>
            <w:tcW w:type="dxa" w:w="10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10 min</w:t>
            </w:r>
          </w:p>
        </w:tc>
        <w:tc>
          <w:tcPr>
            <w:tcW w:type="dxa" w:w="60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22"/>
                <w:szCs w:val="22"/>
              </w:rPr>
              <w:t xml:space="preserve">P4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Completar la ficha de la sesión CRISP-DM</w:t>
            </w:r>
          </w:p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Trasladar y desarrollar el borrador en plantillas/Ficha Proyecto CRISP-DM.docx: problema y decisión, KPI con fórmula, unidad de análisis, variable objetivo (o justificación de enfoque no supervisado), datos disponibles con fuente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al menos dos riesgos éticos o de privacidad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con su mitigación (sección 7 del cuaderno como referencia). Completar también la tabla de actividades por fase CRISP-DM.</w:t>
            </w:r>
          </w:p>
        </w:tc>
        <w:tc>
          <w:tcPr>
            <w:tcW w:type="dxa" w:w="3000"/>
            <w:tcBorders>
              <w:top w:val="single" w:color="DFE2E6" w:sz="4"/>
              <w:left w:val="single" w:color="E4002B" w:sz="12"/>
              <w:bottom w:val="single" w:color="DFE2E6" w:sz="4"/>
              <w:right w:val="none" w:color="FFFFFF" w:sz="0"/>
            </w:tcBorders>
            <w:shd w:fill="F7F0F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line="265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▸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ficha con las secciones 1–7 completas en borrador; es el insumo directo del entregable.</w:t>
            </w:r>
          </w:p>
        </w:tc>
      </w:tr>
      <w:tr>
        <w:tc>
          <w:tcPr>
            <w:tcW w:type="dxa" w:w="10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3 min</w:t>
            </w:r>
          </w:p>
        </w:tc>
        <w:tc>
          <w:tcPr>
            <w:tcW w:type="dxa" w:w="60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22"/>
                <w:szCs w:val="22"/>
              </w:rPr>
              <w:t xml:space="preserve">P5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Identificar los 2 perfiles críticos</w:t>
            </w:r>
          </w:p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De los seis perfiles del equipo de datos de la sección 2 del cuaderno (data scientist, data engineer, data analyst, ML engineer, traductor de negocio / PM analítico, especialista en gobierno de datos), señalar los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dos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más críticos para llevar adelante el proyecto elegido, con una línea de justificación por perfil anclada en la fase CRISP-DM donde el proyecto concentra su riesgo.</w:t>
            </w:r>
          </w:p>
        </w:tc>
        <w:tc>
          <w:tcPr>
            <w:tcW w:type="dxa" w:w="3000"/>
            <w:tcBorders>
              <w:top w:val="single" w:color="DFE2E6" w:sz="4"/>
              <w:left w:val="single" w:color="E4002B" w:sz="12"/>
              <w:bottom w:val="single" w:color="DFE2E6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line="265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▸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dos perfiles nombrados y justificados (una línea cada uno), anotados en la ficha de la sesión o el canvas.</w:t>
            </w:r>
          </w:p>
        </w:tc>
      </w:tr>
      <w:tr>
        <w:tc>
          <w:tcPr>
            <w:tcW w:type="dxa" w:w="10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5 min</w:t>
            </w:r>
          </w:p>
        </w:tc>
        <w:tc>
          <w:tcPr>
            <w:tcW w:type="dxa" w:w="60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22"/>
                <w:szCs w:val="22"/>
              </w:rPr>
              <w:t xml:space="preserve">P6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Ubicar las sesiones del curso en las fases</w:t>
            </w:r>
          </w:p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Con el mapa de la sección 1 del cuaderno, indicar qué sesiones del curso (S02–S14) aportarían a cada fase CRISP-DM del problema elegido. Basta con nombrar la sesión y la fase: la técnica se aprende en su momento. Este mapeo anticipa qué partes del curso alimentarán el proyecto integrador.</w:t>
            </w:r>
          </w:p>
        </w:tc>
        <w:tc>
          <w:tcPr>
            <w:tcW w:type="dxa" w:w="3000"/>
            <w:tcBorders>
              <w:top w:val="single" w:color="DFE2E6" w:sz="4"/>
              <w:left w:val="single" w:color="E4002B" w:sz="12"/>
              <w:bottom w:val="single" w:color="DFE2E6" w:sz="4"/>
              <w:right w:val="none" w:color="FFFFFF" w:sz="0"/>
            </w:tcBorders>
            <w:shd w:fill="F7F0F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line="265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▸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tabla o lista fase CRISP-DM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→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sesiones del curso que aportan, para el problema elegido.</w:t>
            </w:r>
          </w:p>
        </w:tc>
      </w:tr>
      <w:tr>
        <w:tc>
          <w:tcPr>
            <w:tcW w:type="dxa" w:w="10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7 min</w:t>
            </w:r>
          </w:p>
        </w:tc>
        <w:tc>
          <w:tcPr>
            <w:tcW w:type="dxa" w:w="60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22"/>
                <w:szCs w:val="22"/>
              </w:rPr>
              <w:t xml:space="preserve">P7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Puesta en común en parejas</w:t>
            </w:r>
          </w:p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Cada integrante presenta su proyecto al compañero en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2 minutos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con el canvas: qué decisión habilita, con qué KPI se medirá y qué variable objetivo (si aplica) se predice. El compañero verifica con la rúbrica de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evaluacion/Entregable.docx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a la vista y devuelve al menos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una observación de mejora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(¿la decisión es concreta?, ¿el KPI es calculable?, ¿la variable objetivo es medible sin ambigüedad?). Luego se intercambian los roles.</w:t>
            </w:r>
          </w:p>
        </w:tc>
        <w:tc>
          <w:tcPr>
            <w:tcW w:type="dxa" w:w="3000"/>
            <w:tcBorders>
              <w:top w:val="single" w:color="DFE2E6" w:sz="4"/>
              <w:left w:val="single" w:color="E4002B" w:sz="12"/>
              <w:bottom w:val="single" w:color="DFE2E6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line="265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▸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una observación de mejora recibida y anotada por cada estudiante, para incorporar antes de entregar la ficha de la sesión.</w:t>
            </w:r>
          </w:p>
        </w:tc>
      </w:tr>
    </w:tbl>
    <w:p>
      <w:r>
        <w:br w:type="page"/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3.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CIERRE: ENTREGABLE Y PROYECTO INTEGRADOR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Conexión con el entregable (B.5) y con el proyecto integrador (B.6)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>   |   —</w:t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El laboratorio produce el borrador del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entregable evaluable de la S01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: la ficha de la sesión de proyecto CRISP-DM completada. El enunciado, el formato de entrega (máximo 2 páginas, antes de la Sesión 02) y la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rúbrica vigesimal (total 20 puntos: 4 + 5 + 4 + 4 + 3)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están en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evaluacion/Entregable.docx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. La entrega es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individual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aunque el trabajo en clase se realice en parejas. Los drills de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evaluacion/Drills.docx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practican exactamente las destrezas que la rúbrica califica (clasificar preguntas, detectar riesgos, redactar variable objetivo y KPI).</w:t>
      </w:r>
    </w:p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la ficha de la sesión completada en este laboratorio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inicia el proyecto integrador del curso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: el problema elegido hoy se desarrolla a lo largo de las 14 sesiones, con presentación de avance en el examen parcial y sustentación en el examen final. La mecánica completa, el cronograma y los criterios para aprobar un dataset propio están en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guia_proyecto.docx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(carpeta Proyecto_Integrador/). Elegir bien el problema en esta sesión ahorra semanas de retrabajo después. Y desde la próxima sesión, cada laboratorio comenzará donde empieza toda buena técnica: en el paper que la publicó (PARTE A, pasos 0–5).</w:t>
      </w:r>
    </w:p>
    <w:p>
      <w:pPr>
        <w:keepNext/>
        <w:spacing w:after="110" w:before="240"/>
      </w:pPr>
      <w:r>
        <w:rPr>
          <w:rFonts w:ascii="Calibri" w:cs="Calibri" w:eastAsia="Calibri" w:hAnsi="Calibri"/>
          <w:b/>
          <w:bCs/>
          <w:color w:val="7A1526"/>
          <w:sz w:val="21"/>
          <w:szCs w:val="21"/>
        </w:rPr>
        <w:t xml:space="preserve">4. Checklist final de autoevaluación</w:t>
      </w:r>
    </w:p>
    <w:p>
      <w:pPr>
        <w:spacing w:after="140"/>
      </w:pP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Verificación previa a dar el laboratorio por cerrado. Ninguna casilla debe quedar vacía.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640"/>
        <w:gridCol w:w="8880"/>
      </w:tblGrid>
      <w:tr>
        <w:trPr>
          <w:tblHeader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✔</w:t>
            </w:r>
          </w:p>
        </w:tc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N.º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CRITERIO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A1526"/>
                <w:sz w:val="24"/>
                <w:szCs w:val="24"/>
              </w:rPr>
              <w:t xml:space="preserve">☐</w:t>
            </w:r>
          </w:p>
        </w:tc>
        <w:tc>
          <w:tcPr>
            <w:tcW w:type="dxa" w:w="6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1</w:t>
            </w:r>
          </w:p>
        </w:tc>
        <w:tc>
          <w:tcPr>
            <w:tcW w:type="dxa" w:w="8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line="260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 problema elegido describe una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situación de negocio con una decisión concreta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no una técnica.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A1526"/>
                <w:sz w:val="24"/>
                <w:szCs w:val="24"/>
              </w:rPr>
              <w:t xml:space="preserve">☐</w:t>
            </w:r>
          </w:p>
        </w:tc>
        <w:tc>
          <w:tcPr>
            <w:tcW w:type="dxa" w:w="6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2</w:t>
            </w:r>
          </w:p>
        </w:tc>
        <w:tc>
          <w:tcPr>
            <w:tcW w:type="dxa" w:w="8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line="260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Se identifica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quién toma la decisión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con el resultado del análisis.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A1526"/>
                <w:sz w:val="24"/>
                <w:szCs w:val="24"/>
              </w:rPr>
              <w:t xml:space="preserve">☐</w:t>
            </w:r>
          </w:p>
        </w:tc>
        <w:tc>
          <w:tcPr>
            <w:tcW w:type="dxa" w:w="6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3</w:t>
            </w:r>
          </w:p>
        </w:tc>
        <w:tc>
          <w:tcPr>
            <w:tcW w:type="dxa" w:w="8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line="260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La pregunta analítica define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unidad de análisis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ventana temporal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A1526"/>
                <w:sz w:val="24"/>
                <w:szCs w:val="24"/>
              </w:rPr>
              <w:t xml:space="preserve">☐</w:t>
            </w:r>
          </w:p>
        </w:tc>
        <w:tc>
          <w:tcPr>
            <w:tcW w:type="dxa" w:w="6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4</w:t>
            </w:r>
          </w:p>
        </w:tc>
        <w:tc>
          <w:tcPr>
            <w:tcW w:type="dxa" w:w="8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line="260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KPI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tiene fórmula en palabras y es calculable antes y después de la iniciativa (y no se confunde con la variable objetivo).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A1526"/>
                <w:sz w:val="24"/>
                <w:szCs w:val="24"/>
              </w:rPr>
              <w:t xml:space="preserve">☐</w:t>
            </w:r>
          </w:p>
        </w:tc>
        <w:tc>
          <w:tcPr>
            <w:tcW w:type="dxa" w:w="6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5</w:t>
            </w:r>
          </w:p>
        </w:tc>
        <w:tc>
          <w:tcPr>
            <w:tcW w:type="dxa" w:w="8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line="260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variable objetivo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es medible sin ambigüedad, o el enfoque no supervisado está justificado.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A1526"/>
                <w:sz w:val="24"/>
                <w:szCs w:val="24"/>
              </w:rPr>
              <w:t xml:space="preserve">☐</w:t>
            </w:r>
          </w:p>
        </w:tc>
        <w:tc>
          <w:tcPr>
            <w:tcW w:type="dxa" w:w="6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6</w:t>
            </w:r>
          </w:p>
        </w:tc>
        <w:tc>
          <w:tcPr>
            <w:tcW w:type="dxa" w:w="8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line="260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Las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fuentes de datos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están identificadas, con enlace si el dataset es público y fecha de verificación DD/MM/YYYY.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A1526"/>
                <w:sz w:val="24"/>
                <w:szCs w:val="24"/>
              </w:rPr>
              <w:t xml:space="preserve">☐</w:t>
            </w:r>
          </w:p>
        </w:tc>
        <w:tc>
          <w:tcPr>
            <w:tcW w:type="dxa" w:w="6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7</w:t>
            </w:r>
          </w:p>
        </w:tc>
        <w:tc>
          <w:tcPr>
            <w:tcW w:type="dxa" w:w="8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line="260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Se anticipan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al menos dos riesgos éticos o de privacidad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con su mitigación.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A1526"/>
                <w:sz w:val="24"/>
                <w:szCs w:val="24"/>
              </w:rPr>
              <w:t xml:space="preserve">☐</w:t>
            </w:r>
          </w:p>
        </w:tc>
        <w:tc>
          <w:tcPr>
            <w:tcW w:type="dxa" w:w="6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8</w:t>
            </w:r>
          </w:p>
        </w:tc>
        <w:tc>
          <w:tcPr>
            <w:tcW w:type="dxa" w:w="8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line="260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Las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6 fases de CRISP-DM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están descritas de forma coherente con el problema (recordar: ≈80% del esfuerzo real vive en comprensión y preparación de los datos).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A1526"/>
                <w:sz w:val="24"/>
                <w:szCs w:val="24"/>
              </w:rPr>
              <w:t xml:space="preserve">☐</w:t>
            </w:r>
          </w:p>
        </w:tc>
        <w:tc>
          <w:tcPr>
            <w:tcW w:type="dxa" w:w="6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9</w:t>
            </w:r>
          </w:p>
        </w:tc>
        <w:tc>
          <w:tcPr>
            <w:tcW w:type="dxa" w:w="8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line="260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Los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2 perfiles críticos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del equipo están nombrados y justificados.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A1526"/>
                <w:sz w:val="24"/>
                <w:szCs w:val="24"/>
              </w:rPr>
              <w:t xml:space="preserve">☐</w:t>
            </w:r>
          </w:p>
        </w:tc>
        <w:tc>
          <w:tcPr>
            <w:tcW w:type="dxa" w:w="6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10</w:t>
            </w:r>
          </w:p>
        </w:tc>
        <w:tc>
          <w:tcPr>
            <w:tcW w:type="dxa" w:w="8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line="260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Se recibió y anotó al menos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una observación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 la puesta en común en parejas.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A1526"/>
                <w:sz w:val="24"/>
                <w:szCs w:val="24"/>
              </w:rPr>
              <w:t xml:space="preserve">☐</w:t>
            </w:r>
          </w:p>
        </w:tc>
        <w:tc>
          <w:tcPr>
            <w:tcW w:type="dxa" w:w="6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11</w:t>
            </w:r>
          </w:p>
        </w:tc>
        <w:tc>
          <w:tcPr>
            <w:tcW w:type="dxa" w:w="8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line="260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Se comprende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protocolo de replicación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(pasos 0–5 de la PARTE A) que regirá los laboratorios desde la S02.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4"/>
        <w:szCs w:val="14"/>
      </w:rPr>
      <w:t xml:space="preserve">Herramientas para la Ciencia de Datos, UPC, Facultad de Negocios     |     </w:t>
    </w:r>
    <w:r>
      <w:rPr>
        <w:rFonts w:ascii="Calibri" w:cs="Calibri" w:eastAsia="Calibri" w:hAnsi="Calibri"/>
        <w:b/>
        <w:bCs/>
        <w:color w:val="7A152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FE2E6" w:sz="4" w:space="4"/>
      </w:pBdr>
      <w:spacing w:after="120"/>
    </w:pPr>
    <w:r>
      <w:rPr>
        <w:rFonts w:ascii="Calibri" w:cs="Calibri" w:eastAsia="Calibri" w:hAnsi="Calibri"/>
        <w:color w:val="6E6E6E"/>
        <w:sz w:val="15"/>
        <w:szCs w:val="15"/>
      </w:rPr>
      <w:t xml:space="preserve">Guía de laboratorio — Sesión S01: Introducción al curso + roadmap KDD / CRISP-DM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laboratorio — Sesión S01</dc:title>
  <dc:creator>UPC</dc:creator>
  <dc:description>Introducción al curso + roadmap KDD / CRISP-DM</dc:description>
  <cp:lastModifiedBy>Un-named</cp:lastModifiedBy>
  <cp:revision>1</cp:revision>
  <dcterms:created xsi:type="dcterms:W3CDTF">2026-09-13T20:21:43.205Z</dcterms:created>
  <dcterms:modified xsi:type="dcterms:W3CDTF">2026-09-13T20:21:43.206Z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